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177800</wp:posOffset>
            </wp:positionV>
            <wp:extent cx="1543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u w:val="single" w:color="auto"/>
          <w:color w:val="auto"/>
        </w:rPr>
        <w:t>FORM 10-Q</w:t>
      </w:r>
    </w:p>
    <w:p>
      <w:pPr>
        <w:spacing w:after="0" w:line="200" w:lineRule="exact"/>
        <w:rPr>
          <w:sz w:val="24"/>
          <w:szCs w:val="24"/>
          <w:color w:val="auto"/>
        </w:rPr>
      </w:pPr>
    </w:p>
    <w:p>
      <w:pPr>
        <w:spacing w:after="0" w:line="230" w:lineRule="exact"/>
        <w:rPr>
          <w:sz w:val="24"/>
          <w:szCs w:val="24"/>
          <w:color w:val="auto"/>
        </w:rPr>
      </w:pPr>
    </w:p>
    <w:p>
      <w:pPr>
        <w:ind w:left="820" w:hanging="480"/>
        <w:spacing w:after="0"/>
        <w:tabs>
          <w:tab w:leader="none" w:pos="820" w:val="left"/>
        </w:tabs>
        <w:numPr>
          <w:ilvl w:val="1"/>
          <w:numId w:val="1"/>
        </w:numPr>
        <w:rPr>
          <w:rFonts w:ascii="MS PGothic" w:cs="MS PGothic" w:eastAsia="MS PGothic" w:hAnsi="MS PGothic"/>
          <w:sz w:val="22"/>
          <w:szCs w:val="22"/>
          <w:color w:val="auto"/>
        </w:rPr>
      </w:pPr>
      <w:r>
        <w:rPr>
          <w:rFonts w:ascii="Arial" w:cs="Arial" w:eastAsia="Arial" w:hAnsi="Arial"/>
          <w:sz w:val="20"/>
          <w:szCs w:val="20"/>
          <w:color w:val="auto"/>
        </w:rPr>
        <w:t>QUARTERLY REPORT PURSUANT TO SECTION 13 OR 15(d) OF THE SECURITIES EXCHANGE ACT OF 1934</w:t>
      </w:r>
    </w:p>
    <w:p>
      <w:pPr>
        <w:spacing w:after="0" w:line="231" w:lineRule="exact"/>
        <w:rPr>
          <w:rFonts w:ascii="MS PGothic" w:cs="MS PGothic" w:eastAsia="MS PGothic" w:hAnsi="MS PGothic"/>
          <w:sz w:val="22"/>
          <w:szCs w:val="22"/>
          <w:color w:val="auto"/>
        </w:rPr>
      </w:pPr>
    </w:p>
    <w:p>
      <w:pPr>
        <w:ind w:left="2820"/>
        <w:spacing w:after="0"/>
        <w:rPr>
          <w:rFonts w:ascii="MS PGothic" w:cs="MS PGothic" w:eastAsia="MS PGothic" w:hAnsi="MS PGothic"/>
          <w:sz w:val="22"/>
          <w:szCs w:val="22"/>
          <w:color w:val="auto"/>
        </w:rPr>
      </w:pPr>
      <w:r>
        <w:rPr>
          <w:rFonts w:ascii="Arial" w:cs="Arial" w:eastAsia="Arial" w:hAnsi="Arial"/>
          <w:sz w:val="20"/>
          <w:szCs w:val="20"/>
          <w:b w:val="1"/>
          <w:bCs w:val="1"/>
          <w:color w:val="auto"/>
        </w:rPr>
        <w:t>FOR THE QUARTERLY PERIOD ENDED September 24, 2023</w:t>
      </w:r>
    </w:p>
    <w:p>
      <w:pPr>
        <w:spacing w:after="0" w:line="266" w:lineRule="exact"/>
        <w:rPr>
          <w:rFonts w:ascii="MS PGothic" w:cs="MS PGothic" w:eastAsia="MS PGothic" w:hAnsi="MS PGothic"/>
          <w:sz w:val="22"/>
          <w:szCs w:val="22"/>
          <w:color w:val="auto"/>
        </w:rPr>
      </w:pPr>
    </w:p>
    <w:p>
      <w:pPr>
        <w:ind w:left="560" w:hanging="433"/>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9"/>
          <w:szCs w:val="19"/>
          <w:color w:val="auto"/>
        </w:rPr>
        <w:t>TRANSITION REPORT PURSUANT TO SECTION 13 OR 15(d) OF THE SECURITIES EXCHANGE ACT OF 1934 FOR</w:t>
      </w:r>
    </w:p>
    <w:p>
      <w:pPr>
        <w:spacing w:after="0" w:line="25" w:lineRule="exact"/>
        <w:rPr>
          <w:sz w:val="24"/>
          <w:szCs w:val="24"/>
          <w:color w:val="auto"/>
        </w:rPr>
      </w:pPr>
    </w:p>
    <w:p>
      <w:pPr>
        <w:ind w:left="3700"/>
        <w:spacing w:after="0"/>
        <w:tabs>
          <w:tab w:leader="none" w:pos="7260" w:val="left"/>
        </w:tabs>
        <w:rPr>
          <w:sz w:val="20"/>
          <w:szCs w:val="20"/>
          <w:color w:val="auto"/>
        </w:rPr>
      </w:pPr>
      <w:r>
        <w:rPr>
          <w:rFonts w:ascii="Arial" w:cs="Arial" w:eastAsia="Arial" w:hAnsi="Arial"/>
          <w:sz w:val="20"/>
          <w:szCs w:val="20"/>
          <w:color w:val="auto"/>
        </w:rPr>
        <w:t>THE TRANSITION PERIOD FROM</w:t>
      </w:r>
      <w:r>
        <w:rPr>
          <w:sz w:val="20"/>
          <w:szCs w:val="20"/>
          <w:color w:val="auto"/>
        </w:rPr>
        <w:tab/>
      </w:r>
      <w:r>
        <w:rPr>
          <w:rFonts w:ascii="Arial" w:cs="Arial" w:eastAsia="Arial" w:hAnsi="Arial"/>
          <w:sz w:val="20"/>
          <w:szCs w:val="20"/>
          <w:color w:val="auto"/>
        </w:rPr>
        <w:t>TO</w:t>
      </w:r>
    </w:p>
    <w:p>
      <w:pPr>
        <w:spacing w:after="0" w:line="24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001-40951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13970</wp:posOffset>
            </wp:positionV>
            <wp:extent cx="228028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PORTILLO'S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20"/>
          </w:cols>
          <w:pgMar w:left="320" w:top="873" w:right="459" w:bottom="1440" w:gutter="0" w:footer="0" w:header="0"/>
        </w:sectPr>
      </w:pPr>
    </w:p>
    <w:p>
      <w:pPr>
        <w:spacing w:after="0" w:line="38" w:lineRule="exact"/>
        <w:rPr>
          <w:sz w:val="24"/>
          <w:szCs w:val="24"/>
          <w:color w:val="auto"/>
        </w:rPr>
      </w:pPr>
    </w:p>
    <w:p>
      <w:pPr>
        <w:ind w:left="25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93" w:lineRule="exact"/>
        <w:rPr>
          <w:sz w:val="24"/>
          <w:szCs w:val="24"/>
          <w:color w:val="auto"/>
        </w:rPr>
      </w:pPr>
    </w:p>
    <w:p>
      <w:pPr>
        <w:sectPr>
          <w:pgSz w:w="11900" w:h="16838" w:orient="portrait"/>
          <w:cols w:equalWidth="0" w:num="2">
            <w:col w:w="7280" w:space="720"/>
            <w:col w:w="3120"/>
          </w:cols>
          <w:pgMar w:left="320" w:top="873" w:right="459" w:bottom="1440" w:gutter="0" w:footer="0" w:header="0"/>
          <w:type w:val="continuous"/>
        </w:sectPr>
      </w:pPr>
    </w:p>
    <w:p>
      <w:pPr>
        <w:ind w:left="10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48" w:lineRule="exact"/>
        <w:rPr>
          <w:sz w:val="24"/>
          <w:szCs w:val="24"/>
          <w:color w:val="auto"/>
        </w:rPr>
      </w:pPr>
    </w:p>
    <w:p>
      <w:pPr>
        <w:sectPr>
          <w:pgSz w:w="11900" w:h="16838" w:orient="portrait"/>
          <w:cols w:equalWidth="0" w:num="2">
            <w:col w:w="6620" w:space="720"/>
            <w:col w:w="3780"/>
          </w:cols>
          <w:pgMar w:left="320" w:top="873" w:right="459" w:bottom="1440" w:gutter="0" w:footer="0" w:header="0"/>
          <w:type w:val="continuous"/>
        </w:sectPr>
      </w:pPr>
    </w:p>
    <w:p>
      <w:pPr>
        <w:jc w:val="center"/>
        <w:ind w:right="-139"/>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82"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w:t>
      </w:r>
    </w:p>
    <w:p>
      <w:pPr>
        <w:spacing w:after="0" w:line="1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(630) 954-3773</w:t>
      </w:r>
    </w:p>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81"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120"/>
          </w:cols>
          <w:pgMar w:left="320" w:top="873" w:right="459" w:bottom="1440" w:gutter="0" w:footer="0" w:header="0"/>
          <w:type w:val="continuous"/>
        </w:sectPr>
      </w:pPr>
    </w:p>
    <w:p>
      <w:pPr>
        <w:spacing w:after="0" w:line="51"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67" w:lineRule="exact"/>
        <w:rPr>
          <w:sz w:val="24"/>
          <w:szCs w:val="24"/>
          <w:color w:val="auto"/>
        </w:rPr>
      </w:pPr>
    </w:p>
    <w:p>
      <w:pPr>
        <w:sectPr>
          <w:pgSz w:w="11900" w:h="16838" w:orient="portrait"/>
          <w:cols w:equalWidth="0" w:num="3">
            <w:col w:w="4580" w:space="720"/>
            <w:col w:w="1200" w:space="720"/>
            <w:col w:w="3900"/>
          </w:cols>
          <w:pgMar w:left="320" w:top="873" w:right="45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00" w:lineRule="exact"/>
        <w:rPr>
          <w:sz w:val="24"/>
          <w:szCs w:val="24"/>
          <w:color w:val="auto"/>
        </w:rPr>
      </w:pPr>
    </w:p>
    <w:p>
      <w:pPr>
        <w:sectPr>
          <w:pgSz w:w="11900" w:h="16838" w:orient="portrait"/>
          <w:cols w:equalWidth="0" w:num="3">
            <w:col w:w="4960" w:space="720"/>
            <w:col w:w="1480" w:space="720"/>
            <w:col w:w="3240"/>
          </w:cols>
          <w:pgMar w:left="320" w:top="873" w:right="459" w:bottom="1440" w:gutter="0" w:footer="0" w:header="0"/>
          <w:type w:val="continuous"/>
        </w:sectPr>
      </w:pPr>
    </w:p>
    <w:p>
      <w:pPr>
        <w:spacing w:after="0" w:line="170" w:lineRule="exact"/>
        <w:rPr>
          <w:sz w:val="24"/>
          <w:szCs w:val="24"/>
          <w:color w:val="auto"/>
        </w:rPr>
      </w:pPr>
    </w:p>
    <w:p>
      <w:pPr>
        <w:jc w:val="both"/>
        <w:ind w:right="34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0" w:lineRule="exact"/>
        <w:rPr>
          <w:sz w:val="24"/>
          <w:szCs w:val="24"/>
          <w:color w:val="auto"/>
        </w:rPr>
      </w:pPr>
    </w:p>
    <w:p>
      <w:pPr>
        <w:ind w:right="100"/>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0" w:lineRule="exact"/>
        <w:rPr>
          <w:sz w:val="24"/>
          <w:szCs w:val="24"/>
          <w:color w:val="auto"/>
        </w:rPr>
      </w:pPr>
    </w:p>
    <w:p>
      <w:pPr>
        <w:ind w:right="20"/>
        <w:spacing w:after="0" w:line="26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40" w:type="dxa"/>
        <w:tblCellMar>
          <w:top w:w="0" w:type="dxa"/>
          <w:left w:w="0" w:type="dxa"/>
          <w:bottom w:w="0" w:type="dxa"/>
          <w:right w:w="0" w:type="dxa"/>
        </w:tblCellMar>
      </w:tblP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Large 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39"/>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4" w:lineRule="exact"/>
        <w:rPr>
          <w:sz w:val="24"/>
          <w:szCs w:val="24"/>
          <w:color w:val="auto"/>
        </w:rPr>
      </w:pPr>
    </w:p>
    <w:p>
      <w:pPr>
        <w:ind w:right="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5280" w:hanging="378"/>
        <w:spacing w:after="0" w:line="184" w:lineRule="exact"/>
        <w:tabs>
          <w:tab w:leader="none" w:pos="52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26, 2023, there were 55,442,273 shares of the registrant's Class A common stock, par value $0.01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73" w:right="4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41404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Cautionary Note Regarding Forward-Looking Information</w:t>
            </w:r>
          </w:p>
        </w:tc>
        <w:tc>
          <w:tcPr>
            <w:tcW w:w="3520" w:type="dxa"/>
            <w:vAlign w:val="bottom"/>
            <w:gridSpan w:val="3"/>
          </w:tcPr>
          <w:p>
            <w:pPr>
              <w:jc w:val="right"/>
              <w:ind w:right="640"/>
              <w:spacing w:after="0"/>
              <w:rPr>
                <w:sz w:val="20"/>
                <w:szCs w:val="20"/>
                <w:color w:val="auto"/>
              </w:rPr>
            </w:pPr>
            <w:r>
              <w:rPr>
                <w:rFonts w:ascii="Arial" w:cs="Arial" w:eastAsia="Arial" w:hAnsi="Arial"/>
                <w:sz w:val="18"/>
                <w:szCs w:val="18"/>
                <w:color w:val="auto"/>
              </w:rPr>
              <w:t>1</w:t>
            </w:r>
          </w:p>
        </w:tc>
      </w:tr>
      <w:tr>
        <w:trPr>
          <w:trHeight w:val="48"/>
        </w:trPr>
        <w:tc>
          <w:tcPr>
            <w:tcW w:w="20" w:type="dxa"/>
            <w:vAlign w:val="bottom"/>
          </w:tcPr>
          <w:p>
            <w:pPr>
              <w:spacing w:after="0"/>
              <w:rPr>
                <w:sz w:val="4"/>
                <w:szCs w:val="4"/>
                <w:color w:val="auto"/>
              </w:rPr>
            </w:pPr>
          </w:p>
        </w:tc>
        <w:tc>
          <w:tcPr>
            <w:tcW w:w="4900" w:type="dxa"/>
            <w:vAlign w:val="bottom"/>
            <w:tcBorders>
              <w:top w:val="single" w:sz="8" w:color="auto"/>
            </w:tcBorders>
          </w:tcPr>
          <w:p>
            <w:pPr>
              <w:spacing w:after="0"/>
              <w:rPr>
                <w:sz w:val="4"/>
                <w:szCs w:val="4"/>
                <w:color w:val="auto"/>
              </w:rPr>
            </w:pPr>
          </w:p>
        </w:tc>
        <w:tc>
          <w:tcPr>
            <w:tcW w:w="28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70"/>
        </w:trPr>
        <w:tc>
          <w:tcPr>
            <w:tcW w:w="20" w:type="dxa"/>
            <w:vAlign w:val="bottom"/>
            <w:shd w:val="clear" w:color="auto" w:fill="DBDBDB"/>
          </w:tcPr>
          <w:p>
            <w:pPr>
              <w:spacing w:after="0"/>
              <w:rPr>
                <w:sz w:val="23"/>
                <w:szCs w:val="23"/>
                <w:color w:val="auto"/>
              </w:rPr>
            </w:pPr>
          </w:p>
        </w:tc>
        <w:tc>
          <w:tcPr>
            <w:tcW w:w="4900" w:type="dxa"/>
            <w:vAlign w:val="bottom"/>
            <w:shd w:val="clear" w:color="auto" w:fill="DBDBDB"/>
          </w:tcPr>
          <w:p>
            <w:pPr>
              <w:spacing w:after="0"/>
              <w:rPr>
                <w:sz w:val="23"/>
                <w:szCs w:val="23"/>
                <w:color w:val="auto"/>
              </w:rPr>
            </w:pPr>
          </w:p>
        </w:tc>
        <w:tc>
          <w:tcPr>
            <w:tcW w:w="2800" w:type="dxa"/>
            <w:vAlign w:val="bottom"/>
            <w:shd w:val="clear" w:color="auto" w:fill="DBDBDB"/>
          </w:tcPr>
          <w:p>
            <w:pPr>
              <w:spacing w:after="0"/>
              <w:rPr>
                <w:sz w:val="23"/>
                <w:szCs w:val="23"/>
                <w:color w:val="auto"/>
              </w:rPr>
            </w:pPr>
          </w:p>
        </w:tc>
        <w:tc>
          <w:tcPr>
            <w:tcW w:w="27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gridSpan w:val="2"/>
          </w:tcPr>
          <w:p>
            <w:pPr>
              <w:spacing w:after="0" w:line="216" w:lineRule="exact"/>
              <w:rPr>
                <w:sz w:val="20"/>
                <w:szCs w:val="20"/>
                <w:color w:val="auto"/>
              </w:rPr>
            </w:pPr>
            <w:r>
              <w:rPr>
                <w:rFonts w:ascii="Arial" w:cs="Arial" w:eastAsia="Arial" w:hAnsi="Arial"/>
                <w:sz w:val="20"/>
                <w:szCs w:val="20"/>
                <w:b w:val="1"/>
                <w:bCs w:val="1"/>
                <w:color w:val="auto"/>
              </w:rPr>
              <w:t>Part I</w:t>
            </w:r>
          </w:p>
        </w:tc>
        <w:tc>
          <w:tcPr>
            <w:tcW w:w="8760" w:type="dxa"/>
            <w:vAlign w:val="bottom"/>
            <w:gridSpan w:val="15"/>
          </w:tcPr>
          <w:p>
            <w:pPr>
              <w:spacing w:after="0" w:line="216" w:lineRule="exact"/>
              <w:rPr>
                <w:sz w:val="20"/>
                <w:szCs w:val="20"/>
                <w:color w:val="auto"/>
              </w:rPr>
            </w:pPr>
            <w:r>
              <w:rPr>
                <w:rFonts w:ascii="Arial" w:cs="Arial" w:eastAsia="Arial" w:hAnsi="Arial"/>
                <w:sz w:val="20"/>
                <w:szCs w:val="20"/>
                <w:b w:val="1"/>
                <w:bCs w:val="1"/>
                <w:color w:val="auto"/>
              </w:rPr>
              <w:t>Financial Information</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r>
      <w:tr>
        <w:trPr>
          <w:trHeight w:val="202"/>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76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Item 1.</w:t>
            </w:r>
          </w:p>
        </w:tc>
        <w:tc>
          <w:tcPr>
            <w:tcW w:w="8000" w:type="dxa"/>
            <w:vAlign w:val="bottom"/>
            <w:gridSpan w:val="13"/>
            <w:shd w:val="clear" w:color="auto" w:fill="DBDBDB"/>
          </w:tcPr>
          <w:p>
            <w:pPr>
              <w:ind w:left="220"/>
              <w:spacing w:after="0" w:line="202" w:lineRule="exact"/>
              <w:rPr>
                <w:sz w:val="20"/>
                <w:szCs w:val="20"/>
                <w:color w:val="auto"/>
              </w:rPr>
            </w:pPr>
            <w:r>
              <w:rPr>
                <w:rFonts w:ascii="Arial" w:cs="Arial" w:eastAsia="Arial" w:hAnsi="Arial"/>
                <w:sz w:val="18"/>
                <w:szCs w:val="18"/>
                <w:color w:val="auto"/>
              </w:rPr>
              <w:t>Financial Statements (Unaudited)</w:t>
            </w:r>
          </w:p>
        </w:tc>
        <w:tc>
          <w:tcPr>
            <w:tcW w:w="900" w:type="dxa"/>
            <w:vAlign w:val="bottom"/>
            <w:gridSpan w:val="4"/>
            <w:shd w:val="clear" w:color="auto" w:fill="DBDBDB"/>
          </w:tcPr>
          <w:p>
            <w:pPr>
              <w:jc w:val="center"/>
              <w:ind w:left="590"/>
              <w:spacing w:after="0" w:line="202" w:lineRule="exact"/>
              <w:rPr>
                <w:sz w:val="20"/>
                <w:szCs w:val="20"/>
                <w:color w:val="auto"/>
              </w:rPr>
            </w:pPr>
            <w:r>
              <w:rPr>
                <w:rFonts w:ascii="Arial" w:cs="Arial" w:eastAsia="Arial" w:hAnsi="Arial"/>
                <w:sz w:val="18"/>
                <w:szCs w:val="18"/>
                <w:color w:val="auto"/>
                <w:w w:val="99"/>
              </w:rPr>
              <w:t>3</w:t>
            </w:r>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12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2"/>
          </w:tcPr>
          <w:p>
            <w:pPr>
              <w:ind w:left="120"/>
              <w:spacing w:after="0" w:line="202" w:lineRule="exact"/>
              <w:rPr>
                <w:sz w:val="20"/>
                <w:szCs w:val="20"/>
                <w:color w:val="auto"/>
              </w:rPr>
            </w:pPr>
            <w:r>
              <w:rPr>
                <w:rFonts w:ascii="Arial" w:cs="Arial" w:eastAsia="Arial" w:hAnsi="Arial"/>
                <w:sz w:val="18"/>
                <w:szCs w:val="18"/>
                <w:color w:val="auto"/>
              </w:rPr>
              <w:t>Condensed Consolidated Balance Sheets</w:t>
            </w:r>
          </w:p>
        </w:tc>
        <w:tc>
          <w:tcPr>
            <w:tcW w:w="900" w:type="dxa"/>
            <w:vAlign w:val="bottom"/>
            <w:gridSpan w:val="4"/>
          </w:tcPr>
          <w:p>
            <w:pPr>
              <w:jc w:val="center"/>
              <w:ind w:left="590"/>
              <w:spacing w:after="0" w:line="202" w:lineRule="exact"/>
              <w:rPr>
                <w:sz w:val="20"/>
                <w:szCs w:val="20"/>
                <w:color w:val="auto"/>
              </w:rPr>
            </w:pPr>
            <w:r>
              <w:rPr>
                <w:rFonts w:ascii="Arial" w:cs="Arial" w:eastAsia="Arial" w:hAnsi="Arial"/>
                <w:sz w:val="18"/>
                <w:szCs w:val="18"/>
                <w:color w:val="auto"/>
                <w:w w:val="99"/>
              </w:rPr>
              <w:t>3</w:t>
            </w: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780" w:type="dxa"/>
            <w:vAlign w:val="bottom"/>
            <w:gridSpan w:val="12"/>
            <w:shd w:val="clear" w:color="auto" w:fill="DBDBDB"/>
          </w:tcPr>
          <w:p>
            <w:pPr>
              <w:ind w:left="120"/>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900" w:type="dxa"/>
            <w:vAlign w:val="bottom"/>
            <w:gridSpan w:val="4"/>
            <w:shd w:val="clear" w:color="auto" w:fill="DBDBDB"/>
          </w:tcPr>
          <w:p>
            <w:pPr>
              <w:jc w:val="center"/>
              <w:ind w:left="590"/>
              <w:spacing w:after="0" w:line="202" w:lineRule="exact"/>
              <w:rPr>
                <w:sz w:val="20"/>
                <w:szCs w:val="20"/>
                <w:color w:val="auto"/>
              </w:rPr>
            </w:pPr>
            <w:r>
              <w:rPr>
                <w:rFonts w:ascii="Arial" w:cs="Arial" w:eastAsia="Arial" w:hAnsi="Arial"/>
                <w:sz w:val="18"/>
                <w:szCs w:val="18"/>
                <w:color w:val="auto"/>
                <w:w w:val="99"/>
              </w:rPr>
              <w:t>4</w:t>
            </w:r>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12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2"/>
          </w:tcPr>
          <w:p>
            <w:pPr>
              <w:ind w:left="120"/>
              <w:spacing w:after="0" w:line="202" w:lineRule="exact"/>
              <w:rPr>
                <w:sz w:val="20"/>
                <w:szCs w:val="20"/>
                <w:color w:val="auto"/>
              </w:rPr>
            </w:pPr>
            <w:r>
              <w:rPr>
                <w:rFonts w:ascii="Arial" w:cs="Arial" w:eastAsia="Arial" w:hAnsi="Arial"/>
                <w:sz w:val="18"/>
                <w:szCs w:val="18"/>
                <w:color w:val="auto"/>
              </w:rPr>
              <w:t>Condensed Consolidated Statements of Stockholders' Equity</w:t>
            </w:r>
          </w:p>
        </w:tc>
        <w:tc>
          <w:tcPr>
            <w:tcW w:w="900" w:type="dxa"/>
            <w:vAlign w:val="bottom"/>
            <w:gridSpan w:val="4"/>
          </w:tcPr>
          <w:p>
            <w:pPr>
              <w:jc w:val="center"/>
              <w:ind w:left="590"/>
              <w:spacing w:after="0" w:line="202" w:lineRule="exact"/>
              <w:rPr>
                <w:sz w:val="20"/>
                <w:szCs w:val="20"/>
                <w:color w:val="auto"/>
              </w:rPr>
            </w:pPr>
            <w:r>
              <w:rPr>
                <w:rFonts w:ascii="Arial" w:cs="Arial" w:eastAsia="Arial" w:hAnsi="Arial"/>
                <w:sz w:val="18"/>
                <w:szCs w:val="18"/>
                <w:color w:val="auto"/>
                <w:w w:val="99"/>
              </w:rPr>
              <w:t>6</w:t>
            </w: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780" w:type="dxa"/>
            <w:vAlign w:val="bottom"/>
            <w:gridSpan w:val="12"/>
            <w:shd w:val="clear" w:color="auto" w:fill="DBDBDB"/>
          </w:tcPr>
          <w:p>
            <w:pPr>
              <w:ind w:left="120"/>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900" w:type="dxa"/>
            <w:vAlign w:val="bottom"/>
            <w:gridSpan w:val="4"/>
            <w:shd w:val="clear" w:color="auto" w:fill="DBDBDB"/>
          </w:tcPr>
          <w:p>
            <w:pPr>
              <w:jc w:val="center"/>
              <w:ind w:left="590"/>
              <w:spacing w:after="0" w:line="202" w:lineRule="exact"/>
              <w:rPr>
                <w:sz w:val="20"/>
                <w:szCs w:val="20"/>
                <w:color w:val="auto"/>
              </w:rPr>
            </w:pPr>
            <w:r>
              <w:rPr>
                <w:rFonts w:ascii="Arial" w:cs="Arial" w:eastAsia="Arial" w:hAnsi="Arial"/>
                <w:sz w:val="18"/>
                <w:szCs w:val="18"/>
                <w:color w:val="auto"/>
                <w:w w:val="99"/>
              </w:rPr>
              <w:t>7</w:t>
            </w:r>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12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2"/>
          </w:tcPr>
          <w:p>
            <w:pPr>
              <w:ind w:left="12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900" w:type="dxa"/>
            <w:vAlign w:val="bottom"/>
            <w:gridSpan w:val="4"/>
          </w:tcPr>
          <w:p>
            <w:pPr>
              <w:jc w:val="center"/>
              <w:ind w:left="590"/>
              <w:spacing w:after="0" w:line="202" w:lineRule="exact"/>
              <w:rPr>
                <w:sz w:val="20"/>
                <w:szCs w:val="20"/>
                <w:color w:val="auto"/>
              </w:rPr>
            </w:pPr>
            <w:r>
              <w:rPr>
                <w:rFonts w:ascii="Arial" w:cs="Arial" w:eastAsia="Arial" w:hAnsi="Arial"/>
                <w:sz w:val="18"/>
                <w:szCs w:val="18"/>
                <w:color w:val="auto"/>
                <w:w w:val="99"/>
              </w:rPr>
              <w:t>9</w:t>
            </w:r>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76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Item 2.</w:t>
            </w:r>
          </w:p>
        </w:tc>
        <w:tc>
          <w:tcPr>
            <w:tcW w:w="8000" w:type="dxa"/>
            <w:vAlign w:val="bottom"/>
            <w:gridSpan w:val="13"/>
            <w:shd w:val="clear" w:color="auto" w:fill="DBDBDB"/>
          </w:tcPr>
          <w:p>
            <w:pPr>
              <w:ind w:left="22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80" w:type="dxa"/>
            <w:vAlign w:val="bottom"/>
            <w:gridSpan w:val="5"/>
            <w:shd w:val="clear" w:color="auto" w:fill="DBDBDB"/>
          </w:tcPr>
          <w:p>
            <w:pPr>
              <w:jc w:val="center"/>
              <w:ind w:left="30"/>
              <w:spacing w:after="0" w:line="202" w:lineRule="exact"/>
              <w:rPr>
                <w:sz w:val="20"/>
                <w:szCs w:val="20"/>
                <w:color w:val="auto"/>
              </w:rPr>
            </w:pPr>
            <w:r>
              <w:rPr>
                <w:rFonts w:ascii="Arial" w:cs="Arial" w:eastAsia="Arial" w:hAnsi="Arial"/>
                <w:sz w:val="18"/>
                <w:szCs w:val="18"/>
                <w:color w:val="auto"/>
                <w:w w:val="99"/>
              </w:rPr>
              <w:t>24</w:t>
            </w: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2120" w:type="dxa"/>
            <w:vAlign w:val="bottom"/>
            <w:tcBorders>
              <w:top w:val="single" w:sz="8" w:color="auto"/>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spacing w:after="0" w:line="202" w:lineRule="exact"/>
              <w:rPr>
                <w:sz w:val="20"/>
                <w:szCs w:val="20"/>
                <w:color w:val="auto"/>
              </w:rPr>
            </w:pPr>
            <w:r>
              <w:rPr>
                <w:rFonts w:ascii="Arial" w:cs="Arial" w:eastAsia="Arial" w:hAnsi="Arial"/>
                <w:sz w:val="18"/>
                <w:szCs w:val="18"/>
                <w:color w:val="auto"/>
              </w:rPr>
              <w:t>Item 3.</w:t>
            </w:r>
          </w:p>
        </w:tc>
        <w:tc>
          <w:tcPr>
            <w:tcW w:w="8000" w:type="dxa"/>
            <w:vAlign w:val="bottom"/>
            <w:gridSpan w:val="13"/>
          </w:tcPr>
          <w:p>
            <w:pPr>
              <w:ind w:left="22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480" w:type="dxa"/>
            <w:vAlign w:val="bottom"/>
            <w:gridSpan w:val="5"/>
          </w:tcPr>
          <w:p>
            <w:pPr>
              <w:jc w:val="center"/>
              <w:ind w:left="30"/>
              <w:spacing w:after="0" w:line="202" w:lineRule="exact"/>
              <w:rPr>
                <w:sz w:val="20"/>
                <w:szCs w:val="20"/>
                <w:color w:val="auto"/>
              </w:rPr>
            </w:pPr>
            <w:r>
              <w:rPr>
                <w:rFonts w:ascii="Arial" w:cs="Arial" w:eastAsia="Arial" w:hAnsi="Arial"/>
                <w:sz w:val="18"/>
                <w:szCs w:val="18"/>
                <w:color w:val="auto"/>
                <w:w w:val="99"/>
              </w:rPr>
              <w:t>39</w:t>
            </w: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76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Item 4.</w:t>
            </w:r>
          </w:p>
        </w:tc>
        <w:tc>
          <w:tcPr>
            <w:tcW w:w="8000" w:type="dxa"/>
            <w:vAlign w:val="bottom"/>
            <w:gridSpan w:val="13"/>
            <w:shd w:val="clear" w:color="auto" w:fill="DBDBDB"/>
          </w:tcPr>
          <w:p>
            <w:pPr>
              <w:ind w:left="220"/>
              <w:spacing w:after="0" w:line="202" w:lineRule="exact"/>
              <w:rPr>
                <w:sz w:val="20"/>
                <w:szCs w:val="20"/>
                <w:color w:val="auto"/>
              </w:rPr>
            </w:pPr>
            <w:r>
              <w:rPr>
                <w:rFonts w:ascii="Arial" w:cs="Arial" w:eastAsia="Arial" w:hAnsi="Arial"/>
                <w:sz w:val="18"/>
                <w:szCs w:val="18"/>
                <w:color w:val="auto"/>
              </w:rPr>
              <w:t>Controls and Procedures</w:t>
            </w:r>
          </w:p>
        </w:tc>
        <w:tc>
          <w:tcPr>
            <w:tcW w:w="1480" w:type="dxa"/>
            <w:vAlign w:val="bottom"/>
            <w:gridSpan w:val="5"/>
            <w:shd w:val="clear" w:color="auto" w:fill="DBDBDB"/>
          </w:tcPr>
          <w:p>
            <w:pPr>
              <w:jc w:val="center"/>
              <w:ind w:left="30"/>
              <w:spacing w:after="0" w:line="202" w:lineRule="exact"/>
              <w:rPr>
                <w:sz w:val="20"/>
                <w:szCs w:val="20"/>
                <w:color w:val="auto"/>
              </w:rPr>
            </w:pPr>
            <w:r>
              <w:rPr>
                <w:rFonts w:ascii="Arial" w:cs="Arial" w:eastAsia="Arial" w:hAnsi="Arial"/>
                <w:sz w:val="18"/>
                <w:szCs w:val="18"/>
                <w:color w:val="auto"/>
                <w:w w:val="99"/>
              </w:rPr>
              <w:t>39</w:t>
            </w: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68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212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7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DBDBDB"/>
          </w:tcPr>
          <w:p>
            <w:pPr>
              <w:spacing w:after="0"/>
              <w:rPr>
                <w:sz w:val="19"/>
                <w:szCs w:val="19"/>
                <w:color w:val="auto"/>
              </w:rPr>
            </w:pPr>
          </w:p>
        </w:tc>
        <w:tc>
          <w:tcPr>
            <w:tcW w:w="980" w:type="dxa"/>
            <w:vAlign w:val="bottom"/>
            <w:gridSpan w:val="2"/>
            <w:shd w:val="clear" w:color="auto" w:fill="DBDBDB"/>
          </w:tcPr>
          <w:p>
            <w:pPr>
              <w:spacing w:after="0"/>
              <w:rPr>
                <w:sz w:val="20"/>
                <w:szCs w:val="20"/>
                <w:color w:val="auto"/>
              </w:rPr>
            </w:pPr>
            <w:r>
              <w:rPr>
                <w:rFonts w:ascii="Arial" w:cs="Arial" w:eastAsia="Arial" w:hAnsi="Arial"/>
                <w:sz w:val="20"/>
                <w:szCs w:val="20"/>
                <w:b w:val="1"/>
                <w:bCs w:val="1"/>
                <w:color w:val="auto"/>
              </w:rPr>
              <w:t>Part II</w:t>
            </w:r>
          </w:p>
        </w:tc>
        <w:tc>
          <w:tcPr>
            <w:tcW w:w="7640" w:type="dxa"/>
            <w:vAlign w:val="bottom"/>
            <w:gridSpan w:val="14"/>
            <w:shd w:val="clear" w:color="auto" w:fill="DBDBDB"/>
          </w:tcPr>
          <w:p>
            <w:pPr>
              <w:spacing w:after="0"/>
              <w:rPr>
                <w:sz w:val="20"/>
                <w:szCs w:val="20"/>
                <w:color w:val="auto"/>
              </w:rPr>
            </w:pPr>
            <w:r>
              <w:rPr>
                <w:rFonts w:ascii="Arial" w:cs="Arial" w:eastAsia="Arial" w:hAnsi="Arial"/>
                <w:sz w:val="20"/>
                <w:szCs w:val="20"/>
                <w:b w:val="1"/>
                <w:bCs w:val="1"/>
                <w:color w:val="auto"/>
              </w:rPr>
              <w:t>Other Information</w:t>
            </w:r>
          </w:p>
        </w:tc>
        <w:tc>
          <w:tcPr>
            <w:tcW w:w="18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42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auto"/>
            </w:tcBorders>
            <w:shd w:val="clear" w:color="auto" w:fill="DBDBDB"/>
          </w:tcPr>
          <w:p>
            <w:pPr>
              <w:spacing w:after="0"/>
              <w:rPr>
                <w:sz w:val="5"/>
                <w:szCs w:val="5"/>
                <w:color w:val="auto"/>
              </w:rPr>
            </w:pPr>
          </w:p>
        </w:tc>
        <w:tc>
          <w:tcPr>
            <w:tcW w:w="120" w:type="dxa"/>
            <w:vAlign w:val="bottom"/>
            <w:tcBorders>
              <w:top w:val="single" w:sz="8" w:color="auto"/>
            </w:tcBorders>
            <w:shd w:val="clear" w:color="auto" w:fill="DBDBDB"/>
          </w:tcPr>
          <w:p>
            <w:pPr>
              <w:spacing w:after="0"/>
              <w:rPr>
                <w:sz w:val="5"/>
                <w:szCs w:val="5"/>
                <w:color w:val="auto"/>
              </w:rPr>
            </w:pPr>
          </w:p>
        </w:tc>
        <w:tc>
          <w:tcPr>
            <w:tcW w:w="200" w:type="dxa"/>
            <w:vAlign w:val="bottom"/>
            <w:tcBorders>
              <w:top w:val="single" w:sz="8" w:color="auto"/>
            </w:tcBorders>
            <w:shd w:val="clear" w:color="auto" w:fill="DBDBDB"/>
          </w:tcPr>
          <w:p>
            <w:pPr>
              <w:spacing w:after="0"/>
              <w:rPr>
                <w:sz w:val="5"/>
                <w:szCs w:val="5"/>
                <w:color w:val="auto"/>
              </w:rPr>
            </w:pPr>
          </w:p>
        </w:tc>
        <w:tc>
          <w:tcPr>
            <w:tcW w:w="60" w:type="dxa"/>
            <w:vAlign w:val="bottom"/>
            <w:tcBorders>
              <w:top w:val="single" w:sz="8" w:color="auto"/>
            </w:tcBorders>
            <w:shd w:val="clear" w:color="auto" w:fill="DBDBDB"/>
          </w:tcPr>
          <w:p>
            <w:pPr>
              <w:spacing w:after="0"/>
              <w:rPr>
                <w:sz w:val="5"/>
                <w:szCs w:val="5"/>
                <w:color w:val="auto"/>
              </w:rPr>
            </w:pPr>
          </w:p>
        </w:tc>
        <w:tc>
          <w:tcPr>
            <w:tcW w:w="60" w:type="dxa"/>
            <w:vAlign w:val="bottom"/>
            <w:tcBorders>
              <w:top w:val="single" w:sz="8" w:color="auto"/>
            </w:tcBorders>
            <w:shd w:val="clear" w:color="auto" w:fill="DBDBDB"/>
          </w:tcPr>
          <w:p>
            <w:pPr>
              <w:spacing w:after="0"/>
              <w:rPr>
                <w:sz w:val="5"/>
                <w:szCs w:val="5"/>
                <w:color w:val="auto"/>
              </w:rPr>
            </w:pPr>
          </w:p>
        </w:tc>
        <w:tc>
          <w:tcPr>
            <w:tcW w:w="640" w:type="dxa"/>
            <w:vAlign w:val="bottom"/>
            <w:tcBorders>
              <w:top w:val="single" w:sz="8" w:color="auto"/>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4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2300" w:type="dxa"/>
            <w:vAlign w:val="bottom"/>
            <w:tcBorders>
              <w:top w:val="single" w:sz="8" w:color="DBDBDB"/>
            </w:tcBorders>
            <w:shd w:val="clear" w:color="auto" w:fill="DBDBDB"/>
          </w:tcPr>
          <w:p>
            <w:pPr>
              <w:spacing w:after="0"/>
              <w:rPr>
                <w:sz w:val="5"/>
                <w:szCs w:val="5"/>
                <w:color w:val="auto"/>
              </w:rPr>
            </w:pPr>
          </w:p>
        </w:tc>
        <w:tc>
          <w:tcPr>
            <w:tcW w:w="1800" w:type="dxa"/>
            <w:vAlign w:val="bottom"/>
            <w:tcBorders>
              <w:top w:val="single" w:sz="8" w:color="DBDBDB"/>
            </w:tcBorders>
            <w:shd w:val="clear" w:color="auto" w:fill="DBDBDB"/>
          </w:tcPr>
          <w:p>
            <w:pPr>
              <w:spacing w:after="0"/>
              <w:rPr>
                <w:sz w:val="5"/>
                <w:szCs w:val="5"/>
                <w:color w:val="auto"/>
              </w:rPr>
            </w:pPr>
          </w:p>
        </w:tc>
        <w:tc>
          <w:tcPr>
            <w:tcW w:w="182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580" w:type="dxa"/>
            <w:vAlign w:val="bottom"/>
            <w:tcBorders>
              <w:top w:val="single" w:sz="8" w:color="DBDBDB"/>
            </w:tcBorders>
            <w:shd w:val="clear" w:color="auto" w:fill="DBDBDB"/>
          </w:tcPr>
          <w:p>
            <w:pPr>
              <w:spacing w:after="0"/>
              <w:rPr>
                <w:sz w:val="5"/>
                <w:szCs w:val="5"/>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sz w:val="20"/>
                <w:szCs w:val="20"/>
                <w:color w:val="auto"/>
              </w:rPr>
            </w:pPr>
            <w:r>
              <w:rPr>
                <w:rFonts w:ascii="Arial" w:cs="Arial" w:eastAsia="Arial" w:hAnsi="Arial"/>
                <w:sz w:val="18"/>
                <w:szCs w:val="18"/>
                <w:color w:val="auto"/>
              </w:rPr>
              <w:t>Item 1.</w:t>
            </w:r>
          </w:p>
        </w:tc>
        <w:tc>
          <w:tcPr>
            <w:tcW w:w="6720" w:type="dxa"/>
            <w:vAlign w:val="bottom"/>
            <w:gridSpan w:val="10"/>
          </w:tcPr>
          <w:p>
            <w:pPr>
              <w:ind w:left="60"/>
              <w:spacing w:after="0" w:line="202" w:lineRule="exact"/>
              <w:rPr>
                <w:sz w:val="20"/>
                <w:szCs w:val="20"/>
                <w:color w:val="auto"/>
              </w:rPr>
            </w:pPr>
            <w:r>
              <w:rPr>
                <w:rFonts w:ascii="Arial" w:cs="Arial" w:eastAsia="Arial" w:hAnsi="Arial"/>
                <w:sz w:val="18"/>
                <w:szCs w:val="18"/>
                <w:color w:val="auto"/>
              </w:rPr>
              <w:t>Legal Proceedings</w:t>
            </w:r>
          </w:p>
        </w:tc>
        <w:tc>
          <w:tcPr>
            <w:tcW w:w="2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40</w:t>
            </w: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2" w:lineRule="exact"/>
              <w:rPr>
                <w:sz w:val="20"/>
                <w:szCs w:val="20"/>
                <w:color w:val="auto"/>
              </w:rPr>
            </w:pPr>
            <w:r>
              <w:rPr>
                <w:rFonts w:ascii="Arial" w:cs="Arial" w:eastAsia="Arial" w:hAnsi="Arial"/>
                <w:sz w:val="18"/>
                <w:szCs w:val="18"/>
                <w:color w:val="auto"/>
              </w:rPr>
              <w:t>Item 1A.</w:t>
            </w:r>
          </w:p>
        </w:tc>
        <w:tc>
          <w:tcPr>
            <w:tcW w:w="6720" w:type="dxa"/>
            <w:vAlign w:val="bottom"/>
            <w:gridSpan w:val="10"/>
            <w:shd w:val="clear" w:color="auto" w:fill="DBDBDB"/>
          </w:tcPr>
          <w:p>
            <w:pPr>
              <w:ind w:left="60"/>
              <w:spacing w:after="0" w:line="202" w:lineRule="exact"/>
              <w:rPr>
                <w:sz w:val="20"/>
                <w:szCs w:val="20"/>
                <w:color w:val="auto"/>
              </w:rPr>
            </w:pPr>
            <w:r>
              <w:rPr>
                <w:rFonts w:ascii="Arial" w:cs="Arial" w:eastAsia="Arial" w:hAnsi="Arial"/>
                <w:sz w:val="18"/>
                <w:szCs w:val="18"/>
                <w:color w:val="auto"/>
              </w:rPr>
              <w:t>Risk Factors</w:t>
            </w:r>
          </w:p>
        </w:tc>
        <w:tc>
          <w:tcPr>
            <w:tcW w:w="2600" w:type="dxa"/>
            <w:vAlign w:val="bottom"/>
            <w:gridSpan w:val="3"/>
            <w:shd w:val="clear" w:color="auto" w:fill="DBDBDB"/>
          </w:tcPr>
          <w:p>
            <w:pPr>
              <w:jc w:val="right"/>
              <w:ind w:right="580"/>
              <w:spacing w:after="0" w:line="202" w:lineRule="exact"/>
              <w:rPr>
                <w:sz w:val="20"/>
                <w:szCs w:val="20"/>
                <w:color w:val="auto"/>
              </w:rPr>
            </w:pPr>
            <w:r>
              <w:rPr>
                <w:rFonts w:ascii="Arial" w:cs="Arial" w:eastAsia="Arial" w:hAnsi="Arial"/>
                <w:sz w:val="18"/>
                <w:szCs w:val="18"/>
                <w:color w:val="auto"/>
              </w:rPr>
              <w:t>40</w:t>
            </w: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180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gridSpan w:val="2"/>
          </w:tcPr>
          <w:p>
            <w:pPr>
              <w:spacing w:after="0" w:line="202" w:lineRule="exact"/>
              <w:rPr>
                <w:sz w:val="20"/>
                <w:szCs w:val="20"/>
                <w:color w:val="auto"/>
              </w:rPr>
            </w:pPr>
            <w:r>
              <w:rPr>
                <w:rFonts w:ascii="Arial" w:cs="Arial" w:eastAsia="Arial" w:hAnsi="Arial"/>
                <w:sz w:val="18"/>
                <w:szCs w:val="18"/>
                <w:color w:val="auto"/>
              </w:rPr>
              <w:t>Item 2.</w:t>
            </w:r>
          </w:p>
        </w:tc>
        <w:tc>
          <w:tcPr>
            <w:tcW w:w="2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660" w:type="dxa"/>
            <w:vAlign w:val="bottom"/>
            <w:gridSpan w:val="9"/>
          </w:tcPr>
          <w:p>
            <w:pPr>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41</w:t>
            </w:r>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2" w:lineRule="exact"/>
              <w:rPr>
                <w:sz w:val="20"/>
                <w:szCs w:val="20"/>
                <w:color w:val="auto"/>
              </w:rPr>
            </w:pPr>
            <w:r>
              <w:rPr>
                <w:rFonts w:ascii="Arial" w:cs="Arial" w:eastAsia="Arial" w:hAnsi="Arial"/>
                <w:sz w:val="18"/>
                <w:szCs w:val="18"/>
                <w:color w:val="auto"/>
              </w:rPr>
              <w:t>Item 3.</w:t>
            </w:r>
          </w:p>
        </w:tc>
        <w:tc>
          <w:tcPr>
            <w:tcW w:w="6720" w:type="dxa"/>
            <w:vAlign w:val="bottom"/>
            <w:gridSpan w:val="10"/>
            <w:shd w:val="clear" w:color="auto" w:fill="DBDBDB"/>
          </w:tcPr>
          <w:p>
            <w:pPr>
              <w:ind w:left="60"/>
              <w:spacing w:after="0" w:line="202" w:lineRule="exact"/>
              <w:rPr>
                <w:sz w:val="20"/>
                <w:szCs w:val="20"/>
                <w:color w:val="auto"/>
              </w:rPr>
            </w:pPr>
            <w:r>
              <w:rPr>
                <w:rFonts w:ascii="Arial" w:cs="Arial" w:eastAsia="Arial" w:hAnsi="Arial"/>
                <w:sz w:val="18"/>
                <w:szCs w:val="18"/>
                <w:color w:val="auto"/>
              </w:rPr>
              <w:t>Defaults Upon Senior Securities</w:t>
            </w:r>
          </w:p>
        </w:tc>
        <w:tc>
          <w:tcPr>
            <w:tcW w:w="2600" w:type="dxa"/>
            <w:vAlign w:val="bottom"/>
            <w:gridSpan w:val="3"/>
            <w:shd w:val="clear" w:color="auto" w:fill="DBDBDB"/>
          </w:tcPr>
          <w:p>
            <w:pPr>
              <w:jc w:val="right"/>
              <w:ind w:right="580"/>
              <w:spacing w:after="0" w:line="202" w:lineRule="exact"/>
              <w:rPr>
                <w:sz w:val="20"/>
                <w:szCs w:val="20"/>
                <w:color w:val="auto"/>
              </w:rPr>
            </w:pPr>
            <w:r>
              <w:rPr>
                <w:rFonts w:ascii="Arial" w:cs="Arial" w:eastAsia="Arial" w:hAnsi="Arial"/>
                <w:sz w:val="18"/>
                <w:szCs w:val="18"/>
                <w:color w:val="auto"/>
              </w:rPr>
              <w:t>41</w:t>
            </w: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180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sz w:val="20"/>
                <w:szCs w:val="20"/>
                <w:color w:val="auto"/>
              </w:rPr>
            </w:pPr>
            <w:r>
              <w:rPr>
                <w:rFonts w:ascii="Arial" w:cs="Arial" w:eastAsia="Arial" w:hAnsi="Arial"/>
                <w:sz w:val="18"/>
                <w:szCs w:val="18"/>
                <w:color w:val="auto"/>
              </w:rPr>
              <w:t>Item 4.</w:t>
            </w:r>
          </w:p>
        </w:tc>
        <w:tc>
          <w:tcPr>
            <w:tcW w:w="6720" w:type="dxa"/>
            <w:vAlign w:val="bottom"/>
            <w:gridSpan w:val="10"/>
          </w:tcPr>
          <w:p>
            <w:pPr>
              <w:ind w:left="60"/>
              <w:spacing w:after="0" w:line="202" w:lineRule="exact"/>
              <w:rPr>
                <w:sz w:val="20"/>
                <w:szCs w:val="20"/>
                <w:color w:val="auto"/>
              </w:rPr>
            </w:pPr>
            <w:r>
              <w:rPr>
                <w:rFonts w:ascii="Arial" w:cs="Arial" w:eastAsia="Arial" w:hAnsi="Arial"/>
                <w:sz w:val="18"/>
                <w:szCs w:val="18"/>
                <w:color w:val="auto"/>
              </w:rPr>
              <w:t>Mine Safety Disclosures</w:t>
            </w:r>
          </w:p>
        </w:tc>
        <w:tc>
          <w:tcPr>
            <w:tcW w:w="2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41</w:t>
            </w: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2" w:lineRule="exact"/>
              <w:rPr>
                <w:sz w:val="20"/>
                <w:szCs w:val="20"/>
                <w:color w:val="auto"/>
              </w:rPr>
            </w:pPr>
            <w:r>
              <w:rPr>
                <w:rFonts w:ascii="Arial" w:cs="Arial" w:eastAsia="Arial" w:hAnsi="Arial"/>
                <w:sz w:val="18"/>
                <w:szCs w:val="18"/>
                <w:color w:val="auto"/>
              </w:rPr>
              <w:t>Item 5.</w:t>
            </w:r>
          </w:p>
        </w:tc>
        <w:tc>
          <w:tcPr>
            <w:tcW w:w="6720" w:type="dxa"/>
            <w:vAlign w:val="bottom"/>
            <w:gridSpan w:val="10"/>
            <w:shd w:val="clear" w:color="auto" w:fill="DBDBDB"/>
          </w:tcPr>
          <w:p>
            <w:pPr>
              <w:ind w:left="60"/>
              <w:spacing w:after="0" w:line="202" w:lineRule="exact"/>
              <w:rPr>
                <w:sz w:val="20"/>
                <w:szCs w:val="20"/>
                <w:color w:val="auto"/>
              </w:rPr>
            </w:pPr>
            <w:r>
              <w:rPr>
                <w:rFonts w:ascii="Arial" w:cs="Arial" w:eastAsia="Arial" w:hAnsi="Arial"/>
                <w:sz w:val="18"/>
                <w:szCs w:val="18"/>
                <w:color w:val="auto"/>
              </w:rPr>
              <w:t>Other Information</w:t>
            </w:r>
          </w:p>
        </w:tc>
        <w:tc>
          <w:tcPr>
            <w:tcW w:w="2600" w:type="dxa"/>
            <w:vAlign w:val="bottom"/>
            <w:gridSpan w:val="3"/>
            <w:shd w:val="clear" w:color="auto" w:fill="DBDBDB"/>
          </w:tcPr>
          <w:p>
            <w:pPr>
              <w:jc w:val="right"/>
              <w:ind w:right="580"/>
              <w:spacing w:after="0" w:line="202" w:lineRule="exact"/>
              <w:rPr>
                <w:sz w:val="20"/>
                <w:szCs w:val="20"/>
                <w:color w:val="auto"/>
              </w:rPr>
            </w:pPr>
            <w:r>
              <w:rPr>
                <w:rFonts w:ascii="Arial" w:cs="Arial" w:eastAsia="Arial" w:hAnsi="Arial"/>
                <w:sz w:val="18"/>
                <w:szCs w:val="18"/>
                <w:color w:val="auto"/>
              </w:rPr>
              <w:t>42</w:t>
            </w: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180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sz w:val="20"/>
                <w:szCs w:val="20"/>
                <w:color w:val="auto"/>
              </w:rPr>
            </w:pPr>
            <w:r>
              <w:rPr>
                <w:rFonts w:ascii="Arial" w:cs="Arial" w:eastAsia="Arial" w:hAnsi="Arial"/>
                <w:sz w:val="18"/>
                <w:szCs w:val="18"/>
                <w:color w:val="auto"/>
              </w:rPr>
              <w:t>Item 6.</w:t>
            </w:r>
          </w:p>
        </w:tc>
        <w:tc>
          <w:tcPr>
            <w:tcW w:w="6720" w:type="dxa"/>
            <w:vAlign w:val="bottom"/>
            <w:gridSpan w:val="10"/>
          </w:tcPr>
          <w:p>
            <w:pPr>
              <w:ind w:left="60"/>
              <w:spacing w:after="0" w:line="202" w:lineRule="exact"/>
              <w:rPr>
                <w:sz w:val="20"/>
                <w:szCs w:val="20"/>
                <w:color w:val="auto"/>
              </w:rPr>
            </w:pPr>
            <w:r>
              <w:rPr>
                <w:rFonts w:ascii="Arial" w:cs="Arial" w:eastAsia="Arial" w:hAnsi="Arial"/>
                <w:sz w:val="18"/>
                <w:szCs w:val="18"/>
                <w:color w:val="auto"/>
              </w:rPr>
              <w:t>Exhibits</w:t>
            </w:r>
          </w:p>
        </w:tc>
        <w:tc>
          <w:tcPr>
            <w:tcW w:w="2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43</w:t>
            </w: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70"/>
        </w:trPr>
        <w:tc>
          <w:tcPr>
            <w:tcW w:w="2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420" w:type="dxa"/>
            <w:vAlign w:val="bottom"/>
            <w:shd w:val="clear" w:color="auto" w:fill="DBDBDB"/>
          </w:tcPr>
          <w:p>
            <w:pPr>
              <w:spacing w:after="0"/>
              <w:rPr>
                <w:sz w:val="23"/>
                <w:szCs w:val="23"/>
                <w:color w:val="auto"/>
              </w:rPr>
            </w:pPr>
          </w:p>
        </w:tc>
        <w:tc>
          <w:tcPr>
            <w:tcW w:w="54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c>
          <w:tcPr>
            <w:tcW w:w="4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4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2300" w:type="dxa"/>
            <w:vAlign w:val="bottom"/>
            <w:shd w:val="clear" w:color="auto" w:fill="DBDBDB"/>
          </w:tcPr>
          <w:p>
            <w:pPr>
              <w:spacing w:after="0"/>
              <w:rPr>
                <w:sz w:val="23"/>
                <w:szCs w:val="23"/>
                <w:color w:val="auto"/>
              </w:rPr>
            </w:pPr>
          </w:p>
        </w:tc>
        <w:tc>
          <w:tcPr>
            <w:tcW w:w="1800" w:type="dxa"/>
            <w:vAlign w:val="bottom"/>
            <w:shd w:val="clear" w:color="auto" w:fill="DBDBDB"/>
          </w:tcPr>
          <w:p>
            <w:pPr>
              <w:spacing w:after="0"/>
              <w:rPr>
                <w:sz w:val="23"/>
                <w:szCs w:val="23"/>
                <w:color w:val="auto"/>
              </w:rPr>
            </w:pPr>
          </w:p>
        </w:tc>
        <w:tc>
          <w:tcPr>
            <w:tcW w:w="182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580" w:type="dxa"/>
            <w:vAlign w:val="bottom"/>
            <w:shd w:val="clear" w:color="auto" w:fill="DBDBDB"/>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sz w:val="20"/>
                <w:szCs w:val="20"/>
                <w:color w:val="auto"/>
              </w:rPr>
            </w:pPr>
            <w:r>
              <w:rPr>
                <w:rFonts w:ascii="Arial" w:cs="Arial" w:eastAsia="Arial" w:hAnsi="Arial"/>
                <w:sz w:val="18"/>
                <w:szCs w:val="18"/>
                <w:color w:val="auto"/>
              </w:rPr>
              <w:t>Signatures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44</w:t>
            </w:r>
          </w:p>
        </w:tc>
      </w:tr>
      <w:tr>
        <w:trPr>
          <w:trHeight w:val="1877"/>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Cautionary Note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Many of the forward-looking statements are located in Part I, Item 2 of this Form 10-Q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"future," "outlook," "potential," "project," "projection," "plan," "intend," "seek," "may," "could," "would," "will," "should," "can," "can have," "likely," the negatives thereof and other similar expressions.</w:t>
      </w:r>
    </w:p>
    <w:p>
      <w:pPr>
        <w:spacing w:after="0" w:line="2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we may not predict. As a result, our actual results may differ materially from those contemplated by the forward-looking statements, and you should not unduly rely on these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21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or arising from our organizational structure;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food-borne illness and food safety and other health concerns about our food;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unionization activities of our restaurant workers on our operations and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recent bank failures on the marketplace, including the ability to access credit;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reliance on certain information technology systems and potential failures or interruptions;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privacy and cyber security risks related to our digital ordering and payment platforms for our delivery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including from our competitors in the restaurant industry or our own restaurants;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increasingly competitive labor market and our ability to attract and retain the best talent and qualified employees;</w:t>
      </w:r>
    </w:p>
    <w:p>
      <w:pPr>
        <w:spacing w:after="0" w:line="9" w:lineRule="exact"/>
        <w:rPr>
          <w:rFonts w:ascii="Arial" w:cs="Arial" w:eastAsia="Arial" w:hAnsi="Arial"/>
          <w:sz w:val="18"/>
          <w:szCs w:val="18"/>
          <w:color w:val="auto"/>
        </w:rPr>
      </w:pPr>
    </w:p>
    <w:p>
      <w:pPr>
        <w:ind w:left="660" w:hanging="328"/>
        <w:spacing w:after="0" w:line="265" w:lineRule="auto"/>
        <w:tabs>
          <w:tab w:leader="none" w:pos="66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federal, state or local government regulations relating to privacy, data protection, advertising and consumer protection, building and zoning requirements, costs or ability to open new restaurants, or sale of food and alcoholic beverage control regulations;</w:t>
      </w:r>
    </w:p>
    <w:p>
      <w:pPr>
        <w:ind w:left="660" w:right="480" w:hanging="328"/>
        <w:spacing w:after="0" w:line="250"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achieve our growth strategy, such as the availability of suitable new restaurant sites in existing and new markets and opening of new restaurants at the anticipated rate and on the anticipated timeline;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consumer sentiment and other economic factors on our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food and other operating costs, tariffs and import taxes, and supply shortages;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future impact of COVID-19 (including any variant) on our results of operations, supply chain or liquidity;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identified in our filings with the Securities and Exchange Commission (the “SEC”).</w:t>
      </w:r>
    </w:p>
    <w:p>
      <w:pPr>
        <w:spacing w:after="0" w:line="24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10-Q in the context of the risks and uncertainties disclosed in our Annual Report on Form 10-K for the fiscal year ended December 25, 2022 filed with the SEC on March 2, 2023, which is available on the SEC's website at www.sec.gov.</w:t>
      </w:r>
    </w:p>
    <w:p>
      <w:pPr>
        <w:spacing w:after="0" w:line="21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forward-looking statements included in this Form 10-Q are made only as of the date hereof. The Company undertakes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1. Financial Statements (Unaudited)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3600" w:type="dxa"/>
            <w:vAlign w:val="bottom"/>
            <w:gridSpan w:val="5"/>
          </w:tcPr>
          <w:p>
            <w:pPr>
              <w:ind w:left="2640"/>
              <w:spacing w:after="0"/>
              <w:rPr>
                <w:sz w:val="20"/>
                <w:szCs w:val="20"/>
                <w:color w:val="auto"/>
              </w:rPr>
            </w:pPr>
            <w:r>
              <w:rPr>
                <w:rFonts w:ascii="Arial" w:cs="Arial" w:eastAsia="Arial" w:hAnsi="Arial"/>
                <w:sz w:val="18"/>
                <w:szCs w:val="18"/>
                <w:b w:val="1"/>
                <w:bCs w:val="1"/>
                <w:color w:val="auto"/>
              </w:rPr>
              <w:t>Page</w:t>
            </w:r>
          </w:p>
        </w:tc>
      </w:tr>
      <w:tr>
        <w:trPr>
          <w:trHeight w:val="210"/>
        </w:trPr>
        <w:tc>
          <w:tcPr>
            <w:tcW w:w="140" w:type="dxa"/>
            <w:vAlign w:val="bottom"/>
            <w:shd w:val="clear" w:color="auto" w:fill="DBDBDB"/>
          </w:tcPr>
          <w:p>
            <w:pPr>
              <w:spacing w:after="0"/>
              <w:rPr>
                <w:sz w:val="18"/>
                <w:szCs w:val="18"/>
                <w:color w:val="auto"/>
              </w:rPr>
            </w:pPr>
          </w:p>
        </w:tc>
        <w:tc>
          <w:tcPr>
            <w:tcW w:w="7500" w:type="dxa"/>
            <w:vAlign w:val="bottom"/>
            <w:gridSpan w:val="22"/>
            <w:shd w:val="clear" w:color="auto" w:fill="DBDBDB"/>
          </w:tcPr>
          <w:p>
            <w:pPr>
              <w:spacing w:after="0"/>
              <w:rPr>
                <w:sz w:val="20"/>
                <w:szCs w:val="20"/>
                <w:color w:val="auto"/>
              </w:rPr>
            </w:pPr>
            <w:r>
              <w:rPr>
                <w:rFonts w:ascii="Arial" w:cs="Arial" w:eastAsia="Arial" w:hAnsi="Arial"/>
                <w:sz w:val="18"/>
                <w:szCs w:val="18"/>
                <w:color w:val="auto"/>
              </w:rPr>
              <w:t>Condensed Consolidated Balance Sheets</w:t>
            </w:r>
          </w:p>
        </w:tc>
        <w:tc>
          <w:tcPr>
            <w:tcW w:w="2960" w:type="dxa"/>
            <w:vAlign w:val="bottom"/>
            <w:gridSpan w:val="4"/>
            <w:shd w:val="clear" w:color="auto" w:fill="DBDBDB"/>
          </w:tcPr>
          <w:p>
            <w:pPr>
              <w:jc w:val="center"/>
              <w:ind w:left="2650"/>
              <w:spacing w:after="0"/>
              <w:rPr>
                <w:sz w:val="20"/>
                <w:szCs w:val="20"/>
                <w:color w:val="auto"/>
              </w:rPr>
            </w:pPr>
            <w:r>
              <w:rPr>
                <w:rFonts w:ascii="Arial" w:cs="Arial" w:eastAsia="Arial" w:hAnsi="Arial"/>
                <w:sz w:val="18"/>
                <w:szCs w:val="18"/>
                <w:color w:val="auto"/>
                <w:w w:val="99"/>
              </w:rPr>
              <w:t>3</w:t>
            </w:r>
          </w:p>
        </w:tc>
        <w:tc>
          <w:tcPr>
            <w:tcW w:w="640" w:type="dxa"/>
            <w:vAlign w:val="bottom"/>
            <w:shd w:val="clear" w:color="auto" w:fill="DBDBDB"/>
          </w:tcPr>
          <w:p>
            <w:pPr>
              <w:spacing w:after="0"/>
              <w:rPr>
                <w:sz w:val="18"/>
                <w:szCs w:val="18"/>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7500" w:type="dxa"/>
            <w:vAlign w:val="bottom"/>
            <w:gridSpan w:val="22"/>
          </w:tcPr>
          <w:p>
            <w:pPr>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2960" w:type="dxa"/>
            <w:vAlign w:val="bottom"/>
            <w:gridSpan w:val="4"/>
          </w:tcPr>
          <w:p>
            <w:pPr>
              <w:jc w:val="center"/>
              <w:ind w:left="2650"/>
              <w:spacing w:after="0" w:line="202" w:lineRule="exact"/>
              <w:rPr>
                <w:sz w:val="20"/>
                <w:szCs w:val="20"/>
                <w:color w:val="auto"/>
              </w:rPr>
            </w:pPr>
            <w:r>
              <w:rPr>
                <w:rFonts w:ascii="Arial" w:cs="Arial" w:eastAsia="Arial" w:hAnsi="Arial"/>
                <w:sz w:val="18"/>
                <w:szCs w:val="18"/>
                <w:color w:val="auto"/>
                <w:w w:val="99"/>
              </w:rPr>
              <w:t>4</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7500" w:type="dxa"/>
            <w:vAlign w:val="bottom"/>
            <w:gridSpan w:val="22"/>
            <w:shd w:val="clear" w:color="auto" w:fill="DBDBDB"/>
          </w:tcPr>
          <w:p>
            <w:pPr>
              <w:spacing w:after="0" w:line="202" w:lineRule="exact"/>
              <w:rPr>
                <w:sz w:val="20"/>
                <w:szCs w:val="20"/>
                <w:color w:val="auto"/>
              </w:rPr>
            </w:pPr>
            <w:r>
              <w:rPr>
                <w:rFonts w:ascii="Arial" w:cs="Arial" w:eastAsia="Arial" w:hAnsi="Arial"/>
                <w:sz w:val="18"/>
                <w:szCs w:val="18"/>
                <w:color w:val="auto"/>
              </w:rPr>
              <w:t>Condensed Consolidated Statements of Stockholders' Equity</w:t>
            </w:r>
          </w:p>
        </w:tc>
        <w:tc>
          <w:tcPr>
            <w:tcW w:w="2960" w:type="dxa"/>
            <w:vAlign w:val="bottom"/>
            <w:gridSpan w:val="4"/>
            <w:shd w:val="clear" w:color="auto" w:fill="DBDBDB"/>
          </w:tcPr>
          <w:p>
            <w:pPr>
              <w:jc w:val="center"/>
              <w:ind w:left="2650"/>
              <w:spacing w:after="0" w:line="202" w:lineRule="exact"/>
              <w:rPr>
                <w:sz w:val="20"/>
                <w:szCs w:val="20"/>
                <w:color w:val="auto"/>
              </w:rPr>
            </w:pPr>
            <w:r>
              <w:rPr>
                <w:rFonts w:ascii="Arial" w:cs="Arial" w:eastAsia="Arial" w:hAnsi="Arial"/>
                <w:sz w:val="18"/>
                <w:szCs w:val="18"/>
                <w:color w:val="auto"/>
                <w:w w:val="99"/>
              </w:rPr>
              <w:t>6</w:t>
            </w:r>
          </w:p>
        </w:tc>
        <w:tc>
          <w:tcPr>
            <w:tcW w:w="640" w:type="dxa"/>
            <w:vAlign w:val="bottom"/>
            <w:shd w:val="clear" w:color="auto" w:fill="DBDBDB"/>
          </w:tcPr>
          <w:p>
            <w:pPr>
              <w:spacing w:after="0"/>
              <w:rPr>
                <w:sz w:val="17"/>
                <w:szCs w:val="17"/>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380" w:type="dxa"/>
            <w:vAlign w:val="bottom"/>
            <w:tcBorders>
              <w:top w:val="single" w:sz="8" w:color="auto"/>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4840" w:type="dxa"/>
            <w:vAlign w:val="bottom"/>
            <w:gridSpan w:val="21"/>
          </w:tcPr>
          <w:p>
            <w:pPr>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2660" w:type="dxa"/>
            <w:vAlign w:val="bottom"/>
          </w:tcPr>
          <w:p>
            <w:pPr>
              <w:spacing w:after="0"/>
              <w:rPr>
                <w:sz w:val="17"/>
                <w:szCs w:val="17"/>
                <w:color w:val="auto"/>
              </w:rPr>
            </w:pPr>
          </w:p>
        </w:tc>
        <w:tc>
          <w:tcPr>
            <w:tcW w:w="2800" w:type="dxa"/>
            <w:vAlign w:val="bottom"/>
            <w:gridSpan w:val="2"/>
          </w:tcPr>
          <w:p>
            <w:pPr>
              <w:spacing w:after="0"/>
              <w:rPr>
                <w:sz w:val="17"/>
                <w:szCs w:val="17"/>
                <w:color w:val="auto"/>
              </w:rPr>
            </w:pPr>
          </w:p>
        </w:tc>
        <w:tc>
          <w:tcPr>
            <w:tcW w:w="1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7</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7500" w:type="dxa"/>
            <w:vAlign w:val="bottom"/>
            <w:gridSpan w:val="22"/>
            <w:shd w:val="clear" w:color="auto" w:fill="DBDBDB"/>
          </w:tcPr>
          <w:p>
            <w:pPr>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960" w:type="dxa"/>
            <w:vAlign w:val="bottom"/>
            <w:gridSpan w:val="4"/>
            <w:shd w:val="clear" w:color="auto" w:fill="DBDBDB"/>
          </w:tcPr>
          <w:p>
            <w:pPr>
              <w:jc w:val="center"/>
              <w:ind w:left="2650"/>
              <w:spacing w:after="0" w:line="202" w:lineRule="exact"/>
              <w:rPr>
                <w:sz w:val="20"/>
                <w:szCs w:val="20"/>
                <w:color w:val="auto"/>
              </w:rPr>
            </w:pPr>
            <w:r>
              <w:rPr>
                <w:rFonts w:ascii="Arial" w:cs="Arial" w:eastAsia="Arial" w:hAnsi="Arial"/>
                <w:sz w:val="18"/>
                <w:szCs w:val="18"/>
                <w:color w:val="auto"/>
                <w:w w:val="99"/>
              </w:rPr>
              <w:t>9</w:t>
            </w:r>
          </w:p>
        </w:tc>
        <w:tc>
          <w:tcPr>
            <w:tcW w:w="640" w:type="dxa"/>
            <w:vAlign w:val="bottom"/>
            <w:shd w:val="clear" w:color="auto" w:fill="DBDBDB"/>
          </w:tcPr>
          <w:p>
            <w:pPr>
              <w:spacing w:after="0"/>
              <w:rPr>
                <w:sz w:val="17"/>
                <w:szCs w:val="17"/>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19"/>
          </w:tcPr>
          <w:p>
            <w:pPr>
              <w:spacing w:after="0" w:line="202" w:lineRule="exact"/>
              <w:rPr>
                <w:sz w:val="20"/>
                <w:szCs w:val="20"/>
                <w:color w:val="auto"/>
              </w:rPr>
            </w:pPr>
            <w:r>
              <w:rPr>
                <w:rFonts w:ascii="Arial" w:cs="Arial" w:eastAsia="Arial" w:hAnsi="Arial"/>
                <w:sz w:val="18"/>
                <w:szCs w:val="18"/>
                <w:color w:val="auto"/>
              </w:rPr>
              <w:t>Note 1. Description Of Business</w:t>
            </w:r>
          </w:p>
        </w:tc>
        <w:tc>
          <w:tcPr>
            <w:tcW w:w="3040" w:type="dxa"/>
            <w:vAlign w:val="bottom"/>
            <w:gridSpan w:val="2"/>
          </w:tcPr>
          <w:p>
            <w:pPr>
              <w:spacing w:after="0"/>
              <w:rPr>
                <w:sz w:val="17"/>
                <w:szCs w:val="17"/>
                <w:color w:val="auto"/>
              </w:rPr>
            </w:pPr>
          </w:p>
        </w:tc>
        <w:tc>
          <w:tcPr>
            <w:tcW w:w="2800" w:type="dxa"/>
            <w:vAlign w:val="bottom"/>
            <w:gridSpan w:val="2"/>
          </w:tcPr>
          <w:p>
            <w:pPr>
              <w:spacing w:after="0"/>
              <w:rPr>
                <w:sz w:val="17"/>
                <w:szCs w:val="17"/>
                <w:color w:val="auto"/>
              </w:rPr>
            </w:pPr>
          </w:p>
        </w:tc>
        <w:tc>
          <w:tcPr>
            <w:tcW w:w="1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9</w:t>
            </w:r>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140" w:type="dxa"/>
            <w:vAlign w:val="bottom"/>
            <w:gridSpan w:val="18"/>
            <w:shd w:val="clear" w:color="auto" w:fill="DBDBDB"/>
          </w:tcPr>
          <w:p>
            <w:pPr>
              <w:spacing w:after="0" w:line="202" w:lineRule="exact"/>
              <w:rPr>
                <w:sz w:val="20"/>
                <w:szCs w:val="20"/>
                <w:color w:val="auto"/>
              </w:rPr>
            </w:pPr>
            <w:r>
              <w:rPr>
                <w:rFonts w:ascii="Arial" w:cs="Arial" w:eastAsia="Arial" w:hAnsi="Arial"/>
                <w:sz w:val="18"/>
                <w:szCs w:val="18"/>
                <w:color w:val="auto"/>
                <w:w w:val="99"/>
              </w:rPr>
              <w:t>Note 2. Summary Of Significant Accounting Policies</w:t>
            </w:r>
          </w:p>
        </w:tc>
        <w:tc>
          <w:tcPr>
            <w:tcW w:w="3260" w:type="dxa"/>
            <w:vAlign w:val="bottom"/>
            <w:gridSpan w:val="3"/>
            <w:shd w:val="clear" w:color="auto" w:fill="DBDBDB"/>
          </w:tcPr>
          <w:p>
            <w:pPr>
              <w:spacing w:after="0"/>
              <w:rPr>
                <w:sz w:val="21"/>
                <w:szCs w:val="21"/>
                <w:color w:val="auto"/>
              </w:rPr>
            </w:pP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140" w:type="dxa"/>
            <w:vAlign w:val="bottom"/>
            <w:tcBorders>
              <w:top w:val="single" w:sz="8" w:color="DBDBDB"/>
            </w:tcBorders>
          </w:tcPr>
          <w:p>
            <w:pPr>
              <w:spacing w:after="0"/>
              <w:rPr>
                <w:sz w:val="17"/>
                <w:szCs w:val="17"/>
                <w:color w:val="auto"/>
              </w:rPr>
            </w:pPr>
          </w:p>
        </w:tc>
        <w:tc>
          <w:tcPr>
            <w:tcW w:w="100" w:type="dxa"/>
            <w:vAlign w:val="bottom"/>
            <w:tcBorders>
              <w:top w:val="single" w:sz="8" w:color="DBDBDB"/>
            </w:tcBorders>
          </w:tcPr>
          <w:p>
            <w:pPr>
              <w:spacing w:after="0"/>
              <w:rPr>
                <w:sz w:val="17"/>
                <w:szCs w:val="17"/>
                <w:color w:val="auto"/>
              </w:rPr>
            </w:pPr>
          </w:p>
        </w:tc>
        <w:tc>
          <w:tcPr>
            <w:tcW w:w="4140" w:type="dxa"/>
            <w:vAlign w:val="bottom"/>
            <w:tcBorders>
              <w:top w:val="single" w:sz="8" w:color="auto"/>
            </w:tcBorders>
            <w:gridSpan w:val="18"/>
          </w:tcPr>
          <w:p>
            <w:pPr>
              <w:spacing w:after="0" w:line="202" w:lineRule="exact"/>
              <w:rPr>
                <w:sz w:val="20"/>
                <w:szCs w:val="20"/>
                <w:color w:val="auto"/>
              </w:rPr>
            </w:pPr>
            <w:r>
              <w:rPr>
                <w:rFonts w:ascii="Arial" w:cs="Arial" w:eastAsia="Arial" w:hAnsi="Arial"/>
                <w:sz w:val="18"/>
                <w:szCs w:val="18"/>
                <w:color w:val="auto"/>
              </w:rPr>
              <w:t>Note 3. Revenue Recognition</w:t>
            </w:r>
          </w:p>
        </w:tc>
        <w:tc>
          <w:tcPr>
            <w:tcW w:w="3260" w:type="dxa"/>
            <w:vAlign w:val="bottom"/>
            <w:tcBorders>
              <w:top w:val="single" w:sz="8" w:color="DBDBDB"/>
            </w:tcBorders>
            <w:gridSpan w:val="3"/>
          </w:tcPr>
          <w:p>
            <w:pPr>
              <w:spacing w:after="0"/>
              <w:rPr>
                <w:sz w:val="17"/>
                <w:szCs w:val="17"/>
                <w:color w:val="auto"/>
              </w:rPr>
            </w:pPr>
          </w:p>
        </w:tc>
        <w:tc>
          <w:tcPr>
            <w:tcW w:w="2760" w:type="dxa"/>
            <w:vAlign w:val="bottom"/>
            <w:tcBorders>
              <w:top w:val="single" w:sz="8" w:color="DBDBDB"/>
            </w:tcBorders>
          </w:tcPr>
          <w:p>
            <w:pPr>
              <w:spacing w:after="0"/>
              <w:rPr>
                <w:sz w:val="17"/>
                <w:szCs w:val="17"/>
                <w:color w:val="auto"/>
              </w:rPr>
            </w:pPr>
          </w:p>
        </w:tc>
        <w:tc>
          <w:tcPr>
            <w:tcW w:w="200" w:type="dxa"/>
            <w:vAlign w:val="bottom"/>
            <w:tcBorders>
              <w:top w:val="single" w:sz="8" w:color="auto"/>
            </w:tcBorders>
            <w:gridSpan w:val="3"/>
          </w:tcPr>
          <w:p>
            <w:pPr>
              <w:jc w:val="center"/>
              <w:spacing w:after="0" w:line="202" w:lineRule="exact"/>
              <w:rPr>
                <w:sz w:val="20"/>
                <w:szCs w:val="20"/>
                <w:color w:val="auto"/>
              </w:rPr>
            </w:pPr>
            <w:r>
              <w:rPr>
                <w:rFonts w:ascii="Arial" w:cs="Arial" w:eastAsia="Arial" w:hAnsi="Arial"/>
                <w:sz w:val="18"/>
                <w:szCs w:val="18"/>
                <w:color w:val="auto"/>
                <w:w w:val="99"/>
              </w:rPr>
              <w:t>11</w:t>
            </w:r>
          </w:p>
        </w:tc>
        <w:tc>
          <w:tcPr>
            <w:tcW w:w="640" w:type="dxa"/>
            <w:vAlign w:val="bottom"/>
            <w:tcBorders>
              <w:top w:val="single" w:sz="8" w:color="DBDBDB"/>
            </w:tcBorders>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20" w:type="dxa"/>
            <w:vAlign w:val="bottom"/>
            <w:gridSpan w:val="3"/>
            <w:shd w:val="clear" w:color="auto" w:fill="DBDBDB"/>
          </w:tcPr>
          <w:p>
            <w:pPr>
              <w:spacing w:after="0" w:line="202" w:lineRule="exact"/>
              <w:rPr>
                <w:sz w:val="20"/>
                <w:szCs w:val="20"/>
                <w:color w:val="auto"/>
              </w:rPr>
            </w:pPr>
            <w:r>
              <w:rPr>
                <w:rFonts w:ascii="Arial" w:cs="Arial" w:eastAsia="Arial" w:hAnsi="Arial"/>
                <w:sz w:val="18"/>
                <w:szCs w:val="18"/>
                <w:color w:val="auto"/>
                <w:w w:val="99"/>
              </w:rPr>
              <w:t>Note 4. Inventories</w:t>
            </w:r>
          </w:p>
        </w:tc>
        <w:tc>
          <w:tcPr>
            <w:tcW w:w="5880" w:type="dxa"/>
            <w:vAlign w:val="bottom"/>
            <w:gridSpan w:val="18"/>
            <w:shd w:val="clear" w:color="auto" w:fill="DBDBDB"/>
          </w:tcPr>
          <w:p>
            <w:pPr>
              <w:spacing w:after="0"/>
              <w:rPr>
                <w:sz w:val="17"/>
                <w:szCs w:val="17"/>
                <w:color w:val="auto"/>
              </w:rPr>
            </w:pP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12</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2"/>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1"/>
          </w:tcPr>
          <w:p>
            <w:pPr>
              <w:spacing w:after="0" w:line="202" w:lineRule="exact"/>
              <w:rPr>
                <w:sz w:val="20"/>
                <w:szCs w:val="20"/>
                <w:color w:val="auto"/>
              </w:rPr>
            </w:pPr>
            <w:r>
              <w:rPr>
                <w:rFonts w:ascii="Arial" w:cs="Arial" w:eastAsia="Arial" w:hAnsi="Arial"/>
                <w:sz w:val="18"/>
                <w:szCs w:val="18"/>
                <w:color w:val="auto"/>
              </w:rPr>
              <w:t>Note 5. Property &amp; Equipment, Net</w:t>
            </w: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12</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2"/>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920" w:type="dxa"/>
            <w:vAlign w:val="bottom"/>
            <w:gridSpan w:val="12"/>
            <w:shd w:val="clear" w:color="auto" w:fill="DBDBDB"/>
          </w:tcPr>
          <w:p>
            <w:pPr>
              <w:spacing w:after="0" w:line="202" w:lineRule="exact"/>
              <w:rPr>
                <w:sz w:val="20"/>
                <w:szCs w:val="20"/>
                <w:color w:val="auto"/>
              </w:rPr>
            </w:pPr>
            <w:r>
              <w:rPr>
                <w:rFonts w:ascii="Arial" w:cs="Arial" w:eastAsia="Arial" w:hAnsi="Arial"/>
                <w:sz w:val="18"/>
                <w:szCs w:val="18"/>
                <w:color w:val="auto"/>
                <w:w w:val="99"/>
              </w:rPr>
              <w:t>Note 6. Goodwill &amp; Intangible Assets</w:t>
            </w:r>
          </w:p>
        </w:tc>
        <w:tc>
          <w:tcPr>
            <w:tcW w:w="4480" w:type="dxa"/>
            <w:vAlign w:val="bottom"/>
            <w:gridSpan w:val="9"/>
            <w:shd w:val="clear" w:color="auto" w:fill="DBDBDB"/>
          </w:tcPr>
          <w:p>
            <w:pPr>
              <w:spacing w:after="0"/>
              <w:rPr>
                <w:sz w:val="17"/>
                <w:szCs w:val="17"/>
                <w:color w:val="auto"/>
              </w:rPr>
            </w:pP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13</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1"/>
          </w:tcPr>
          <w:p>
            <w:pPr>
              <w:spacing w:after="0" w:line="202" w:lineRule="exact"/>
              <w:rPr>
                <w:sz w:val="20"/>
                <w:szCs w:val="20"/>
                <w:color w:val="auto"/>
              </w:rPr>
            </w:pPr>
            <w:r>
              <w:rPr>
                <w:rFonts w:ascii="Arial" w:cs="Arial" w:eastAsia="Arial" w:hAnsi="Arial"/>
                <w:sz w:val="18"/>
                <w:szCs w:val="18"/>
                <w:color w:val="auto"/>
              </w:rPr>
              <w:t>Note 7. Fair Value of Financial Instruments</w:t>
            </w: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14</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w w:val="98"/>
              </w:rPr>
              <w:t>Note 8. Debt</w:t>
            </w:r>
          </w:p>
        </w:tc>
        <w:tc>
          <w:tcPr>
            <w:tcW w:w="6380" w:type="dxa"/>
            <w:vAlign w:val="bottom"/>
            <w:gridSpan w:val="20"/>
            <w:shd w:val="clear" w:color="auto" w:fill="DBDBDB"/>
          </w:tcPr>
          <w:p>
            <w:pPr>
              <w:spacing w:after="0"/>
              <w:rPr>
                <w:sz w:val="17"/>
                <w:szCs w:val="17"/>
                <w:color w:val="auto"/>
              </w:rPr>
            </w:pP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15</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3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1"/>
          </w:tcPr>
          <w:p>
            <w:pPr>
              <w:spacing w:after="0" w:line="202" w:lineRule="exact"/>
              <w:rPr>
                <w:sz w:val="20"/>
                <w:szCs w:val="20"/>
                <w:color w:val="auto"/>
              </w:rPr>
            </w:pPr>
            <w:r>
              <w:rPr>
                <w:rFonts w:ascii="Arial" w:cs="Arial" w:eastAsia="Arial" w:hAnsi="Arial"/>
                <w:sz w:val="18"/>
                <w:szCs w:val="18"/>
                <w:color w:val="auto"/>
              </w:rPr>
              <w:t>Note 9. Leases</w:t>
            </w: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17</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400" w:type="dxa"/>
            <w:vAlign w:val="bottom"/>
            <w:gridSpan w:val="21"/>
            <w:shd w:val="clear" w:color="auto" w:fill="DBDBDB"/>
          </w:tcPr>
          <w:p>
            <w:pPr>
              <w:spacing w:after="0" w:line="202" w:lineRule="exact"/>
              <w:rPr>
                <w:sz w:val="20"/>
                <w:szCs w:val="20"/>
                <w:color w:val="auto"/>
              </w:rPr>
            </w:pPr>
            <w:r>
              <w:rPr>
                <w:rFonts w:ascii="Arial" w:cs="Arial" w:eastAsia="Arial" w:hAnsi="Arial"/>
                <w:sz w:val="18"/>
                <w:szCs w:val="18"/>
                <w:color w:val="auto"/>
              </w:rPr>
              <w:t>Note 10. Non-Controlling Interests</w:t>
            </w: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18</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1"/>
          </w:tcPr>
          <w:p>
            <w:pPr>
              <w:spacing w:after="0" w:line="202" w:lineRule="exact"/>
              <w:rPr>
                <w:sz w:val="20"/>
                <w:szCs w:val="20"/>
                <w:color w:val="auto"/>
              </w:rPr>
            </w:pPr>
            <w:r>
              <w:rPr>
                <w:rFonts w:ascii="Arial" w:cs="Arial" w:eastAsia="Arial" w:hAnsi="Arial"/>
                <w:sz w:val="18"/>
                <w:szCs w:val="18"/>
                <w:color w:val="auto"/>
              </w:rPr>
              <w:t>Note 11. Equity-Based Compensation</w:t>
            </w: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19</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400" w:type="dxa"/>
            <w:vAlign w:val="bottom"/>
            <w:gridSpan w:val="21"/>
            <w:shd w:val="clear" w:color="auto" w:fill="DBDBDB"/>
          </w:tcPr>
          <w:p>
            <w:pPr>
              <w:spacing w:after="0" w:line="202" w:lineRule="exact"/>
              <w:rPr>
                <w:sz w:val="20"/>
                <w:szCs w:val="20"/>
                <w:color w:val="auto"/>
              </w:rPr>
            </w:pPr>
            <w:r>
              <w:rPr>
                <w:rFonts w:ascii="Arial" w:cs="Arial" w:eastAsia="Arial" w:hAnsi="Arial"/>
                <w:sz w:val="18"/>
                <w:szCs w:val="18"/>
                <w:color w:val="auto"/>
              </w:rPr>
              <w:t>Note 12. Income Taxes</w:t>
            </w: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20</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1"/>
          </w:tcPr>
          <w:p>
            <w:pPr>
              <w:spacing w:after="0" w:line="202" w:lineRule="exact"/>
              <w:rPr>
                <w:sz w:val="20"/>
                <w:szCs w:val="20"/>
                <w:color w:val="auto"/>
              </w:rPr>
            </w:pPr>
            <w:r>
              <w:rPr>
                <w:rFonts w:ascii="Arial" w:cs="Arial" w:eastAsia="Arial" w:hAnsi="Arial"/>
                <w:sz w:val="18"/>
                <w:szCs w:val="18"/>
                <w:color w:val="auto"/>
              </w:rPr>
              <w:t>Note 13. Earnings Per Share</w:t>
            </w: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21</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w w:val="99"/>
              </w:rPr>
              <w:t>Note 14. Contingencies</w:t>
            </w:r>
          </w:p>
        </w:tc>
        <w:tc>
          <w:tcPr>
            <w:tcW w:w="5520" w:type="dxa"/>
            <w:vAlign w:val="bottom"/>
            <w:gridSpan w:val="16"/>
            <w:shd w:val="clear" w:color="auto" w:fill="DBDBDB"/>
          </w:tcPr>
          <w:p>
            <w:pPr>
              <w:spacing w:after="0"/>
              <w:rPr>
                <w:sz w:val="17"/>
                <w:szCs w:val="17"/>
                <w:color w:val="auto"/>
              </w:rPr>
            </w:pP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22</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1"/>
          </w:tcPr>
          <w:p>
            <w:pPr>
              <w:spacing w:after="0" w:line="202" w:lineRule="exact"/>
              <w:rPr>
                <w:sz w:val="20"/>
                <w:szCs w:val="20"/>
                <w:color w:val="auto"/>
              </w:rPr>
            </w:pPr>
            <w:r>
              <w:rPr>
                <w:rFonts w:ascii="Arial" w:cs="Arial" w:eastAsia="Arial" w:hAnsi="Arial"/>
                <w:sz w:val="18"/>
                <w:szCs w:val="18"/>
                <w:color w:val="auto"/>
              </w:rPr>
              <w:t>Note 15. Related Party Transactions</w:t>
            </w:r>
          </w:p>
        </w:tc>
        <w:tc>
          <w:tcPr>
            <w:tcW w:w="3600" w:type="dxa"/>
            <w:vAlign w:val="bottom"/>
            <w:gridSpan w:val="5"/>
          </w:tcPr>
          <w:p>
            <w:pPr>
              <w:jc w:val="center"/>
              <w:ind w:left="2030"/>
              <w:spacing w:after="0" w:line="202" w:lineRule="exact"/>
              <w:rPr>
                <w:sz w:val="20"/>
                <w:szCs w:val="20"/>
                <w:color w:val="auto"/>
              </w:rPr>
            </w:pPr>
            <w:r>
              <w:rPr>
                <w:rFonts w:ascii="Arial" w:cs="Arial" w:eastAsia="Arial" w:hAnsi="Arial"/>
                <w:sz w:val="18"/>
                <w:szCs w:val="18"/>
                <w:color w:val="auto"/>
                <w:w w:val="99"/>
              </w:rPr>
              <w:t>22</w:t>
            </w:r>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400" w:type="dxa"/>
            <w:vAlign w:val="bottom"/>
            <w:gridSpan w:val="21"/>
            <w:shd w:val="clear" w:color="auto" w:fill="DBDBDB"/>
          </w:tcPr>
          <w:p>
            <w:pPr>
              <w:spacing w:after="0" w:line="202" w:lineRule="exact"/>
              <w:rPr>
                <w:sz w:val="20"/>
                <w:szCs w:val="20"/>
                <w:color w:val="auto"/>
              </w:rPr>
            </w:pPr>
            <w:r>
              <w:rPr>
                <w:rFonts w:ascii="Arial" w:cs="Arial" w:eastAsia="Arial" w:hAnsi="Arial"/>
                <w:sz w:val="18"/>
                <w:szCs w:val="18"/>
                <w:color w:val="auto"/>
              </w:rPr>
              <w:t>Note 16. Subsequent Events</w:t>
            </w:r>
          </w:p>
        </w:tc>
        <w:tc>
          <w:tcPr>
            <w:tcW w:w="3600" w:type="dxa"/>
            <w:vAlign w:val="bottom"/>
            <w:gridSpan w:val="5"/>
            <w:shd w:val="clear" w:color="auto" w:fill="DBDBDB"/>
          </w:tcPr>
          <w:p>
            <w:pPr>
              <w:jc w:val="center"/>
              <w:ind w:left="2030"/>
              <w:spacing w:after="0" w:line="202" w:lineRule="exact"/>
              <w:rPr>
                <w:sz w:val="20"/>
                <w:szCs w:val="20"/>
                <w:color w:val="auto"/>
              </w:rPr>
            </w:pPr>
            <w:r>
              <w:rPr>
                <w:rFonts w:ascii="Arial" w:cs="Arial" w:eastAsia="Arial" w:hAnsi="Arial"/>
                <w:sz w:val="18"/>
                <w:szCs w:val="18"/>
                <w:color w:val="auto"/>
                <w:w w:val="99"/>
              </w:rPr>
              <w:t>23</w:t>
            </w: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380" w:type="dxa"/>
            <w:vAlign w:val="bottom"/>
            <w:tcBorders>
              <w:top w:val="single" w:sz="8" w:color="DBDBDB"/>
            </w:tcBorders>
            <w:shd w:val="clear" w:color="auto" w:fill="DBDBDB"/>
          </w:tcPr>
          <w:p>
            <w:pPr>
              <w:spacing w:after="0"/>
              <w:rPr>
                <w:sz w:val="4"/>
                <w:szCs w:val="4"/>
                <w:color w:val="auto"/>
              </w:rPr>
            </w:pPr>
          </w:p>
        </w:tc>
        <w:tc>
          <w:tcPr>
            <w:tcW w:w="2660" w:type="dxa"/>
            <w:vAlign w:val="bottom"/>
            <w:tcBorders>
              <w:top w:val="single" w:sz="8" w:color="DBDBDB"/>
            </w:tcBorders>
            <w:shd w:val="clear" w:color="auto" w:fill="DBDBDB"/>
          </w:tcPr>
          <w:p>
            <w:pPr>
              <w:spacing w:after="0"/>
              <w:rPr>
                <w:sz w:val="4"/>
                <w:szCs w:val="4"/>
                <w:color w:val="auto"/>
              </w:rPr>
            </w:pPr>
          </w:p>
        </w:tc>
        <w:tc>
          <w:tcPr>
            <w:tcW w:w="2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PORTILLO'S INC.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26"/>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47"/>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r>
      <w:tr>
        <w:trPr>
          <w:trHeight w:val="233"/>
        </w:trPr>
        <w:tc>
          <w:tcPr>
            <w:tcW w:w="7900" w:type="dxa"/>
            <w:vAlign w:val="bottom"/>
          </w:tcPr>
          <w:p>
            <w:pPr>
              <w:ind w:left="140"/>
              <w:spacing w:after="0"/>
              <w:rPr>
                <w:sz w:val="20"/>
                <w:szCs w:val="20"/>
                <w:color w:val="auto"/>
              </w:rPr>
            </w:pPr>
            <w:r>
              <w:rPr>
                <w:rFonts w:ascii="Arial" w:cs="Arial" w:eastAsia="Arial" w:hAnsi="Arial"/>
                <w:sz w:val="16"/>
                <w:szCs w:val="16"/>
                <w:color w:val="auto"/>
              </w:rPr>
              <w:t>Cash and cash equivalents and restricted cash</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12,947</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44,427</w:t>
            </w:r>
          </w:p>
        </w:tc>
      </w:tr>
      <w:tr>
        <w:trPr>
          <w:trHeight w:val="253"/>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Accounts and tenant improvement receivables</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14,962</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8,590</w:t>
            </w:r>
          </w:p>
        </w:tc>
      </w:tr>
      <w:tr>
        <w:trPr>
          <w:trHeight w:val="233"/>
        </w:trPr>
        <w:tc>
          <w:tcPr>
            <w:tcW w:w="790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7,387</w:t>
            </w:r>
          </w:p>
        </w:tc>
      </w:tr>
      <w:tr>
        <w:trPr>
          <w:trHeight w:val="246"/>
        </w:trPr>
        <w:tc>
          <w:tcPr>
            <w:tcW w:w="79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Prepaid expenses</w:t>
            </w: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4,798</w:t>
            </w:r>
          </w:p>
        </w:tc>
        <w:tc>
          <w:tcPr>
            <w:tcW w:w="100" w:type="dxa"/>
            <w:vAlign w:val="bottom"/>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4,922</w:t>
            </w:r>
          </w:p>
        </w:tc>
      </w:tr>
      <w:tr>
        <w:trPr>
          <w:trHeight w:val="236"/>
        </w:trPr>
        <w:tc>
          <w:tcPr>
            <w:tcW w:w="79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current assets</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39,125</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65,326</w:t>
            </w:r>
          </w:p>
        </w:tc>
      </w:tr>
      <w:tr>
        <w:trPr>
          <w:trHeight w:val="237"/>
        </w:trPr>
        <w:tc>
          <w:tcPr>
            <w:tcW w:w="790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6"/>
                <w:szCs w:val="16"/>
                <w:color w:val="auto"/>
              </w:rPr>
              <w:t>Property and equipment, net</w:t>
            </w:r>
          </w:p>
        </w:tc>
        <w:tc>
          <w:tcPr>
            <w:tcW w:w="46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274,605</w:t>
            </w:r>
          </w:p>
        </w:tc>
        <w:tc>
          <w:tcPr>
            <w:tcW w:w="100" w:type="dxa"/>
            <w:vAlign w:val="bottom"/>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227,036</w:t>
            </w:r>
          </w:p>
        </w:tc>
      </w:tr>
      <w:tr>
        <w:trPr>
          <w:trHeight w:val="237"/>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lease assets</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191,488</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166,808</w:t>
            </w:r>
          </w:p>
        </w:tc>
      </w:tr>
      <w:tr>
        <w:trPr>
          <w:trHeight w:val="243"/>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Goodwill</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r>
      <w:tr>
        <w:trPr>
          <w:trHeight w:val="233"/>
        </w:trPr>
        <w:tc>
          <w:tcPr>
            <w:tcW w:w="790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53"/>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intangible assets, net</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29,634</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31,800</w:t>
            </w:r>
          </w:p>
        </w:tc>
      </w:tr>
      <w:tr>
        <w:trPr>
          <w:trHeight w:val="233"/>
        </w:trPr>
        <w:tc>
          <w:tcPr>
            <w:tcW w:w="7900" w:type="dxa"/>
            <w:vAlign w:val="bottom"/>
          </w:tcPr>
          <w:p>
            <w:pPr>
              <w:ind w:left="140"/>
              <w:spacing w:after="0"/>
              <w:rPr>
                <w:sz w:val="20"/>
                <w:szCs w:val="20"/>
                <w:color w:val="auto"/>
              </w:rPr>
            </w:pPr>
            <w:r>
              <w:rPr>
                <w:rFonts w:ascii="Arial" w:cs="Arial" w:eastAsia="Arial" w:hAnsi="Arial"/>
                <w:sz w:val="16"/>
                <w:szCs w:val="16"/>
                <w:color w:val="auto"/>
              </w:rPr>
              <w:t>Equity method investment</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16,274</w:t>
            </w:r>
          </w:p>
        </w:tc>
      </w:tr>
      <w:tr>
        <w:trPr>
          <w:trHeight w:val="253"/>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tax assets</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184,375</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150,497</w:t>
            </w:r>
          </w:p>
        </w:tc>
      </w:tr>
      <w:tr>
        <w:trPr>
          <w:trHeight w:val="237"/>
        </w:trPr>
        <w:tc>
          <w:tcPr>
            <w:tcW w:w="7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assets</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3,847</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4,119</w:t>
            </w:r>
          </w:p>
        </w:tc>
      </w:tr>
      <w:tr>
        <w:trPr>
          <w:trHeight w:val="236"/>
        </w:trPr>
        <w:tc>
          <w:tcPr>
            <w:tcW w:w="790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other assets</w:t>
            </w:r>
          </w:p>
        </w:tc>
        <w:tc>
          <w:tcPr>
            <w:tcW w:w="46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852,622</w:t>
            </w:r>
          </w:p>
        </w:tc>
        <w:tc>
          <w:tcPr>
            <w:tcW w:w="100" w:type="dxa"/>
            <w:vAlign w:val="bottom"/>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820,913</w:t>
            </w:r>
          </w:p>
        </w:tc>
      </w:tr>
      <w:tr>
        <w:trPr>
          <w:trHeight w:val="239"/>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1,357,840</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1,280,083</w:t>
            </w: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5"/>
        </w:trPr>
        <w:tc>
          <w:tcPr>
            <w:tcW w:w="7900" w:type="dxa"/>
            <w:vAlign w:val="bottom"/>
            <w:shd w:val="clear" w:color="auto" w:fill="DBDBDB"/>
          </w:tcPr>
          <w:p>
            <w:pPr>
              <w:spacing w:after="0"/>
              <w:rPr>
                <w:sz w:val="5"/>
                <w:szCs w:val="5"/>
                <w:color w:val="auto"/>
              </w:rPr>
            </w:pPr>
          </w:p>
        </w:tc>
        <w:tc>
          <w:tcPr>
            <w:tcW w:w="460" w:type="dxa"/>
            <w:vAlign w:val="bottom"/>
            <w:shd w:val="clear" w:color="auto" w:fill="DBDBDB"/>
          </w:tcPr>
          <w:p>
            <w:pPr>
              <w:spacing w:after="0"/>
              <w:rPr>
                <w:sz w:val="5"/>
                <w:szCs w:val="5"/>
                <w:color w:val="auto"/>
              </w:rPr>
            </w:pPr>
          </w:p>
        </w:tc>
        <w:tc>
          <w:tcPr>
            <w:tcW w:w="1160" w:type="dxa"/>
            <w:vAlign w:val="bottom"/>
            <w:shd w:val="clear" w:color="auto" w:fill="DBDBDB"/>
          </w:tcPr>
          <w:p>
            <w:pPr>
              <w:spacing w:after="0"/>
              <w:rPr>
                <w:sz w:val="5"/>
                <w:szCs w:val="5"/>
                <w:color w:val="auto"/>
              </w:rPr>
            </w:pPr>
          </w:p>
        </w:tc>
        <w:tc>
          <w:tcPr>
            <w:tcW w:w="100" w:type="dxa"/>
            <w:vAlign w:val="bottom"/>
            <w:shd w:val="clear" w:color="auto" w:fill="DBDBDB"/>
          </w:tcPr>
          <w:p>
            <w:pPr>
              <w:spacing w:after="0"/>
              <w:rPr>
                <w:sz w:val="5"/>
                <w:szCs w:val="5"/>
                <w:color w:val="auto"/>
              </w:rPr>
            </w:pPr>
          </w:p>
        </w:tc>
        <w:tc>
          <w:tcPr>
            <w:tcW w:w="460" w:type="dxa"/>
            <w:vAlign w:val="bottom"/>
            <w:shd w:val="clear" w:color="auto" w:fill="DBDBDB"/>
          </w:tcPr>
          <w:p>
            <w:pPr>
              <w:spacing w:after="0"/>
              <w:rPr>
                <w:sz w:val="5"/>
                <w:szCs w:val="5"/>
                <w:color w:val="auto"/>
              </w:rPr>
            </w:pPr>
          </w:p>
        </w:tc>
        <w:tc>
          <w:tcPr>
            <w:tcW w:w="1160" w:type="dxa"/>
            <w:vAlign w:val="bottom"/>
            <w:shd w:val="clear" w:color="auto" w:fill="DBDBDB"/>
          </w:tcPr>
          <w:p>
            <w:pPr>
              <w:spacing w:after="0"/>
              <w:rPr>
                <w:sz w:val="5"/>
                <w:szCs w:val="5"/>
                <w:color w:val="auto"/>
              </w:rPr>
            </w:pPr>
          </w:p>
        </w:tc>
      </w:tr>
      <w:tr>
        <w:trPr>
          <w:trHeight w:val="239"/>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r>
      <w:tr>
        <w:trPr>
          <w:trHeight w:val="233"/>
        </w:trPr>
        <w:tc>
          <w:tcPr>
            <w:tcW w:w="79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33,481</w:t>
            </w:r>
          </w:p>
        </w:tc>
        <w:tc>
          <w:tcPr>
            <w:tcW w:w="10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30,273</w:t>
            </w:r>
          </w:p>
        </w:tc>
      </w:tr>
      <w:tr>
        <w:trPr>
          <w:trHeight w:val="253"/>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Current portion of long-term debt</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4,155</w:t>
            </w:r>
          </w:p>
        </w:tc>
      </w:tr>
      <w:tr>
        <w:trPr>
          <w:trHeight w:val="233"/>
        </w:trPr>
        <w:tc>
          <w:tcPr>
            <w:tcW w:w="7900" w:type="dxa"/>
            <w:vAlign w:val="bottom"/>
          </w:tcPr>
          <w:p>
            <w:pPr>
              <w:ind w:left="140"/>
              <w:spacing w:after="0"/>
              <w:rPr>
                <w:sz w:val="20"/>
                <w:szCs w:val="20"/>
                <w:color w:val="auto"/>
              </w:rPr>
            </w:pPr>
            <w:r>
              <w:rPr>
                <w:rFonts w:ascii="Arial" w:cs="Arial" w:eastAsia="Arial" w:hAnsi="Arial"/>
                <w:sz w:val="16"/>
                <w:szCs w:val="16"/>
                <w:color w:val="auto"/>
              </w:rPr>
              <w:t>Current portion of Tax Receivable Agreement liability</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6,527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253"/>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Current deferred revenue</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4,094</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7,292</w:t>
            </w:r>
          </w:p>
        </w:tc>
      </w:tr>
      <w:tr>
        <w:trPr>
          <w:trHeight w:val="233"/>
        </w:trPr>
        <w:tc>
          <w:tcPr>
            <w:tcW w:w="7900" w:type="dxa"/>
            <w:vAlign w:val="bottom"/>
          </w:tcPr>
          <w:p>
            <w:pPr>
              <w:ind w:left="140"/>
              <w:spacing w:after="0"/>
              <w:rPr>
                <w:sz w:val="20"/>
                <w:szCs w:val="20"/>
                <w:color w:val="auto"/>
              </w:rPr>
            </w:pPr>
            <w:r>
              <w:rPr>
                <w:rFonts w:ascii="Arial" w:cs="Arial" w:eastAsia="Arial" w:hAnsi="Arial"/>
                <w:sz w:val="16"/>
                <w:szCs w:val="16"/>
                <w:color w:val="auto"/>
              </w:rPr>
              <w:t>Short-term operating lease liability</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4,849</w:t>
            </w:r>
          </w:p>
        </w:tc>
      </w:tr>
      <w:tr>
        <w:trPr>
          <w:trHeight w:val="246"/>
        </w:trPr>
        <w:tc>
          <w:tcPr>
            <w:tcW w:w="79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Accrued expenses</w:t>
            </w: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33,355</w:t>
            </w:r>
          </w:p>
        </w:tc>
        <w:tc>
          <w:tcPr>
            <w:tcW w:w="100" w:type="dxa"/>
            <w:vAlign w:val="bottom"/>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29,915</w:t>
            </w:r>
          </w:p>
        </w:tc>
      </w:tr>
      <w:tr>
        <w:trPr>
          <w:trHeight w:val="233"/>
        </w:trPr>
        <w:tc>
          <w:tcPr>
            <w:tcW w:w="790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90,005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77,297</w:t>
            </w:r>
          </w:p>
        </w:tc>
      </w:tr>
      <w:tr>
        <w:trPr>
          <w:trHeight w:val="253"/>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LONG-TERM LIABILITIES:</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r>
      <w:tr>
        <w:trPr>
          <w:trHeight w:val="233"/>
        </w:trPr>
        <w:tc>
          <w:tcPr>
            <w:tcW w:w="790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287,486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314,425</w:t>
            </w:r>
          </w:p>
        </w:tc>
      </w:tr>
      <w:tr>
        <w:trPr>
          <w:trHeight w:val="253"/>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Tax Receivable Agreement liability</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294,950</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252,003</w:t>
            </w:r>
          </w:p>
        </w:tc>
      </w:tr>
      <w:tr>
        <w:trPr>
          <w:trHeight w:val="233"/>
        </w:trPr>
        <w:tc>
          <w:tcPr>
            <w:tcW w:w="7900" w:type="dxa"/>
            <w:vAlign w:val="bottom"/>
          </w:tcPr>
          <w:p>
            <w:pPr>
              <w:ind w:left="140"/>
              <w:spacing w:after="0"/>
              <w:rPr>
                <w:sz w:val="20"/>
                <w:szCs w:val="20"/>
                <w:color w:val="auto"/>
              </w:rPr>
            </w:pPr>
            <w:r>
              <w:rPr>
                <w:rFonts w:ascii="Arial" w:cs="Arial" w:eastAsia="Arial" w:hAnsi="Arial"/>
                <w:sz w:val="16"/>
                <w:szCs w:val="16"/>
                <w:color w:val="auto"/>
              </w:rPr>
              <w:t>Long-term operating lease liability</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234,699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200,166</w:t>
            </w:r>
          </w:p>
        </w:tc>
      </w:tr>
      <w:tr>
        <w:trPr>
          <w:trHeight w:val="246"/>
        </w:trPr>
        <w:tc>
          <w:tcPr>
            <w:tcW w:w="79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Other long-term liabilities</w:t>
            </w: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2,973</w:t>
            </w:r>
          </w:p>
        </w:tc>
        <w:tc>
          <w:tcPr>
            <w:tcW w:w="100" w:type="dxa"/>
            <w:vAlign w:val="bottom"/>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3,291</w:t>
            </w:r>
          </w:p>
        </w:tc>
      </w:tr>
      <w:tr>
        <w:trPr>
          <w:trHeight w:val="236"/>
        </w:trPr>
        <w:tc>
          <w:tcPr>
            <w:tcW w:w="79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long-term liabilities</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820,108</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769,885</w:t>
            </w:r>
          </w:p>
        </w:tc>
      </w:tr>
      <w:tr>
        <w:trPr>
          <w:trHeight w:val="243"/>
        </w:trPr>
        <w:tc>
          <w:tcPr>
            <w:tcW w:w="790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liabilities</w:t>
            </w: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910,113</w:t>
            </w:r>
          </w:p>
        </w:tc>
        <w:tc>
          <w:tcPr>
            <w:tcW w:w="100" w:type="dxa"/>
            <w:vAlign w:val="bottom"/>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847,182</w:t>
            </w:r>
          </w:p>
        </w:tc>
      </w:tr>
      <w:tr>
        <w:trPr>
          <w:trHeight w:val="34"/>
        </w:trPr>
        <w:tc>
          <w:tcPr>
            <w:tcW w:w="7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COMMITMENTS AND CONTINGENCIES (NOTE 14)</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3"/>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Preferred stock, $0.01 par value per share, 10,000,000 shares authorized, none issued or outstanding</w:t>
            </w:r>
          </w:p>
        </w:tc>
        <w:tc>
          <w:tcPr>
            <w:tcW w:w="460" w:type="dxa"/>
            <w:vAlign w:val="bottom"/>
            <w:shd w:val="clear" w:color="auto" w:fill="DBDBDB"/>
          </w:tcPr>
          <w:p>
            <w:pPr>
              <w:spacing w:after="0"/>
              <w:rPr>
                <w:sz w:val="21"/>
                <w:szCs w:val="21"/>
                <w:color w:val="auto"/>
              </w:rPr>
            </w:pPr>
          </w:p>
        </w:tc>
        <w:tc>
          <w:tcPr>
            <w:tcW w:w="12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00" w:type="dxa"/>
            <w:vAlign w:val="bottom"/>
          </w:tcPr>
          <w:p>
            <w:pPr>
              <w:ind w:left="140"/>
              <w:spacing w:after="0"/>
              <w:rPr>
                <w:sz w:val="20"/>
                <w:szCs w:val="20"/>
                <w:color w:val="auto"/>
              </w:rPr>
            </w:pPr>
            <w:r>
              <w:rPr>
                <w:rFonts w:ascii="Arial" w:cs="Arial" w:eastAsia="Arial" w:hAnsi="Arial"/>
                <w:sz w:val="16"/>
                <w:szCs w:val="16"/>
                <w:color w:val="auto"/>
              </w:rPr>
              <w:t>Class A common stock, $0.01 par value per share, 380,000,000 shares authorized, and 55,182,141 and</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7900" w:type="dxa"/>
            <w:vAlign w:val="bottom"/>
          </w:tcPr>
          <w:p>
            <w:pPr>
              <w:ind w:left="140"/>
              <w:spacing w:after="0"/>
              <w:rPr>
                <w:sz w:val="20"/>
                <w:szCs w:val="20"/>
                <w:color w:val="auto"/>
              </w:rPr>
            </w:pPr>
            <w:r>
              <w:rPr>
                <w:rFonts w:ascii="Arial" w:cs="Arial" w:eastAsia="Arial" w:hAnsi="Arial"/>
                <w:sz w:val="16"/>
                <w:szCs w:val="16"/>
                <w:color w:val="auto"/>
              </w:rPr>
              <w:t>48,420,723 shares issued and outstanding at September 24, 2023 and December 25, 2022, respectively.</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29"/>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Class B common stock, $0.00001 par value per share, 50,000,000 shares authorized, and 17,472,926 and</w:t>
            </w: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r>
      <w:tr>
        <w:trPr>
          <w:trHeight w:val="226"/>
        </w:trPr>
        <w:tc>
          <w:tcPr>
            <w:tcW w:w="79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23,837,162 shares issued and outstanding at September 24, 2023 and December 25, 2022, respectively.</w:t>
            </w:r>
          </w:p>
        </w:tc>
        <w:tc>
          <w:tcPr>
            <w:tcW w:w="46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900" w:type="dxa"/>
            <w:vAlign w:val="bottom"/>
          </w:tcPr>
          <w:p>
            <w:pPr>
              <w:ind w:left="140"/>
              <w:spacing w:after="0"/>
              <w:rPr>
                <w:sz w:val="20"/>
                <w:szCs w:val="20"/>
                <w:color w:val="auto"/>
              </w:rPr>
            </w:pPr>
            <w:r>
              <w:rPr>
                <w:rFonts w:ascii="Arial" w:cs="Arial" w:eastAsia="Arial" w:hAnsi="Arial"/>
                <w:sz w:val="16"/>
                <w:szCs w:val="16"/>
                <w:color w:val="auto"/>
              </w:rPr>
              <w:t>Additional paid-in-capital</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305,515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260,664</w:t>
            </w:r>
          </w:p>
        </w:tc>
      </w:tr>
      <w:tr>
        <w:trPr>
          <w:trHeight w:val="246"/>
        </w:trPr>
        <w:tc>
          <w:tcPr>
            <w:tcW w:w="79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Retained earnings (accumulated deficit)</w:t>
            </w: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5,823</w:t>
            </w:r>
          </w:p>
        </w:tc>
        <w:tc>
          <w:tcPr>
            <w:tcW w:w="100" w:type="dxa"/>
            <w:vAlign w:val="bottom"/>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(4,812)</w:t>
            </w:r>
          </w:p>
        </w:tc>
      </w:tr>
      <w:tr>
        <w:trPr>
          <w:trHeight w:val="233"/>
        </w:trPr>
        <w:tc>
          <w:tcPr>
            <w:tcW w:w="7900" w:type="dxa"/>
            <w:vAlign w:val="bottom"/>
          </w:tcPr>
          <w:p>
            <w:pPr>
              <w:ind w:left="140"/>
              <w:spacing w:after="0"/>
              <w:rPr>
                <w:sz w:val="20"/>
                <w:szCs w:val="20"/>
                <w:color w:val="auto"/>
              </w:rPr>
            </w:pPr>
            <w:r>
              <w:rPr>
                <w:rFonts w:ascii="Arial" w:cs="Arial" w:eastAsia="Arial" w:hAnsi="Arial"/>
                <w:sz w:val="16"/>
                <w:szCs w:val="16"/>
                <w:color w:val="auto"/>
              </w:rPr>
              <w:t>Total stockholders' equity attributable to Portillo's Inc.</w:t>
            </w: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311,890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256,336</w:t>
            </w:r>
          </w:p>
        </w:tc>
      </w:tr>
      <w:tr>
        <w:trPr>
          <w:trHeight w:val="246"/>
        </w:trPr>
        <w:tc>
          <w:tcPr>
            <w:tcW w:w="790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Non-controlling interest</w:t>
            </w: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135,837</w:t>
            </w:r>
          </w:p>
        </w:tc>
        <w:tc>
          <w:tcPr>
            <w:tcW w:w="100" w:type="dxa"/>
            <w:vAlign w:val="bottom"/>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176,565</w:t>
            </w:r>
          </w:p>
        </w:tc>
      </w:tr>
      <w:tr>
        <w:trPr>
          <w:trHeight w:val="236"/>
        </w:trPr>
        <w:tc>
          <w:tcPr>
            <w:tcW w:w="79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stockholders' equity</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447,727</w:t>
            </w:r>
          </w:p>
        </w:tc>
        <w:tc>
          <w:tcPr>
            <w:tcW w:w="10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432,901</w:t>
            </w:r>
          </w:p>
        </w:tc>
      </w:tr>
      <w:tr>
        <w:trPr>
          <w:trHeight w:val="264"/>
        </w:trPr>
        <w:tc>
          <w:tcPr>
            <w:tcW w:w="79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46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1,357,840</w:t>
            </w:r>
          </w:p>
        </w:tc>
        <w:tc>
          <w:tcPr>
            <w:tcW w:w="100" w:type="dxa"/>
            <w:vAlign w:val="bottom"/>
            <w:tcBorders>
              <w:bottom w:val="single" w:sz="8" w:color="DBDBDB"/>
            </w:tcBorders>
            <w:shd w:val="clear" w:color="auto" w:fill="DBDBDB"/>
          </w:tcPr>
          <w:p>
            <w:pPr>
              <w:spacing w:after="0"/>
              <w:rPr>
                <w:sz w:val="22"/>
                <w:szCs w:val="22"/>
                <w:color w:val="auto"/>
              </w:rPr>
            </w:pPr>
          </w:p>
        </w:tc>
        <w:tc>
          <w:tcPr>
            <w:tcW w:w="46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1,280,083</w:t>
            </w:r>
          </w:p>
        </w:tc>
      </w:tr>
      <w:tr>
        <w:trPr>
          <w:trHeight w:val="20"/>
        </w:trPr>
        <w:tc>
          <w:tcPr>
            <w:tcW w:w="790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18" w:right="339" w:bottom="1440" w:gutter="0" w:footer="0" w:header="0"/>
        </w:sectPr>
      </w:pPr>
    </w:p>
    <w:p>
      <w:pPr>
        <w:ind w:left="87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PORTILLO'S INC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5"/>
          </w:tcPr>
          <w:p>
            <w:pPr>
              <w:ind w:left="74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9"/>
                <w:szCs w:val="19"/>
                <w:color w:val="auto"/>
              </w:rPr>
            </w:pPr>
          </w:p>
        </w:tc>
        <w:tc>
          <w:tcPr>
            <w:tcW w:w="27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Quarters Ended</w:t>
            </w:r>
          </w:p>
        </w:tc>
      </w:tr>
      <w:tr>
        <w:trPr>
          <w:trHeight w:val="205"/>
        </w:trPr>
        <w:tc>
          <w:tcPr>
            <w:tcW w:w="5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September 24,</w:t>
            </w:r>
          </w:p>
        </w:tc>
        <w:tc>
          <w:tcPr>
            <w:tcW w:w="14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September 25,</w:t>
            </w:r>
          </w:p>
        </w:tc>
        <w:tc>
          <w:tcPr>
            <w:tcW w:w="14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24,</w:t>
            </w:r>
          </w:p>
        </w:tc>
        <w:tc>
          <w:tcPr>
            <w:tcW w:w="1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September 25,</w:t>
            </w:r>
          </w:p>
        </w:tc>
      </w:tr>
      <w:tr>
        <w:trPr>
          <w:trHeight w:val="227"/>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
        </w:trPr>
        <w:tc>
          <w:tcPr>
            <w:tcW w:w="53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0"/>
        </w:trPr>
        <w:tc>
          <w:tcPr>
            <w:tcW w:w="53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r>
      <w:tr>
        <w:trPr>
          <w:trHeight w:val="239"/>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REVENUES, NET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166,805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151,121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492,047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436,226</w:t>
            </w:r>
          </w:p>
        </w:tc>
      </w:tr>
      <w:tr>
        <w:trPr>
          <w:trHeight w:val="274"/>
        </w:trPr>
        <w:tc>
          <w:tcPr>
            <w:tcW w:w="53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2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280" w:type="dxa"/>
            <w:vAlign w:val="bottom"/>
            <w:shd w:val="clear" w:color="auto" w:fill="DBDBDB"/>
          </w:tcPr>
          <w:p>
            <w:pPr>
              <w:spacing w:after="0"/>
              <w:rPr>
                <w:sz w:val="23"/>
                <w:szCs w:val="23"/>
                <w:color w:val="auto"/>
              </w:rPr>
            </w:pPr>
          </w:p>
        </w:tc>
      </w:tr>
      <w:tr>
        <w:trPr>
          <w:trHeight w:val="239"/>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COST AND EXPENSES: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7"/>
        </w:trPr>
        <w:tc>
          <w:tcPr>
            <w:tcW w:w="53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Restaurant operating expenses:</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r>
      <w:tr>
        <w:trPr>
          <w:trHeight w:val="233"/>
        </w:trPr>
        <w:tc>
          <w:tcPr>
            <w:tcW w:w="5320" w:type="dxa"/>
            <w:vAlign w:val="bottom"/>
          </w:tcPr>
          <w:p>
            <w:pPr>
              <w:ind w:left="220"/>
              <w:spacing w:after="0"/>
              <w:rPr>
                <w:sz w:val="20"/>
                <w:szCs w:val="20"/>
                <w:color w:val="auto"/>
              </w:rPr>
            </w:pPr>
            <w:r>
              <w:rPr>
                <w:rFonts w:ascii="Arial" w:cs="Arial" w:eastAsia="Arial" w:hAnsi="Arial"/>
                <w:sz w:val="16"/>
                <w:szCs w:val="16"/>
                <w:color w:val="auto"/>
              </w:rPr>
              <w:t>Food, beverage and packaging costs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55,551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53,374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165,407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151,414</w:t>
            </w:r>
          </w:p>
        </w:tc>
      </w:tr>
      <w:tr>
        <w:trPr>
          <w:trHeight w:val="253"/>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Labor</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42,588</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39,133</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126,200</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114,352</w:t>
            </w:r>
          </w:p>
        </w:tc>
      </w:tr>
      <w:tr>
        <w:trPr>
          <w:trHeight w:val="233"/>
        </w:trPr>
        <w:tc>
          <w:tcPr>
            <w:tcW w:w="5320" w:type="dxa"/>
            <w:vAlign w:val="bottom"/>
          </w:tcPr>
          <w:p>
            <w:pPr>
              <w:ind w:left="220"/>
              <w:spacing w:after="0"/>
              <w:rPr>
                <w:sz w:val="20"/>
                <w:szCs w:val="20"/>
                <w:color w:val="auto"/>
              </w:rPr>
            </w:pPr>
            <w:r>
              <w:rPr>
                <w:rFonts w:ascii="Arial" w:cs="Arial" w:eastAsia="Arial" w:hAnsi="Arial"/>
                <w:sz w:val="16"/>
                <w:szCs w:val="16"/>
                <w:color w:val="auto"/>
              </w:rPr>
              <w:t>Occupancy</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24,898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22,778</w:t>
            </w:r>
          </w:p>
        </w:tc>
      </w:tr>
      <w:tr>
        <w:trPr>
          <w:trHeight w:val="246"/>
        </w:trPr>
        <w:tc>
          <w:tcPr>
            <w:tcW w:w="532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 operating expenses</w:t>
            </w:r>
          </w:p>
        </w:tc>
        <w:tc>
          <w:tcPr>
            <w:tcW w:w="14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18,571</w:t>
            </w: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16,882</w:t>
            </w: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56,107</w:t>
            </w:r>
          </w:p>
        </w:tc>
        <w:tc>
          <w:tcPr>
            <w:tcW w:w="12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47,225</w:t>
            </w:r>
          </w:p>
        </w:tc>
      </w:tr>
      <w:tr>
        <w:trPr>
          <w:trHeight w:val="239"/>
        </w:trPr>
        <w:tc>
          <w:tcPr>
            <w:tcW w:w="5320" w:type="dxa"/>
            <w:vAlign w:val="bottom"/>
          </w:tcPr>
          <w:p>
            <w:pPr>
              <w:ind w:left="480"/>
              <w:spacing w:after="0"/>
              <w:rPr>
                <w:sz w:val="20"/>
                <w:szCs w:val="20"/>
                <w:color w:val="auto"/>
              </w:rPr>
            </w:pPr>
            <w:r>
              <w:rPr>
                <w:rFonts w:ascii="Arial" w:cs="Arial" w:eastAsia="Arial" w:hAnsi="Arial"/>
                <w:sz w:val="16"/>
                <w:szCs w:val="16"/>
                <w:b w:val="1"/>
                <w:bCs w:val="1"/>
                <w:color w:val="auto"/>
              </w:rPr>
              <w:t>Total restaurant operating expenses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124,920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117,033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372,612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335,769</w:t>
            </w:r>
          </w:p>
        </w:tc>
      </w:tr>
      <w:tr>
        <w:trPr>
          <w:trHeight w:val="152"/>
        </w:trPr>
        <w:tc>
          <w:tcPr>
            <w:tcW w:w="53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r>
      <w:tr>
        <w:trPr>
          <w:trHeight w:val="233"/>
        </w:trPr>
        <w:tc>
          <w:tcPr>
            <w:tcW w:w="5320" w:type="dxa"/>
            <w:vAlign w:val="bottom"/>
          </w:tcPr>
          <w:p>
            <w:pPr>
              <w:ind w:left="2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18,898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57,285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49,185</w:t>
            </w:r>
          </w:p>
        </w:tc>
      </w:tr>
      <w:tr>
        <w:trPr>
          <w:trHeight w:val="253"/>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Pre-opening expenses</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2,410</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5,029</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1,770</w:t>
            </w:r>
          </w:p>
        </w:tc>
      </w:tr>
      <w:tr>
        <w:trPr>
          <w:trHeight w:val="233"/>
        </w:trPr>
        <w:tc>
          <w:tcPr>
            <w:tcW w:w="53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15,803</w:t>
            </w:r>
          </w:p>
        </w:tc>
      </w:tr>
      <w:tr>
        <w:trPr>
          <w:trHeight w:val="253"/>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(1,010)</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(807)</w:t>
            </w:r>
          </w:p>
        </w:tc>
      </w:tr>
      <w:tr>
        <w:trPr>
          <w:trHeight w:val="237"/>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r>
      <w:tr>
        <w:trPr>
          <w:trHeight w:val="243"/>
        </w:trPr>
        <w:tc>
          <w:tcPr>
            <w:tcW w:w="53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15,097</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10,586</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40,973</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34,839</w:t>
            </w:r>
          </w:p>
        </w:tc>
      </w:tr>
      <w:tr>
        <w:trPr>
          <w:trHeight w:val="233"/>
        </w:trPr>
        <w:tc>
          <w:tcPr>
            <w:tcW w:w="53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20,539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19,286</w:t>
            </w:r>
          </w:p>
        </w:tc>
      </w:tr>
      <w:tr>
        <w:trPr>
          <w:trHeight w:val="253"/>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320" w:type="dxa"/>
            <w:vAlign w:val="bottom"/>
          </w:tcPr>
          <w:p>
            <w:pPr>
              <w:ind w:left="220"/>
              <w:spacing w:after="0"/>
              <w:rPr>
                <w:sz w:val="20"/>
                <w:szCs w:val="20"/>
                <w:color w:val="auto"/>
              </w:rPr>
            </w:pPr>
            <w:r>
              <w:rPr>
                <w:rFonts w:ascii="Arial" w:cs="Arial" w:eastAsia="Arial" w:hAnsi="Arial"/>
                <w:sz w:val="16"/>
                <w:szCs w:val="16"/>
                <w:color w:val="auto"/>
              </w:rPr>
              <w:t>Tax Receivable Agreement liability adjustment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(2,462)</w:t>
            </w:r>
          </w:p>
        </w:tc>
      </w:tr>
      <w:tr>
        <w:trPr>
          <w:trHeight w:val="246"/>
        </w:trPr>
        <w:tc>
          <w:tcPr>
            <w:tcW w:w="5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Loss on debt extinguishment</w:t>
            </w:r>
          </w:p>
        </w:tc>
        <w:tc>
          <w:tcPr>
            <w:tcW w:w="140" w:type="dxa"/>
            <w:vAlign w:val="bottom"/>
            <w:shd w:val="clear" w:color="auto" w:fill="DBDBDB"/>
          </w:tcPr>
          <w:p>
            <w:pPr>
              <w:spacing w:after="0"/>
              <w:rPr>
                <w:sz w:val="21"/>
                <w:szCs w:val="21"/>
                <w:color w:val="auto"/>
              </w:rPr>
            </w:pPr>
          </w:p>
        </w:tc>
        <w:tc>
          <w:tcPr>
            <w:tcW w:w="1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1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3,465</w:t>
            </w:r>
          </w:p>
        </w:tc>
        <w:tc>
          <w:tcPr>
            <w:tcW w:w="1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18,776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18,015</w:t>
            </w:r>
          </w:p>
        </w:tc>
      </w:tr>
      <w:tr>
        <w:trPr>
          <w:trHeight w:val="240"/>
        </w:trPr>
        <w:tc>
          <w:tcPr>
            <w:tcW w:w="532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2,622</w:t>
            </w: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3,605</w:t>
            </w:r>
          </w:p>
        </w:tc>
        <w:tc>
          <w:tcPr>
            <w:tcW w:w="12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3,511</w:t>
            </w:r>
          </w:p>
        </w:tc>
      </w:tr>
      <w:tr>
        <w:trPr>
          <w:trHeight w:val="239"/>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14,504</w:t>
            </w:r>
          </w:p>
        </w:tc>
      </w:tr>
      <w:tr>
        <w:trPr>
          <w:trHeight w:val="240"/>
        </w:trPr>
        <w:tc>
          <w:tcPr>
            <w:tcW w:w="53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4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2,185</w:t>
            </w: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1,606</w:t>
            </w: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4,536</w:t>
            </w:r>
          </w:p>
        </w:tc>
        <w:tc>
          <w:tcPr>
            <w:tcW w:w="12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7,607</w:t>
            </w:r>
          </w:p>
        </w:tc>
      </w:tr>
      <w:tr>
        <w:trPr>
          <w:trHeight w:val="23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PORTILLO'S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6,897</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1"/>
        </w:trPr>
        <w:tc>
          <w:tcPr>
            <w:tcW w:w="53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80" w:type="dxa"/>
            <w:vAlign w:val="bottom"/>
            <w:shd w:val="clear" w:color="auto" w:fill="DBDBDB"/>
          </w:tcPr>
          <w:p>
            <w:pPr>
              <w:spacing w:after="0"/>
              <w:rPr>
                <w:sz w:val="20"/>
                <w:szCs w:val="20"/>
                <w:color w:val="auto"/>
              </w:rPr>
            </w:pPr>
          </w:p>
        </w:tc>
      </w:tr>
      <w:tr>
        <w:trPr>
          <w:trHeight w:val="233"/>
        </w:trPr>
        <w:tc>
          <w:tcPr>
            <w:tcW w:w="5320" w:type="dxa"/>
            <w:vAlign w:val="bottom"/>
          </w:tcPr>
          <w:p>
            <w:pPr>
              <w:ind w:left="20"/>
              <w:spacing w:after="0"/>
              <w:rPr>
                <w:sz w:val="20"/>
                <w:szCs w:val="20"/>
                <w:color w:val="auto"/>
              </w:rPr>
            </w:pPr>
            <w:r>
              <w:rPr>
                <w:rFonts w:ascii="Arial" w:cs="Arial" w:eastAsia="Arial" w:hAnsi="Arial"/>
                <w:sz w:val="16"/>
                <w:szCs w:val="16"/>
                <w:color w:val="auto"/>
              </w:rPr>
              <w:t>Net income per common share attributable to Portillo's Inc.:</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8"/>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0.19</w:t>
            </w:r>
          </w:p>
        </w:tc>
      </w:tr>
      <w:tr>
        <w:trPr>
          <w:trHeight w:val="20"/>
        </w:trPr>
        <w:tc>
          <w:tcPr>
            <w:tcW w:w="53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532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r>
      <w:tr>
        <w:trPr>
          <w:trHeight w:val="20"/>
        </w:trPr>
        <w:tc>
          <w:tcPr>
            <w:tcW w:w="53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53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r>
      <w:tr>
        <w:trPr>
          <w:trHeight w:val="233"/>
        </w:trPr>
        <w:tc>
          <w:tcPr>
            <w:tcW w:w="532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8"/>
        </w:trPr>
        <w:tc>
          <w:tcPr>
            <w:tcW w:w="5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55,127,133</w:t>
            </w: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38,899,373</w:t>
            </w: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53,231,086</w:t>
            </w:r>
          </w:p>
        </w:tc>
        <w:tc>
          <w:tcPr>
            <w:tcW w:w="12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spacing w:after="0"/>
              <w:rPr>
                <w:sz w:val="23"/>
                <w:szCs w:val="23"/>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36,899,208</w:t>
            </w:r>
          </w:p>
        </w:tc>
      </w:tr>
      <w:tr>
        <w:trPr>
          <w:trHeight w:val="20"/>
        </w:trPr>
        <w:tc>
          <w:tcPr>
            <w:tcW w:w="53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5320" w:type="dxa"/>
            <w:vAlign w:val="bottom"/>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58,767,812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42,625,160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56,813,653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40,785,766</w:t>
            </w:r>
          </w:p>
        </w:tc>
      </w:tr>
      <w:tr>
        <w:trPr>
          <w:trHeight w:val="21"/>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PORTILLO'S INC</w:t>
      </w:r>
    </w:p>
    <w:p>
      <w:pPr>
        <w:spacing w:after="0" w:line="30" w:lineRule="exact"/>
        <w:rPr>
          <w:sz w:val="20"/>
          <w:szCs w:val="20"/>
          <w:color w:val="auto"/>
        </w:rPr>
      </w:pPr>
    </w:p>
    <w:p>
      <w:pPr>
        <w:ind w:right="4740"/>
        <w:spacing w:after="0" w:line="252" w:lineRule="auto"/>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20" w:type="dxa"/>
            <w:vAlign w:val="bottom"/>
            <w:gridSpan w:val="24"/>
          </w:tcPr>
          <w:p>
            <w:pPr>
              <w:ind w:left="180"/>
              <w:spacing w:after="0"/>
              <w:rPr>
                <w:sz w:val="20"/>
                <w:szCs w:val="20"/>
                <w:color w:val="auto"/>
              </w:rPr>
            </w:pPr>
            <w:r>
              <w:rPr>
                <w:rFonts w:ascii="Arial" w:cs="Arial" w:eastAsia="Arial" w:hAnsi="Arial"/>
                <w:sz w:val="16"/>
                <w:szCs w:val="16"/>
                <w:b w:val="1"/>
                <w:bCs w:val="1"/>
                <w:color w:val="auto"/>
              </w:rPr>
              <w:t>Quarters Ended September 24, 2023 and September 25, 2022</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Borders>
              <w:top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rPr>
              <w:t>Class A Common</w:t>
            </w:r>
          </w:p>
        </w:tc>
        <w:tc>
          <w:tcPr>
            <w:tcW w:w="1880" w:type="dxa"/>
            <w:vAlign w:val="bottom"/>
            <w:tcBorders>
              <w:top w:val="single" w:sz="8" w:color="auto"/>
            </w:tcBorders>
            <w:gridSpan w:val="9"/>
          </w:tcPr>
          <w:p>
            <w:pPr>
              <w:jc w:val="center"/>
              <w:ind w:right="60"/>
              <w:spacing w:after="0"/>
              <w:rPr>
                <w:sz w:val="20"/>
                <w:szCs w:val="20"/>
                <w:color w:val="auto"/>
              </w:rPr>
            </w:pPr>
            <w:r>
              <w:rPr>
                <w:rFonts w:ascii="Arial" w:cs="Arial" w:eastAsia="Arial" w:hAnsi="Arial"/>
                <w:sz w:val="16"/>
                <w:szCs w:val="16"/>
                <w:b w:val="1"/>
                <w:bCs w:val="1"/>
                <w:color w:val="auto"/>
              </w:rPr>
              <w:t>Class B Common</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5"/>
          </w:tcPr>
          <w:p>
            <w:pPr>
              <w:jc w:val="center"/>
              <w:ind w:right="350"/>
              <w:spacing w:after="0" w:line="169" w:lineRule="exact"/>
              <w:rPr>
                <w:sz w:val="20"/>
                <w:szCs w:val="20"/>
                <w:color w:val="auto"/>
              </w:rPr>
            </w:pPr>
            <w:r>
              <w:rPr>
                <w:rFonts w:ascii="Arial" w:cs="Arial" w:eastAsia="Arial" w:hAnsi="Arial"/>
                <w:sz w:val="16"/>
                <w:szCs w:val="16"/>
                <w:b w:val="1"/>
                <w:bCs w:val="1"/>
                <w:color w:val="auto"/>
              </w:rPr>
              <w:t>Stock</w:t>
            </w:r>
          </w:p>
        </w:tc>
        <w:tc>
          <w:tcPr>
            <w:tcW w:w="3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5"/>
          </w:tcPr>
          <w:p>
            <w:pPr>
              <w:jc w:val="center"/>
              <w:ind w:right="370"/>
              <w:spacing w:after="0" w:line="169" w:lineRule="exact"/>
              <w:rPr>
                <w:sz w:val="20"/>
                <w:szCs w:val="20"/>
                <w:color w:val="auto"/>
              </w:rPr>
            </w:pPr>
            <w:r>
              <w:rPr>
                <w:rFonts w:ascii="Arial" w:cs="Arial" w:eastAsia="Arial" w:hAnsi="Arial"/>
                <w:sz w:val="16"/>
                <w:szCs w:val="16"/>
                <w:b w:val="1"/>
                <w:bCs w:val="1"/>
                <w:color w:val="auto"/>
              </w:rPr>
              <w:t>Stock</w:t>
            </w:r>
          </w:p>
        </w:tc>
        <w:tc>
          <w:tcPr>
            <w:tcW w:w="3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9"/>
              </w:rPr>
              <w:t>Additional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Earnings</w:t>
            </w:r>
          </w:p>
        </w:tc>
        <w:tc>
          <w:tcPr>
            <w:tcW w:w="14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17"/>
                <w:szCs w:val="17"/>
                <w:color w:val="auto"/>
              </w:rPr>
            </w:pPr>
          </w:p>
        </w:tc>
        <w:tc>
          <w:tcPr>
            <w:tcW w:w="900" w:type="dxa"/>
            <w:vAlign w:val="bottom"/>
          </w:tcPr>
          <w:p>
            <w:pPr>
              <w:jc w:val="right"/>
              <w:ind w:right="278"/>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Paid-in</w:t>
            </w:r>
          </w:p>
        </w:tc>
        <w:tc>
          <w:tcPr>
            <w:tcW w:w="12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44"/>
        </w:trPr>
        <w:tc>
          <w:tcPr>
            <w:tcW w:w="2980" w:type="dxa"/>
            <w:vAlign w:val="bottom"/>
            <w:tcBorders>
              <w:bottom w:val="single" w:sz="8" w:color="auto"/>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Amount</w:t>
            </w:r>
          </w:p>
        </w:tc>
        <w:tc>
          <w:tcPr>
            <w:tcW w:w="96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Deficit)</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Interest</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40"/>
        </w:trPr>
        <w:tc>
          <w:tcPr>
            <w:tcW w:w="306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June 26, 2022</w:t>
            </w:r>
          </w:p>
        </w:tc>
        <w:tc>
          <w:tcPr>
            <w:tcW w:w="90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36,218,355</w:t>
            </w:r>
          </w:p>
        </w:tc>
        <w:tc>
          <w:tcPr>
            <w:tcW w:w="8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362</w:t>
            </w:r>
          </w:p>
        </w:tc>
        <w:tc>
          <w:tcPr>
            <w:tcW w:w="80" w:type="dxa"/>
            <w:vAlign w:val="bottom"/>
            <w:shd w:val="clear" w:color="auto" w:fill="DBDBDB"/>
          </w:tcPr>
          <w:p>
            <w:pPr>
              <w:spacing w:after="0"/>
              <w:rPr>
                <w:sz w:val="20"/>
                <w:szCs w:val="20"/>
                <w:color w:val="auto"/>
              </w:rPr>
            </w:pP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35,673,321</w:t>
            </w: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30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192,862</w:t>
            </w:r>
          </w:p>
        </w:tc>
        <w:tc>
          <w:tcPr>
            <w:tcW w:w="80" w:type="dxa"/>
            <w:vAlign w:val="bottom"/>
            <w:shd w:val="clear" w:color="auto" w:fill="DBDBDB"/>
          </w:tcPr>
          <w:p>
            <w:pPr>
              <w:spacing w:after="0"/>
              <w:rPr>
                <w:sz w:val="20"/>
                <w:szCs w:val="20"/>
                <w:color w:val="auto"/>
              </w:rPr>
            </w:pPr>
          </w:p>
        </w:tc>
        <w:tc>
          <w:tcPr>
            <w:tcW w:w="160" w:type="dxa"/>
            <w:vAlign w:val="bottom"/>
            <w:gridSpan w:val="2"/>
            <w:shd w:val="clear" w:color="auto" w:fill="DBDBDB"/>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(10,645)</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261,233</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443,812</w:t>
            </w:r>
          </w:p>
        </w:tc>
        <w:tc>
          <w:tcPr>
            <w:tcW w:w="0" w:type="dxa"/>
            <w:vAlign w:val="bottom"/>
          </w:tcPr>
          <w:p>
            <w:pPr>
              <w:spacing w:after="0"/>
              <w:rPr>
                <w:sz w:val="1"/>
                <w:szCs w:val="1"/>
                <w:color w:val="auto"/>
              </w:rPr>
            </w:pPr>
          </w:p>
        </w:tc>
      </w:tr>
      <w:tr>
        <w:trPr>
          <w:trHeight w:val="233"/>
        </w:trPr>
        <w:tc>
          <w:tcPr>
            <w:tcW w:w="306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3,198</w:t>
            </w:r>
          </w:p>
        </w:tc>
        <w:tc>
          <w:tcPr>
            <w:tcW w:w="0" w:type="dxa"/>
            <w:vAlign w:val="bottom"/>
          </w:tcPr>
          <w:p>
            <w:pPr>
              <w:spacing w:after="0"/>
              <w:rPr>
                <w:sz w:val="1"/>
                <w:szCs w:val="1"/>
                <w:color w:val="auto"/>
              </w:rPr>
            </w:pPr>
          </w:p>
        </w:tc>
      </w:tr>
      <w:tr>
        <w:trPr>
          <w:trHeight w:val="253"/>
        </w:trPr>
        <w:tc>
          <w:tcPr>
            <w:tcW w:w="30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Equity-based compensation</w:t>
            </w:r>
          </w:p>
        </w:tc>
        <w:tc>
          <w:tcPr>
            <w:tcW w:w="18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74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DBDBDB"/>
          </w:tcPr>
          <w:p>
            <w:pPr>
              <w:spacing w:after="0"/>
              <w:rPr>
                <w:sz w:val="21"/>
                <w:szCs w:val="21"/>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0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w:t>
            </w:r>
          </w:p>
        </w:tc>
        <w:tc>
          <w:tcPr>
            <w:tcW w:w="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1,698</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3,698</w:t>
            </w:r>
          </w:p>
        </w:tc>
        <w:tc>
          <w:tcPr>
            <w:tcW w:w="0" w:type="dxa"/>
            <w:vAlign w:val="bottom"/>
          </w:tcPr>
          <w:p>
            <w:pPr>
              <w:spacing w:after="0"/>
              <w:rPr>
                <w:sz w:val="1"/>
                <w:szCs w:val="1"/>
                <w:color w:val="auto"/>
              </w:rPr>
            </w:pPr>
          </w:p>
        </w:tc>
      </w:tr>
      <w:tr>
        <w:trPr>
          <w:trHeight w:val="206"/>
        </w:trPr>
        <w:tc>
          <w:tcPr>
            <w:tcW w:w="3060" w:type="dxa"/>
            <w:vAlign w:val="bottom"/>
            <w:gridSpan w:val="2"/>
          </w:tcPr>
          <w:p>
            <w:pPr>
              <w:ind w:left="120"/>
              <w:spacing w:after="0"/>
              <w:rPr>
                <w:sz w:val="20"/>
                <w:szCs w:val="20"/>
                <w:color w:val="auto"/>
              </w:rPr>
            </w:pPr>
            <w:r>
              <w:rPr>
                <w:rFonts w:ascii="Arial" w:cs="Arial" w:eastAsia="Arial" w:hAnsi="Arial"/>
                <w:sz w:val="16"/>
                <w:szCs w:val="16"/>
                <w:color w:val="auto"/>
              </w:rPr>
              <w:t>Activity under equity-based</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120"/>
              <w:spacing w:after="0"/>
              <w:rPr>
                <w:sz w:val="20"/>
                <w:szCs w:val="20"/>
                <w:color w:val="auto"/>
              </w:rPr>
            </w:pPr>
            <w:r>
              <w:rPr>
                <w:rFonts w:ascii="Arial" w:cs="Arial" w:eastAsia="Arial" w:hAnsi="Arial"/>
                <w:sz w:val="16"/>
                <w:szCs w:val="16"/>
                <w:color w:val="auto"/>
              </w:rPr>
              <w:t>compensation plans</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64,109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53"/>
        </w:trPr>
        <w:tc>
          <w:tcPr>
            <w:tcW w:w="30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Non-controlling interest adjustment</w:t>
            </w:r>
          </w:p>
        </w:tc>
        <w:tc>
          <w:tcPr>
            <w:tcW w:w="18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74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DBDBDB"/>
          </w:tcPr>
          <w:p>
            <w:pPr>
              <w:spacing w:after="0"/>
              <w:rPr>
                <w:sz w:val="21"/>
                <w:szCs w:val="21"/>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0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43,811</w:t>
            </w:r>
          </w:p>
        </w:tc>
        <w:tc>
          <w:tcPr>
            <w:tcW w:w="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(43,811)</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060" w:type="dxa"/>
            <w:vAlign w:val="bottom"/>
            <w:gridSpan w:val="2"/>
          </w:tcPr>
          <w:p>
            <w:pPr>
              <w:ind w:left="120"/>
              <w:spacing w:after="0"/>
              <w:rPr>
                <w:sz w:val="20"/>
                <w:szCs w:val="20"/>
                <w:color w:val="auto"/>
              </w:rPr>
            </w:pPr>
            <w:r>
              <w:rPr>
                <w:rFonts w:ascii="Arial" w:cs="Arial" w:eastAsia="Arial" w:hAnsi="Arial"/>
                <w:sz w:val="16"/>
                <w:szCs w:val="16"/>
                <w:color w:val="auto"/>
              </w:rPr>
              <w:t>Redemption of LLC Interests</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5,942,559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(5,942,559)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Establishment of liabilities under Tax</w:t>
            </w:r>
          </w:p>
        </w:tc>
        <w:tc>
          <w:tcPr>
            <w:tcW w:w="1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Receivable Agreement and related</w:t>
            </w:r>
          </w:p>
        </w:tc>
        <w:tc>
          <w:tcPr>
            <w:tcW w:w="1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changes to deferred tax assets</w:t>
            </w: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060" w:type="dxa"/>
            <w:vAlign w:val="bottom"/>
            <w:tcBorders>
              <w:bottom w:val="single" w:sz="8" w:color="auto"/>
            </w:tcBorders>
            <w:gridSpan w:val="2"/>
            <w:shd w:val="clear" w:color="auto" w:fill="DBDBDB"/>
          </w:tcPr>
          <w:p>
            <w:pPr>
              <w:ind w:left="120"/>
              <w:spacing w:after="0"/>
              <w:rPr>
                <w:sz w:val="20"/>
                <w:szCs w:val="20"/>
                <w:color w:val="auto"/>
              </w:rPr>
            </w:pPr>
            <w:r>
              <w:rPr>
                <w:rFonts w:ascii="Arial" w:cs="Arial" w:eastAsia="Arial" w:hAnsi="Arial"/>
                <w:sz w:val="16"/>
                <w:szCs w:val="16"/>
                <w:color w:val="auto"/>
              </w:rPr>
              <w:t>associated with increases in tax basis</w:t>
            </w:r>
          </w:p>
        </w:tc>
        <w:tc>
          <w:tcPr>
            <w:tcW w:w="180" w:type="dxa"/>
            <w:vAlign w:val="bottom"/>
            <w:tcBorders>
              <w:bottom w:val="single" w:sz="8" w:color="auto"/>
            </w:tcBorders>
            <w:shd w:val="clear" w:color="auto" w:fill="DBDBDB"/>
          </w:tcPr>
          <w:p>
            <w:pPr>
              <w:spacing w:after="0"/>
              <w:rPr>
                <w:sz w:val="20"/>
                <w:szCs w:val="20"/>
                <w:color w:val="auto"/>
              </w:rPr>
            </w:pPr>
          </w:p>
        </w:tc>
        <w:tc>
          <w:tcPr>
            <w:tcW w:w="6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60" w:type="dxa"/>
            <w:vAlign w:val="bottom"/>
            <w:tcBorders>
              <w:bottom w:val="single" w:sz="8" w:color="auto"/>
            </w:tcBorders>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40" w:type="dxa"/>
            <w:vAlign w:val="bottom"/>
            <w:tcBorders>
              <w:bottom w:val="single" w:sz="8" w:color="auto"/>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(6,854)</w:t>
            </w:r>
          </w:p>
        </w:tc>
        <w:tc>
          <w:tcPr>
            <w:tcW w:w="80" w:type="dxa"/>
            <w:vAlign w:val="bottom"/>
            <w:shd w:val="clear" w:color="auto" w:fill="DBDBDB"/>
          </w:tcPr>
          <w:p>
            <w:pPr>
              <w:spacing w:after="0"/>
              <w:rPr>
                <w:sz w:val="20"/>
                <w:szCs w:val="20"/>
                <w:color w:val="auto"/>
              </w:rPr>
            </w:pPr>
          </w:p>
        </w:tc>
        <w:tc>
          <w:tcPr>
            <w:tcW w:w="80" w:type="dxa"/>
            <w:vAlign w:val="bottom"/>
            <w:tcBorders>
              <w:bottom w:val="single" w:sz="8" w:color="auto"/>
            </w:tcBorders>
            <w:shd w:val="clear" w:color="auto" w:fill="DBDBDB"/>
          </w:tcPr>
          <w:p>
            <w:pPr>
              <w:spacing w:after="0"/>
              <w:rPr>
                <w:sz w:val="20"/>
                <w:szCs w:val="20"/>
                <w:color w:val="auto"/>
              </w:rPr>
            </w:pPr>
          </w:p>
        </w:tc>
        <w:tc>
          <w:tcPr>
            <w:tcW w:w="8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(6,854)</w:t>
            </w:r>
          </w:p>
        </w:tc>
        <w:tc>
          <w:tcPr>
            <w:tcW w:w="0" w:type="dxa"/>
            <w:vAlign w:val="bottom"/>
          </w:tcPr>
          <w:p>
            <w:pPr>
              <w:spacing w:after="0"/>
              <w:rPr>
                <w:sz w:val="1"/>
                <w:szCs w:val="1"/>
                <w:color w:val="auto"/>
              </w:rPr>
            </w:pPr>
          </w:p>
        </w:tc>
      </w:tr>
      <w:tr>
        <w:trPr>
          <w:trHeight w:val="239"/>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September 25, 2022</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42,225,023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421</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29,730,762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232,031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220,726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444,125</w:t>
            </w:r>
          </w:p>
        </w:tc>
        <w:tc>
          <w:tcPr>
            <w:tcW w:w="0" w:type="dxa"/>
            <w:vAlign w:val="bottom"/>
          </w:tcPr>
          <w:p>
            <w:pPr>
              <w:spacing w:after="0"/>
              <w:rPr>
                <w:sz w:val="1"/>
                <w:szCs w:val="1"/>
                <w:color w:val="auto"/>
              </w:rPr>
            </w:pPr>
          </w:p>
        </w:tc>
      </w:tr>
      <w:tr>
        <w:trPr>
          <w:trHeight w:val="254"/>
        </w:trPr>
        <w:tc>
          <w:tcPr>
            <w:tcW w:w="298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auto"/>
            </w:tcBorders>
            <w:shd w:val="clear" w:color="auto" w:fill="DBDBDB"/>
          </w:tcPr>
          <w:p>
            <w:pPr>
              <w:spacing w:after="0"/>
              <w:rPr>
                <w:sz w:val="22"/>
                <w:szCs w:val="22"/>
                <w:color w:val="auto"/>
              </w:rPr>
            </w:pPr>
          </w:p>
        </w:tc>
        <w:tc>
          <w:tcPr>
            <w:tcW w:w="180" w:type="dxa"/>
            <w:vAlign w:val="bottom"/>
            <w:tcBorders>
              <w:top w:val="single" w:sz="8" w:color="auto"/>
            </w:tcBorders>
            <w:shd w:val="clear" w:color="auto" w:fill="DBDBDB"/>
          </w:tcPr>
          <w:p>
            <w:pPr>
              <w:spacing w:after="0"/>
              <w:rPr>
                <w:sz w:val="22"/>
                <w:szCs w:val="22"/>
                <w:color w:val="auto"/>
              </w:rPr>
            </w:pPr>
          </w:p>
        </w:tc>
        <w:tc>
          <w:tcPr>
            <w:tcW w:w="60" w:type="dxa"/>
            <w:vAlign w:val="bottom"/>
            <w:tcBorders>
              <w:top w:val="single" w:sz="8" w:color="auto"/>
            </w:tcBorders>
            <w:shd w:val="clear" w:color="auto" w:fill="DBDBDB"/>
          </w:tcPr>
          <w:p>
            <w:pPr>
              <w:spacing w:after="0"/>
              <w:rPr>
                <w:sz w:val="22"/>
                <w:szCs w:val="22"/>
                <w:color w:val="auto"/>
              </w:rPr>
            </w:pPr>
          </w:p>
        </w:tc>
        <w:tc>
          <w:tcPr>
            <w:tcW w:w="460" w:type="dxa"/>
            <w:vAlign w:val="bottom"/>
            <w:tcBorders>
              <w:top w:val="single" w:sz="8" w:color="auto"/>
            </w:tcBorders>
            <w:shd w:val="clear" w:color="auto" w:fill="DBDBDB"/>
          </w:tcPr>
          <w:p>
            <w:pPr>
              <w:spacing w:after="0"/>
              <w:rPr>
                <w:sz w:val="22"/>
                <w:szCs w:val="22"/>
                <w:color w:val="auto"/>
              </w:rPr>
            </w:pPr>
          </w:p>
        </w:tc>
        <w:tc>
          <w:tcPr>
            <w:tcW w:w="20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100" w:type="dxa"/>
            <w:vAlign w:val="bottom"/>
            <w:tcBorders>
              <w:top w:val="single" w:sz="8" w:color="auto"/>
            </w:tcBorders>
            <w:shd w:val="clear" w:color="auto" w:fill="DBDBDB"/>
          </w:tcPr>
          <w:p>
            <w:pPr>
              <w:spacing w:after="0"/>
              <w:rPr>
                <w:sz w:val="22"/>
                <w:szCs w:val="22"/>
                <w:color w:val="auto"/>
              </w:rPr>
            </w:pPr>
          </w:p>
        </w:tc>
        <w:tc>
          <w:tcPr>
            <w:tcW w:w="60" w:type="dxa"/>
            <w:vAlign w:val="bottom"/>
            <w:tcBorders>
              <w:top w:val="single" w:sz="8" w:color="auto"/>
            </w:tcBorders>
            <w:shd w:val="clear" w:color="auto" w:fill="DBDBDB"/>
          </w:tcPr>
          <w:p>
            <w:pPr>
              <w:spacing w:after="0"/>
              <w:rPr>
                <w:sz w:val="22"/>
                <w:szCs w:val="22"/>
                <w:color w:val="auto"/>
              </w:rPr>
            </w:pPr>
          </w:p>
        </w:tc>
        <w:tc>
          <w:tcPr>
            <w:tcW w:w="440" w:type="dxa"/>
            <w:vAlign w:val="bottom"/>
            <w:tcBorders>
              <w:top w:val="single" w:sz="8" w:color="auto"/>
            </w:tcBorders>
            <w:shd w:val="clear" w:color="auto" w:fill="DBDBDB"/>
          </w:tcPr>
          <w:p>
            <w:pPr>
              <w:spacing w:after="0"/>
              <w:rPr>
                <w:sz w:val="22"/>
                <w:szCs w:val="22"/>
                <w:color w:val="auto"/>
              </w:rPr>
            </w:pPr>
          </w:p>
        </w:tc>
        <w:tc>
          <w:tcPr>
            <w:tcW w:w="24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240" w:type="dxa"/>
            <w:vAlign w:val="bottom"/>
            <w:tcBorders>
              <w:top w:val="single" w:sz="8" w:color="auto"/>
            </w:tcBorders>
            <w:shd w:val="clear" w:color="auto" w:fill="DBDBDB"/>
          </w:tcPr>
          <w:p>
            <w:pPr>
              <w:spacing w:after="0"/>
              <w:rPr>
                <w:sz w:val="22"/>
                <w:szCs w:val="22"/>
                <w:color w:val="auto"/>
              </w:rPr>
            </w:pPr>
          </w:p>
        </w:tc>
        <w:tc>
          <w:tcPr>
            <w:tcW w:w="440" w:type="dxa"/>
            <w:vAlign w:val="bottom"/>
            <w:tcBorders>
              <w:top w:val="single" w:sz="8" w:color="auto"/>
            </w:tcBorders>
            <w:shd w:val="clear" w:color="auto" w:fill="DBDBDB"/>
          </w:tcPr>
          <w:p>
            <w:pPr>
              <w:spacing w:after="0"/>
              <w:rPr>
                <w:sz w:val="22"/>
                <w:szCs w:val="22"/>
                <w:color w:val="auto"/>
              </w:rPr>
            </w:pPr>
          </w:p>
        </w:tc>
        <w:tc>
          <w:tcPr>
            <w:tcW w:w="20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120" w:type="dxa"/>
            <w:vAlign w:val="bottom"/>
            <w:tcBorders>
              <w:top w:val="single" w:sz="8" w:color="auto"/>
            </w:tcBorders>
            <w:shd w:val="clear" w:color="auto" w:fill="DBDBDB"/>
          </w:tcPr>
          <w:p>
            <w:pPr>
              <w:spacing w:after="0"/>
              <w:rPr>
                <w:sz w:val="22"/>
                <w:szCs w:val="22"/>
                <w:color w:val="auto"/>
              </w:rPr>
            </w:pPr>
          </w:p>
        </w:tc>
        <w:tc>
          <w:tcPr>
            <w:tcW w:w="40" w:type="dxa"/>
            <w:vAlign w:val="bottom"/>
            <w:tcBorders>
              <w:top w:val="single" w:sz="8" w:color="auto"/>
            </w:tcBorders>
            <w:shd w:val="clear" w:color="auto" w:fill="DBDBDB"/>
          </w:tcPr>
          <w:p>
            <w:pPr>
              <w:spacing w:after="0"/>
              <w:rPr>
                <w:sz w:val="22"/>
                <w:szCs w:val="22"/>
                <w:color w:val="auto"/>
              </w:rPr>
            </w:pPr>
          </w:p>
        </w:tc>
        <w:tc>
          <w:tcPr>
            <w:tcW w:w="460" w:type="dxa"/>
            <w:vAlign w:val="bottom"/>
            <w:tcBorders>
              <w:top w:val="single" w:sz="8" w:color="auto"/>
            </w:tcBorders>
            <w:shd w:val="clear" w:color="auto" w:fill="DBDBDB"/>
          </w:tcPr>
          <w:p>
            <w:pPr>
              <w:spacing w:after="0"/>
              <w:rPr>
                <w:sz w:val="22"/>
                <w:szCs w:val="22"/>
                <w:color w:val="auto"/>
              </w:rPr>
            </w:pPr>
          </w:p>
        </w:tc>
        <w:tc>
          <w:tcPr>
            <w:tcW w:w="22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140" w:type="dxa"/>
            <w:vAlign w:val="bottom"/>
            <w:tcBorders>
              <w:top w:val="single" w:sz="8" w:color="auto"/>
            </w:tcBorders>
            <w:shd w:val="clear" w:color="auto" w:fill="DBDBDB"/>
          </w:tcPr>
          <w:p>
            <w:pPr>
              <w:spacing w:after="0"/>
              <w:rPr>
                <w:sz w:val="22"/>
                <w:szCs w:val="22"/>
                <w:color w:val="auto"/>
              </w:rPr>
            </w:pPr>
          </w:p>
        </w:tc>
        <w:tc>
          <w:tcPr>
            <w:tcW w:w="76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8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auto"/>
            </w:tcBorders>
            <w:shd w:val="clear" w:color="auto" w:fill="DBDBDB"/>
          </w:tcPr>
          <w:p>
            <w:pPr>
              <w:spacing w:after="0"/>
              <w:rPr>
                <w:sz w:val="22"/>
                <w:szCs w:val="22"/>
                <w:color w:val="auto"/>
              </w:rPr>
            </w:pPr>
          </w:p>
        </w:tc>
        <w:tc>
          <w:tcPr>
            <w:tcW w:w="96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140" w:type="dxa"/>
            <w:vAlign w:val="bottom"/>
            <w:tcBorders>
              <w:top w:val="single" w:sz="8" w:color="auto"/>
            </w:tcBorders>
            <w:shd w:val="clear" w:color="auto" w:fill="DBDBDB"/>
          </w:tcPr>
          <w:p>
            <w:pPr>
              <w:spacing w:after="0"/>
              <w:rPr>
                <w:sz w:val="22"/>
                <w:szCs w:val="22"/>
                <w:color w:val="auto"/>
              </w:rPr>
            </w:pPr>
          </w:p>
        </w:tc>
        <w:tc>
          <w:tcPr>
            <w:tcW w:w="78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200" w:type="dxa"/>
            <w:vAlign w:val="bottom"/>
            <w:tcBorders>
              <w:top w:val="single" w:sz="8" w:color="auto"/>
            </w:tcBorders>
            <w:shd w:val="clear" w:color="auto" w:fill="DBDBDB"/>
          </w:tcPr>
          <w:p>
            <w:pPr>
              <w:spacing w:after="0"/>
              <w:rPr>
                <w:sz w:val="22"/>
                <w:szCs w:val="22"/>
                <w:color w:val="auto"/>
              </w:rPr>
            </w:pPr>
          </w:p>
        </w:tc>
        <w:tc>
          <w:tcPr>
            <w:tcW w:w="900" w:type="dxa"/>
            <w:vAlign w:val="bottom"/>
            <w:tcBorders>
              <w:top w:val="single" w:sz="8" w:color="auto"/>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June 25, 2023</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55,073,993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551</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17,472,926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301,622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132,821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436,456</w:t>
            </w:r>
          </w:p>
        </w:tc>
        <w:tc>
          <w:tcPr>
            <w:tcW w:w="0" w:type="dxa"/>
            <w:vAlign w:val="bottom"/>
          </w:tcPr>
          <w:p>
            <w:pPr>
              <w:spacing w:after="0"/>
              <w:rPr>
                <w:sz w:val="1"/>
                <w:szCs w:val="1"/>
                <w:color w:val="auto"/>
              </w:rPr>
            </w:pPr>
          </w:p>
        </w:tc>
      </w:tr>
      <w:tr>
        <w:trPr>
          <w:trHeight w:val="274"/>
        </w:trPr>
        <w:tc>
          <w:tcPr>
            <w:tcW w:w="30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74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DBDBDB"/>
          </w:tcPr>
          <w:p>
            <w:pPr>
              <w:spacing w:after="0"/>
              <w:rPr>
                <w:sz w:val="23"/>
                <w:szCs w:val="23"/>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23"/>
                <w:szCs w:val="23"/>
                <w:color w:val="auto"/>
              </w:rPr>
            </w:pPr>
          </w:p>
        </w:tc>
        <w:tc>
          <w:tcPr>
            <w:tcW w:w="40" w:type="dxa"/>
            <w:vAlign w:val="bottom"/>
            <w:shd w:val="clear" w:color="auto" w:fill="DBDBDB"/>
          </w:tcPr>
          <w:p>
            <w:pPr>
              <w:spacing w:after="0"/>
              <w:rPr>
                <w:sz w:val="23"/>
                <w:szCs w:val="23"/>
                <w:color w:val="auto"/>
              </w:rPr>
            </w:pPr>
          </w:p>
        </w:tc>
        <w:tc>
          <w:tcPr>
            <w:tcW w:w="460" w:type="dxa"/>
            <w:vAlign w:val="bottom"/>
            <w:shd w:val="clear" w:color="auto" w:fill="DBDBDB"/>
          </w:tcPr>
          <w:p>
            <w:pPr>
              <w:spacing w:after="0"/>
              <w:rPr>
                <w:sz w:val="23"/>
                <w:szCs w:val="23"/>
                <w:color w:val="auto"/>
              </w:rPr>
            </w:pPr>
          </w:p>
        </w:tc>
        <w:tc>
          <w:tcPr>
            <w:tcW w:w="30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spacing w:after="0"/>
              <w:rPr>
                <w:sz w:val="23"/>
                <w:szCs w:val="23"/>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3"/>
                <w:szCs w:val="23"/>
                <w:color w:val="auto"/>
              </w:rPr>
            </w:pPr>
          </w:p>
        </w:tc>
        <w:tc>
          <w:tcPr>
            <w:tcW w:w="80" w:type="dxa"/>
            <w:vAlign w:val="bottom"/>
            <w:shd w:val="clear" w:color="auto" w:fill="DBDBDB"/>
          </w:tcPr>
          <w:p>
            <w:pPr>
              <w:spacing w:after="0"/>
              <w:rPr>
                <w:sz w:val="23"/>
                <w:szCs w:val="23"/>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4,361</w:t>
            </w:r>
          </w:p>
        </w:tc>
        <w:tc>
          <w:tcPr>
            <w:tcW w:w="8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2,185</w:t>
            </w:r>
          </w:p>
        </w:tc>
        <w:tc>
          <w:tcPr>
            <w:tcW w:w="8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6,546</w:t>
            </w:r>
          </w:p>
        </w:tc>
        <w:tc>
          <w:tcPr>
            <w:tcW w:w="0" w:type="dxa"/>
            <w:vAlign w:val="bottom"/>
          </w:tcPr>
          <w:p>
            <w:pPr>
              <w:spacing w:after="0"/>
              <w:rPr>
                <w:sz w:val="1"/>
                <w:szCs w:val="1"/>
                <w:color w:val="auto"/>
              </w:rPr>
            </w:pPr>
          </w:p>
        </w:tc>
      </w:tr>
      <w:tr>
        <w:trPr>
          <w:trHeight w:val="233"/>
        </w:trPr>
        <w:tc>
          <w:tcPr>
            <w:tcW w:w="3060" w:type="dxa"/>
            <w:vAlign w:val="bottom"/>
            <w:gridSpan w:val="2"/>
          </w:tcPr>
          <w:p>
            <w:pPr>
              <w:ind w:left="120"/>
              <w:spacing w:after="0"/>
              <w:rPr>
                <w:sz w:val="20"/>
                <w:szCs w:val="20"/>
                <w:color w:val="auto"/>
              </w:rPr>
            </w:pPr>
            <w:r>
              <w:rPr>
                <w:rFonts w:ascii="Arial" w:cs="Arial" w:eastAsia="Arial" w:hAnsi="Arial"/>
                <w:sz w:val="16"/>
                <w:szCs w:val="16"/>
                <w:color w:val="auto"/>
              </w:rPr>
              <w:t>Equity-based compensation</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4,324</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Activity under equity-based</w:t>
            </w:r>
          </w:p>
        </w:tc>
        <w:tc>
          <w:tcPr>
            <w:tcW w:w="1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compensation plans</w:t>
            </w:r>
          </w:p>
        </w:tc>
        <w:tc>
          <w:tcPr>
            <w:tcW w:w="90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108,148</w:t>
            </w:r>
          </w:p>
        </w:tc>
        <w:tc>
          <w:tcPr>
            <w:tcW w:w="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30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60"/>
        </w:trPr>
        <w:tc>
          <w:tcPr>
            <w:tcW w:w="3060" w:type="dxa"/>
            <w:vAlign w:val="bottom"/>
            <w:gridSpan w:val="2"/>
          </w:tcPr>
          <w:p>
            <w:pPr>
              <w:ind w:left="120"/>
              <w:spacing w:after="0"/>
              <w:rPr>
                <w:sz w:val="20"/>
                <w:szCs w:val="20"/>
                <w:color w:val="auto"/>
              </w:rPr>
            </w:pPr>
            <w:r>
              <w:rPr>
                <w:rFonts w:ascii="Arial" w:cs="Arial" w:eastAsia="Arial" w:hAnsi="Arial"/>
                <w:sz w:val="16"/>
                <w:szCs w:val="16"/>
                <w:color w:val="auto"/>
              </w:rPr>
              <w:t>Non-controlling interest adjustment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Establishment of liabilities under Tax</w:t>
            </w:r>
          </w:p>
        </w:tc>
        <w:tc>
          <w:tcPr>
            <w:tcW w:w="1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Receivable Agreement and related</w:t>
            </w:r>
          </w:p>
        </w:tc>
        <w:tc>
          <w:tcPr>
            <w:tcW w:w="1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changes to deferred tax assets</w:t>
            </w: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66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68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64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680" w:type="dxa"/>
            <w:vAlign w:val="bottom"/>
            <w:gridSpan w:val="2"/>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3060" w:type="dxa"/>
            <w:vAlign w:val="bottom"/>
            <w:tcBorders>
              <w:bottom w:val="single" w:sz="8" w:color="auto"/>
            </w:tcBorders>
            <w:gridSpan w:val="2"/>
            <w:shd w:val="clear" w:color="auto" w:fill="DBDBDB"/>
          </w:tcPr>
          <w:p>
            <w:pPr>
              <w:ind w:left="120"/>
              <w:spacing w:after="0"/>
              <w:rPr>
                <w:sz w:val="20"/>
                <w:szCs w:val="20"/>
                <w:color w:val="auto"/>
              </w:rPr>
            </w:pPr>
            <w:r>
              <w:rPr>
                <w:rFonts w:ascii="Arial" w:cs="Arial" w:eastAsia="Arial" w:hAnsi="Arial"/>
                <w:sz w:val="16"/>
                <w:szCs w:val="16"/>
                <w:color w:val="auto"/>
              </w:rPr>
              <w:t>associated with increases in tax basis</w:t>
            </w:r>
          </w:p>
        </w:tc>
        <w:tc>
          <w:tcPr>
            <w:tcW w:w="180" w:type="dxa"/>
            <w:vAlign w:val="bottom"/>
            <w:tcBorders>
              <w:bottom w:val="single" w:sz="8" w:color="auto"/>
            </w:tcBorders>
            <w:shd w:val="clear" w:color="auto" w:fill="DBDBDB"/>
          </w:tcPr>
          <w:p>
            <w:pPr>
              <w:spacing w:after="0"/>
              <w:rPr>
                <w:sz w:val="20"/>
                <w:szCs w:val="20"/>
                <w:color w:val="auto"/>
              </w:rPr>
            </w:pPr>
          </w:p>
        </w:tc>
        <w:tc>
          <w:tcPr>
            <w:tcW w:w="6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gridSpan w:val="2"/>
            <w:vMerge w:val="continue"/>
            <w:shd w:val="clear" w:color="auto" w:fill="DBDBDB"/>
          </w:tcPr>
          <w:p>
            <w:pPr>
              <w:spacing w:after="0"/>
              <w:rPr>
                <w:sz w:val="20"/>
                <w:szCs w:val="20"/>
                <w:color w:val="auto"/>
              </w:rPr>
            </w:pPr>
          </w:p>
        </w:tc>
        <w:tc>
          <w:tcPr>
            <w:tcW w:w="80" w:type="dxa"/>
            <w:vAlign w:val="bottom"/>
            <w:vMerge w:val="continue"/>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60" w:type="dxa"/>
            <w:vAlign w:val="bottom"/>
            <w:tcBorders>
              <w:bottom w:val="single" w:sz="8" w:color="auto"/>
            </w:tcBorders>
            <w:shd w:val="clear" w:color="auto" w:fill="DBDBDB"/>
          </w:tcPr>
          <w:p>
            <w:pPr>
              <w:spacing w:after="0"/>
              <w:rPr>
                <w:sz w:val="20"/>
                <w:szCs w:val="20"/>
                <w:color w:val="auto"/>
              </w:rPr>
            </w:pPr>
          </w:p>
        </w:tc>
        <w:tc>
          <w:tcPr>
            <w:tcW w:w="680" w:type="dxa"/>
            <w:vAlign w:val="bottom"/>
            <w:tcBorders>
              <w:bottom w:val="single" w:sz="8" w:color="auto"/>
            </w:tcBorders>
            <w:gridSpan w:val="2"/>
            <w:vMerge w:val="continue"/>
            <w:shd w:val="clear" w:color="auto" w:fill="DBDBDB"/>
          </w:tcPr>
          <w:p>
            <w:pPr>
              <w:spacing w:after="0"/>
              <w:rPr>
                <w:sz w:val="20"/>
                <w:szCs w:val="20"/>
                <w:color w:val="auto"/>
              </w:rPr>
            </w:pPr>
          </w:p>
        </w:tc>
        <w:tc>
          <w:tcPr>
            <w:tcW w:w="80" w:type="dxa"/>
            <w:vAlign w:val="bottom"/>
            <w:vMerge w:val="continue"/>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gridSpan w:val="2"/>
            <w:vMerge w:val="continue"/>
            <w:shd w:val="clear" w:color="auto" w:fill="DBDBDB"/>
          </w:tcPr>
          <w:p>
            <w:pPr>
              <w:spacing w:after="0"/>
              <w:rPr>
                <w:sz w:val="20"/>
                <w:szCs w:val="20"/>
                <w:color w:val="auto"/>
              </w:rPr>
            </w:pPr>
          </w:p>
        </w:tc>
        <w:tc>
          <w:tcPr>
            <w:tcW w:w="80" w:type="dxa"/>
            <w:vAlign w:val="bottom"/>
            <w:vMerge w:val="continue"/>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40" w:type="dxa"/>
            <w:vAlign w:val="bottom"/>
            <w:tcBorders>
              <w:bottom w:val="single" w:sz="8" w:color="auto"/>
            </w:tcBorders>
            <w:shd w:val="clear" w:color="auto" w:fill="DBDBDB"/>
          </w:tcPr>
          <w:p>
            <w:pPr>
              <w:spacing w:after="0"/>
              <w:rPr>
                <w:sz w:val="20"/>
                <w:szCs w:val="20"/>
                <w:color w:val="auto"/>
              </w:rPr>
            </w:pPr>
          </w:p>
        </w:tc>
        <w:tc>
          <w:tcPr>
            <w:tcW w:w="680" w:type="dxa"/>
            <w:vAlign w:val="bottom"/>
            <w:tcBorders>
              <w:bottom w:val="single" w:sz="8" w:color="auto"/>
            </w:tcBorders>
            <w:gridSpan w:val="2"/>
            <w:vMerge w:val="continue"/>
            <w:shd w:val="clear" w:color="auto" w:fill="DBDBDB"/>
          </w:tcPr>
          <w:p>
            <w:pPr>
              <w:spacing w:after="0"/>
              <w:rPr>
                <w:sz w:val="20"/>
                <w:szCs w:val="20"/>
                <w:color w:val="auto"/>
              </w:rPr>
            </w:pPr>
          </w:p>
        </w:tc>
        <w:tc>
          <w:tcPr>
            <w:tcW w:w="80" w:type="dxa"/>
            <w:vAlign w:val="bottom"/>
            <w:vMerge w:val="continue"/>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80" w:type="dxa"/>
            <w:vAlign w:val="bottom"/>
            <w:tcBorders>
              <w:bottom w:val="single" w:sz="8" w:color="auto"/>
            </w:tcBorders>
            <w:shd w:val="clear" w:color="auto" w:fill="DBDBDB"/>
          </w:tcPr>
          <w:p>
            <w:pPr>
              <w:spacing w:after="0"/>
              <w:rPr>
                <w:sz w:val="20"/>
                <w:szCs w:val="20"/>
                <w:color w:val="auto"/>
              </w:rPr>
            </w:pPr>
          </w:p>
        </w:tc>
        <w:tc>
          <w:tcPr>
            <w:tcW w:w="80" w:type="dxa"/>
            <w:vAlign w:val="bottom"/>
            <w:tcBorders>
              <w:bottom w:val="single" w:sz="8" w:color="auto"/>
            </w:tcBorders>
            <w:shd w:val="clear" w:color="auto" w:fill="DBDBDB"/>
          </w:tcPr>
          <w:p>
            <w:pPr>
              <w:spacing w:after="0"/>
              <w:rPr>
                <w:sz w:val="20"/>
                <w:szCs w:val="20"/>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90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September 24, 2023</w:t>
            </w:r>
          </w:p>
        </w:tc>
        <w:tc>
          <w:tcPr>
            <w:tcW w:w="900" w:type="dxa"/>
            <w:vAlign w:val="bottom"/>
            <w:gridSpan w:val="4"/>
          </w:tcPr>
          <w:p>
            <w:pPr>
              <w:jc w:val="right"/>
              <w:spacing w:after="0"/>
              <w:rPr>
                <w:sz w:val="20"/>
                <w:szCs w:val="20"/>
                <w:color w:val="auto"/>
              </w:rPr>
            </w:pPr>
            <w:r>
              <w:rPr>
                <w:rFonts w:ascii="Arial" w:cs="Arial" w:eastAsia="Arial" w:hAnsi="Arial"/>
                <w:sz w:val="16"/>
                <w:szCs w:val="16"/>
                <w:color w:val="auto"/>
              </w:rPr>
              <w:t>55,182,141</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552</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17,472,926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305,515</w:t>
            </w:r>
          </w:p>
        </w:tc>
        <w:tc>
          <w:tcPr>
            <w:tcW w:w="8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5,823</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135,837</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447,727</w:t>
            </w:r>
          </w:p>
        </w:tc>
        <w:tc>
          <w:tcPr>
            <w:tcW w:w="0" w:type="dxa"/>
            <w:vAlign w:val="bottom"/>
          </w:tcPr>
          <w:p>
            <w:pPr>
              <w:spacing w:after="0"/>
              <w:rPr>
                <w:sz w:val="1"/>
                <w:szCs w:val="1"/>
                <w:color w:val="auto"/>
              </w:rPr>
            </w:pPr>
          </w:p>
        </w:tc>
      </w:tr>
      <w:tr>
        <w:trPr>
          <w:trHeight w:val="24"/>
        </w:trPr>
        <w:tc>
          <w:tcPr>
            <w:tcW w:w="29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PORTILLO'S INC.</w:t>
      </w:r>
    </w:p>
    <w:p>
      <w:pPr>
        <w:spacing w:after="0" w:line="25" w:lineRule="exact"/>
        <w:rPr>
          <w:sz w:val="20"/>
          <w:szCs w:val="20"/>
          <w:color w:val="auto"/>
        </w:rPr>
      </w:pPr>
    </w:p>
    <w:p>
      <w:pPr>
        <w:ind w:right="5400"/>
        <w:spacing w:after="0" w:line="255" w:lineRule="auto"/>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6040" w:type="dxa"/>
            <w:vAlign w:val="bottom"/>
            <w:gridSpan w:val="26"/>
          </w:tcPr>
          <w:p>
            <w:pPr>
              <w:spacing w:after="0"/>
              <w:rPr>
                <w:sz w:val="20"/>
                <w:szCs w:val="20"/>
                <w:color w:val="auto"/>
              </w:rPr>
            </w:pPr>
            <w:r>
              <w:rPr>
                <w:rFonts w:ascii="Arial" w:cs="Arial" w:eastAsia="Arial" w:hAnsi="Arial"/>
                <w:sz w:val="16"/>
                <w:szCs w:val="16"/>
                <w:b w:val="1"/>
                <w:bCs w:val="1"/>
                <w:color w:val="auto"/>
              </w:rPr>
              <w:t>Three Quarters Ended September 24, 2023 and September 25, 2022</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3"/>
        </w:trPr>
        <w:tc>
          <w:tcPr>
            <w:tcW w:w="2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9"/>
          </w:tcPr>
          <w:p>
            <w:pPr>
              <w:jc w:val="center"/>
              <w:ind w:right="80"/>
              <w:spacing w:after="0"/>
              <w:rPr>
                <w:sz w:val="20"/>
                <w:szCs w:val="20"/>
                <w:color w:val="auto"/>
              </w:rPr>
            </w:pPr>
            <w:r>
              <w:rPr>
                <w:rFonts w:ascii="Arial" w:cs="Arial" w:eastAsia="Arial" w:hAnsi="Arial"/>
                <w:sz w:val="16"/>
                <w:szCs w:val="16"/>
                <w:b w:val="1"/>
                <w:bCs w:val="1"/>
                <w:color w:val="auto"/>
              </w:rPr>
              <w:t>Class A Common</w:t>
            </w:r>
          </w:p>
        </w:tc>
        <w:tc>
          <w:tcPr>
            <w:tcW w:w="1880" w:type="dxa"/>
            <w:vAlign w:val="bottom"/>
            <w:tcBorders>
              <w:top w:val="single" w:sz="8" w:color="auto"/>
            </w:tcBorders>
            <w:gridSpan w:val="9"/>
          </w:tcPr>
          <w:p>
            <w:pPr>
              <w:jc w:val="center"/>
              <w:ind w:right="60"/>
              <w:spacing w:after="0"/>
              <w:rPr>
                <w:sz w:val="20"/>
                <w:szCs w:val="20"/>
                <w:color w:val="auto"/>
              </w:rPr>
            </w:pPr>
            <w:r>
              <w:rPr>
                <w:rFonts w:ascii="Arial" w:cs="Arial" w:eastAsia="Arial" w:hAnsi="Arial"/>
                <w:sz w:val="16"/>
                <w:szCs w:val="16"/>
                <w:b w:val="1"/>
                <w:bCs w:val="1"/>
                <w:color w:val="auto"/>
              </w:rPr>
              <w:t>Class B Common</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69"/>
        </w:trPr>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5"/>
          </w:tcPr>
          <w:p>
            <w:pPr>
              <w:jc w:val="center"/>
              <w:ind w:right="440"/>
              <w:spacing w:after="0" w:line="169" w:lineRule="exact"/>
              <w:rPr>
                <w:sz w:val="20"/>
                <w:szCs w:val="20"/>
                <w:color w:val="auto"/>
              </w:rPr>
            </w:pPr>
            <w:r>
              <w:rPr>
                <w:rFonts w:ascii="Arial" w:cs="Arial" w:eastAsia="Arial" w:hAnsi="Arial"/>
                <w:sz w:val="16"/>
                <w:szCs w:val="16"/>
                <w:b w:val="1"/>
                <w:bCs w:val="1"/>
                <w:color w:val="auto"/>
              </w:rPr>
              <w:t>Stock</w:t>
            </w:r>
          </w:p>
        </w:tc>
        <w:tc>
          <w:tcPr>
            <w:tcW w:w="3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5"/>
          </w:tcPr>
          <w:p>
            <w:pPr>
              <w:jc w:val="center"/>
              <w:ind w:right="460"/>
              <w:spacing w:after="0" w:line="169" w:lineRule="exact"/>
              <w:rPr>
                <w:sz w:val="20"/>
                <w:szCs w:val="20"/>
                <w:color w:val="auto"/>
              </w:rPr>
            </w:pPr>
            <w:r>
              <w:rPr>
                <w:rFonts w:ascii="Arial" w:cs="Arial" w:eastAsia="Arial" w:hAnsi="Arial"/>
                <w:sz w:val="16"/>
                <w:szCs w:val="16"/>
                <w:b w:val="1"/>
                <w:bCs w:val="1"/>
                <w:color w:val="auto"/>
              </w:rPr>
              <w:t>Stock</w:t>
            </w:r>
          </w:p>
        </w:tc>
        <w:tc>
          <w:tcPr>
            <w:tcW w:w="3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5"/>
        </w:trPr>
        <w:tc>
          <w:tcPr>
            <w:tcW w:w="2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3"/>
        </w:trPr>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9"/>
              </w:rPr>
              <w:t>Earnings</w:t>
            </w:r>
          </w:p>
        </w:tc>
        <w:tc>
          <w:tcPr>
            <w:tcW w:w="14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89"/>
        </w:trPr>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Paid-in</w:t>
            </w:r>
          </w:p>
        </w:tc>
        <w:tc>
          <w:tcPr>
            <w:tcW w:w="12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w:t>
            </w:r>
          </w:p>
        </w:tc>
      </w:tr>
      <w:tr>
        <w:trPr>
          <w:trHeight w:val="244"/>
        </w:trPr>
        <w:tc>
          <w:tcPr>
            <w:tcW w:w="2980" w:type="dxa"/>
            <w:vAlign w:val="bottom"/>
            <w:tcBorders>
              <w:bottom w:val="single" w:sz="8" w:color="auto"/>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98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Amount</w:t>
            </w:r>
          </w:p>
        </w:tc>
        <w:tc>
          <w:tcPr>
            <w:tcW w:w="96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b w:val="1"/>
                <w:bCs w:val="1"/>
                <w:color w:val="auto"/>
              </w:rPr>
              <w:t>Deficit)</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Interest</w:t>
            </w:r>
          </w:p>
        </w:tc>
        <w:tc>
          <w:tcPr>
            <w:tcW w:w="80" w:type="dxa"/>
            <w:vAlign w:val="bottom"/>
            <w:tcBorders>
              <w:bottom w:val="single" w:sz="8" w:color="DBDBDB"/>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Equity</w:t>
            </w:r>
          </w:p>
        </w:tc>
      </w:tr>
      <w:tr>
        <w:trPr>
          <w:trHeight w:val="240"/>
        </w:trPr>
        <w:tc>
          <w:tcPr>
            <w:tcW w:w="2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Balance at December 26, 2021</w:t>
            </w:r>
          </w:p>
        </w:tc>
        <w:tc>
          <w:tcPr>
            <w:tcW w:w="98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35,807,171</w:t>
            </w:r>
          </w:p>
        </w:tc>
        <w:tc>
          <w:tcPr>
            <w:tcW w:w="8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358</w:t>
            </w:r>
          </w:p>
        </w:tc>
        <w:tc>
          <w:tcPr>
            <w:tcW w:w="80" w:type="dxa"/>
            <w:vAlign w:val="bottom"/>
            <w:shd w:val="clear" w:color="auto" w:fill="DBDBDB"/>
          </w:tcPr>
          <w:p>
            <w:pPr>
              <w:spacing w:after="0"/>
              <w:rPr>
                <w:sz w:val="20"/>
                <w:szCs w:val="20"/>
                <w:color w:val="auto"/>
              </w:rPr>
            </w:pP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35,673,321</w:t>
            </w: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30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186,856</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(15,950)</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252,142</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423,406</w:t>
            </w:r>
          </w:p>
        </w:tc>
      </w:tr>
      <w:tr>
        <w:trPr>
          <w:trHeight w:val="233"/>
        </w:trPr>
        <w:tc>
          <w:tcPr>
            <w:tcW w:w="29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6,897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14,504</w:t>
            </w:r>
          </w:p>
        </w:tc>
      </w:tr>
      <w:tr>
        <w:trPr>
          <w:trHeight w:val="253"/>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Equity-based compensation</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74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DBDBDB"/>
          </w:tcPr>
          <w:p>
            <w:pPr>
              <w:spacing w:after="0"/>
              <w:rPr>
                <w:sz w:val="21"/>
                <w:szCs w:val="21"/>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0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5,837</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8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5,510</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11,347</w:t>
            </w:r>
          </w:p>
        </w:tc>
      </w:tr>
      <w:tr>
        <w:trPr>
          <w:trHeight w:val="206"/>
        </w:trPr>
        <w:tc>
          <w:tcPr>
            <w:tcW w:w="2980" w:type="dxa"/>
            <w:vAlign w:val="bottom"/>
          </w:tcPr>
          <w:p>
            <w:pPr>
              <w:ind w:left="120"/>
              <w:spacing w:after="0"/>
              <w:rPr>
                <w:sz w:val="20"/>
                <w:szCs w:val="20"/>
                <w:color w:val="auto"/>
              </w:rPr>
            </w:pPr>
            <w:r>
              <w:rPr>
                <w:rFonts w:ascii="Arial" w:cs="Arial" w:eastAsia="Arial" w:hAnsi="Arial"/>
                <w:sz w:val="16"/>
                <w:szCs w:val="16"/>
                <w:color w:val="auto"/>
              </w:rPr>
              <w:t>Activity under equity-based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6"/>
                <w:szCs w:val="16"/>
                <w:color w:val="auto"/>
              </w:rPr>
              <w:t>compensation plans</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475,293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1,722</w:t>
            </w:r>
          </w:p>
        </w:tc>
      </w:tr>
      <w:tr>
        <w:trPr>
          <w:trHeight w:val="253"/>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Redemption of LLC Interests</w:t>
            </w:r>
          </w:p>
        </w:tc>
        <w:tc>
          <w:tcPr>
            <w:tcW w:w="98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5,942,559</w:t>
            </w:r>
          </w:p>
        </w:tc>
        <w:tc>
          <w:tcPr>
            <w:tcW w:w="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DBDBDB"/>
          </w:tcPr>
          <w:p>
            <w:pPr>
              <w:spacing w:after="0"/>
              <w:rPr>
                <w:sz w:val="21"/>
                <w:szCs w:val="21"/>
                <w:color w:val="auto"/>
              </w:rPr>
            </w:pP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(5,942,559)</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0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8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980" w:type="dxa"/>
            <w:vAlign w:val="bottom"/>
          </w:tcPr>
          <w:p>
            <w:pPr>
              <w:ind w:left="120"/>
              <w:spacing w:after="0"/>
              <w:rPr>
                <w:sz w:val="20"/>
                <w:szCs w:val="20"/>
                <w:color w:val="auto"/>
              </w:rPr>
            </w:pPr>
            <w:r>
              <w:rPr>
                <w:rFonts w:ascii="Arial" w:cs="Arial" w:eastAsia="Arial" w:hAnsi="Arial"/>
                <w:sz w:val="16"/>
                <w:szCs w:val="16"/>
                <w:color w:val="auto"/>
              </w:rPr>
              <w:t>Non-controlling interest adjustment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44,533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(44,533)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Establishment of liabilities under Tax</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r>
      <w:tr>
        <w:trPr>
          <w:trHeight w:val="203"/>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Receivable Agreement and related</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r>
      <w:tr>
        <w:trPr>
          <w:trHeight w:val="189"/>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changes to deferred tax assets</w:t>
            </w: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r>
      <w:tr>
        <w:trPr>
          <w:trHeight w:val="233"/>
        </w:trPr>
        <w:tc>
          <w:tcPr>
            <w:tcW w:w="298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6"/>
                <w:szCs w:val="16"/>
                <w:color w:val="auto"/>
              </w:rPr>
              <w:t>associated with increases in tax basis</w:t>
            </w:r>
          </w:p>
        </w:tc>
        <w:tc>
          <w:tcPr>
            <w:tcW w:w="8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60" w:type="dxa"/>
            <w:vAlign w:val="bottom"/>
            <w:tcBorders>
              <w:bottom w:val="single" w:sz="8" w:color="auto"/>
            </w:tcBorders>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40" w:type="dxa"/>
            <w:vAlign w:val="bottom"/>
            <w:tcBorders>
              <w:bottom w:val="single" w:sz="8" w:color="auto"/>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(6,854)</w:t>
            </w:r>
          </w:p>
        </w:tc>
        <w:tc>
          <w:tcPr>
            <w:tcW w:w="8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(6,854)</w:t>
            </w:r>
          </w:p>
        </w:tc>
      </w:tr>
      <w:tr>
        <w:trPr>
          <w:trHeight w:val="239"/>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25, 2022</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42,225,023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421</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29,730,762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232,031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(9,053)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220,726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444,125</w:t>
            </w:r>
          </w:p>
        </w:tc>
      </w:tr>
      <w:tr>
        <w:trPr>
          <w:trHeight w:val="254"/>
        </w:trPr>
        <w:tc>
          <w:tcPr>
            <w:tcW w:w="298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auto"/>
            </w:tcBorders>
            <w:shd w:val="clear" w:color="auto" w:fill="DBDBDB"/>
          </w:tcPr>
          <w:p>
            <w:pPr>
              <w:spacing w:after="0"/>
              <w:rPr>
                <w:sz w:val="22"/>
                <w:szCs w:val="22"/>
                <w:color w:val="auto"/>
              </w:rPr>
            </w:pPr>
          </w:p>
        </w:tc>
        <w:tc>
          <w:tcPr>
            <w:tcW w:w="240" w:type="dxa"/>
            <w:vAlign w:val="bottom"/>
            <w:tcBorders>
              <w:top w:val="single" w:sz="8" w:color="auto"/>
            </w:tcBorders>
            <w:shd w:val="clear" w:color="auto" w:fill="DBDBDB"/>
          </w:tcPr>
          <w:p>
            <w:pPr>
              <w:spacing w:after="0"/>
              <w:rPr>
                <w:sz w:val="22"/>
                <w:szCs w:val="22"/>
                <w:color w:val="auto"/>
              </w:rPr>
            </w:pPr>
          </w:p>
        </w:tc>
        <w:tc>
          <w:tcPr>
            <w:tcW w:w="460" w:type="dxa"/>
            <w:vAlign w:val="bottom"/>
            <w:tcBorders>
              <w:top w:val="single" w:sz="8" w:color="auto"/>
            </w:tcBorders>
            <w:shd w:val="clear" w:color="auto" w:fill="DBDBDB"/>
          </w:tcPr>
          <w:p>
            <w:pPr>
              <w:spacing w:after="0"/>
              <w:rPr>
                <w:sz w:val="22"/>
                <w:szCs w:val="22"/>
                <w:color w:val="auto"/>
              </w:rPr>
            </w:pPr>
          </w:p>
        </w:tc>
        <w:tc>
          <w:tcPr>
            <w:tcW w:w="20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100" w:type="dxa"/>
            <w:vAlign w:val="bottom"/>
            <w:tcBorders>
              <w:top w:val="single" w:sz="8" w:color="auto"/>
            </w:tcBorders>
            <w:shd w:val="clear" w:color="auto" w:fill="DBDBDB"/>
          </w:tcPr>
          <w:p>
            <w:pPr>
              <w:spacing w:after="0"/>
              <w:rPr>
                <w:sz w:val="22"/>
                <w:szCs w:val="22"/>
                <w:color w:val="auto"/>
              </w:rPr>
            </w:pPr>
          </w:p>
        </w:tc>
        <w:tc>
          <w:tcPr>
            <w:tcW w:w="60" w:type="dxa"/>
            <w:vAlign w:val="bottom"/>
            <w:tcBorders>
              <w:top w:val="single" w:sz="8" w:color="auto"/>
            </w:tcBorders>
            <w:shd w:val="clear" w:color="auto" w:fill="DBDBDB"/>
          </w:tcPr>
          <w:p>
            <w:pPr>
              <w:spacing w:after="0"/>
              <w:rPr>
                <w:sz w:val="22"/>
                <w:szCs w:val="22"/>
                <w:color w:val="auto"/>
              </w:rPr>
            </w:pPr>
          </w:p>
        </w:tc>
        <w:tc>
          <w:tcPr>
            <w:tcW w:w="440" w:type="dxa"/>
            <w:vAlign w:val="bottom"/>
            <w:tcBorders>
              <w:top w:val="single" w:sz="8" w:color="auto"/>
            </w:tcBorders>
            <w:shd w:val="clear" w:color="auto" w:fill="DBDBDB"/>
          </w:tcPr>
          <w:p>
            <w:pPr>
              <w:spacing w:after="0"/>
              <w:rPr>
                <w:sz w:val="22"/>
                <w:szCs w:val="22"/>
                <w:color w:val="auto"/>
              </w:rPr>
            </w:pPr>
          </w:p>
        </w:tc>
        <w:tc>
          <w:tcPr>
            <w:tcW w:w="24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240" w:type="dxa"/>
            <w:vAlign w:val="bottom"/>
            <w:tcBorders>
              <w:top w:val="single" w:sz="8" w:color="auto"/>
            </w:tcBorders>
            <w:shd w:val="clear" w:color="auto" w:fill="DBDBDB"/>
          </w:tcPr>
          <w:p>
            <w:pPr>
              <w:spacing w:after="0"/>
              <w:rPr>
                <w:sz w:val="22"/>
                <w:szCs w:val="22"/>
                <w:color w:val="auto"/>
              </w:rPr>
            </w:pPr>
          </w:p>
        </w:tc>
        <w:tc>
          <w:tcPr>
            <w:tcW w:w="440" w:type="dxa"/>
            <w:vAlign w:val="bottom"/>
            <w:tcBorders>
              <w:top w:val="single" w:sz="8" w:color="auto"/>
            </w:tcBorders>
            <w:shd w:val="clear" w:color="auto" w:fill="DBDBDB"/>
          </w:tcPr>
          <w:p>
            <w:pPr>
              <w:spacing w:after="0"/>
              <w:rPr>
                <w:sz w:val="22"/>
                <w:szCs w:val="22"/>
                <w:color w:val="auto"/>
              </w:rPr>
            </w:pPr>
          </w:p>
        </w:tc>
        <w:tc>
          <w:tcPr>
            <w:tcW w:w="20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120" w:type="dxa"/>
            <w:vAlign w:val="bottom"/>
            <w:tcBorders>
              <w:top w:val="single" w:sz="8" w:color="auto"/>
            </w:tcBorders>
            <w:shd w:val="clear" w:color="auto" w:fill="DBDBDB"/>
          </w:tcPr>
          <w:p>
            <w:pPr>
              <w:spacing w:after="0"/>
              <w:rPr>
                <w:sz w:val="22"/>
                <w:szCs w:val="22"/>
                <w:color w:val="auto"/>
              </w:rPr>
            </w:pPr>
          </w:p>
        </w:tc>
        <w:tc>
          <w:tcPr>
            <w:tcW w:w="40" w:type="dxa"/>
            <w:vAlign w:val="bottom"/>
            <w:tcBorders>
              <w:top w:val="single" w:sz="8" w:color="auto"/>
            </w:tcBorders>
            <w:shd w:val="clear" w:color="auto" w:fill="DBDBDB"/>
          </w:tcPr>
          <w:p>
            <w:pPr>
              <w:spacing w:after="0"/>
              <w:rPr>
                <w:sz w:val="22"/>
                <w:szCs w:val="22"/>
                <w:color w:val="auto"/>
              </w:rPr>
            </w:pPr>
          </w:p>
        </w:tc>
        <w:tc>
          <w:tcPr>
            <w:tcW w:w="460" w:type="dxa"/>
            <w:vAlign w:val="bottom"/>
            <w:tcBorders>
              <w:top w:val="single" w:sz="8" w:color="auto"/>
            </w:tcBorders>
            <w:shd w:val="clear" w:color="auto" w:fill="DBDBDB"/>
          </w:tcPr>
          <w:p>
            <w:pPr>
              <w:spacing w:after="0"/>
              <w:rPr>
                <w:sz w:val="22"/>
                <w:szCs w:val="22"/>
                <w:color w:val="auto"/>
              </w:rPr>
            </w:pPr>
          </w:p>
        </w:tc>
        <w:tc>
          <w:tcPr>
            <w:tcW w:w="22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140" w:type="dxa"/>
            <w:vAlign w:val="bottom"/>
            <w:tcBorders>
              <w:top w:val="single" w:sz="8" w:color="auto"/>
            </w:tcBorders>
            <w:shd w:val="clear" w:color="auto" w:fill="DBDBDB"/>
          </w:tcPr>
          <w:p>
            <w:pPr>
              <w:spacing w:after="0"/>
              <w:rPr>
                <w:sz w:val="22"/>
                <w:szCs w:val="22"/>
                <w:color w:val="auto"/>
              </w:rPr>
            </w:pPr>
          </w:p>
        </w:tc>
        <w:tc>
          <w:tcPr>
            <w:tcW w:w="76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160" w:type="dxa"/>
            <w:vAlign w:val="bottom"/>
            <w:tcBorders>
              <w:top w:val="single" w:sz="8" w:color="auto"/>
            </w:tcBorders>
            <w:shd w:val="clear" w:color="auto" w:fill="DBDBDB"/>
          </w:tcPr>
          <w:p>
            <w:pPr>
              <w:spacing w:after="0"/>
              <w:rPr>
                <w:sz w:val="22"/>
                <w:szCs w:val="22"/>
                <w:color w:val="auto"/>
              </w:rPr>
            </w:pPr>
          </w:p>
        </w:tc>
        <w:tc>
          <w:tcPr>
            <w:tcW w:w="160" w:type="dxa"/>
            <w:vAlign w:val="bottom"/>
            <w:tcBorders>
              <w:top w:val="single" w:sz="8" w:color="auto"/>
            </w:tcBorders>
            <w:shd w:val="clear" w:color="auto" w:fill="DBDBDB"/>
          </w:tcPr>
          <w:p>
            <w:pPr>
              <w:spacing w:after="0"/>
              <w:rPr>
                <w:sz w:val="22"/>
                <w:szCs w:val="22"/>
                <w:color w:val="auto"/>
              </w:rPr>
            </w:pPr>
          </w:p>
        </w:tc>
        <w:tc>
          <w:tcPr>
            <w:tcW w:w="80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140" w:type="dxa"/>
            <w:vAlign w:val="bottom"/>
            <w:tcBorders>
              <w:top w:val="single" w:sz="8" w:color="auto"/>
            </w:tcBorders>
            <w:shd w:val="clear" w:color="auto" w:fill="DBDBDB"/>
          </w:tcPr>
          <w:p>
            <w:pPr>
              <w:spacing w:after="0"/>
              <w:rPr>
                <w:sz w:val="22"/>
                <w:szCs w:val="22"/>
                <w:color w:val="auto"/>
              </w:rPr>
            </w:pPr>
          </w:p>
        </w:tc>
        <w:tc>
          <w:tcPr>
            <w:tcW w:w="780" w:type="dxa"/>
            <w:vAlign w:val="bottom"/>
            <w:tcBorders>
              <w:top w:val="single" w:sz="8" w:color="auto"/>
            </w:tcBorders>
            <w:shd w:val="clear" w:color="auto" w:fill="DBDBDB"/>
          </w:tcPr>
          <w:p>
            <w:pPr>
              <w:spacing w:after="0"/>
              <w:rPr>
                <w:sz w:val="22"/>
                <w:szCs w:val="22"/>
                <w:color w:val="auto"/>
              </w:rPr>
            </w:pPr>
          </w:p>
        </w:tc>
        <w:tc>
          <w:tcPr>
            <w:tcW w:w="80" w:type="dxa"/>
            <w:vAlign w:val="bottom"/>
            <w:tcBorders>
              <w:top w:val="single" w:sz="8" w:color="DBDBDB"/>
            </w:tcBorders>
            <w:shd w:val="clear" w:color="auto" w:fill="DBDBDB"/>
          </w:tcPr>
          <w:p>
            <w:pPr>
              <w:spacing w:after="0"/>
              <w:rPr>
                <w:sz w:val="22"/>
                <w:szCs w:val="22"/>
                <w:color w:val="auto"/>
              </w:rPr>
            </w:pPr>
          </w:p>
        </w:tc>
        <w:tc>
          <w:tcPr>
            <w:tcW w:w="200" w:type="dxa"/>
            <w:vAlign w:val="bottom"/>
            <w:tcBorders>
              <w:top w:val="single" w:sz="8" w:color="auto"/>
            </w:tcBorders>
            <w:shd w:val="clear" w:color="auto" w:fill="DBDBDB"/>
          </w:tcPr>
          <w:p>
            <w:pPr>
              <w:spacing w:after="0"/>
              <w:rPr>
                <w:sz w:val="22"/>
                <w:szCs w:val="22"/>
                <w:color w:val="auto"/>
              </w:rPr>
            </w:pPr>
          </w:p>
        </w:tc>
        <w:tc>
          <w:tcPr>
            <w:tcW w:w="900" w:type="dxa"/>
            <w:vAlign w:val="bottom"/>
            <w:tcBorders>
              <w:top w:val="single" w:sz="8" w:color="auto"/>
            </w:tcBorders>
            <w:shd w:val="clear" w:color="auto" w:fill="DBDBDB"/>
          </w:tcPr>
          <w:p>
            <w:pPr>
              <w:spacing w:after="0"/>
              <w:rPr>
                <w:sz w:val="22"/>
                <w:szCs w:val="22"/>
                <w:color w:val="auto"/>
              </w:rPr>
            </w:pPr>
          </w:p>
        </w:tc>
      </w:tr>
      <w:tr>
        <w:trPr>
          <w:trHeight w:val="239"/>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25, 2022</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48,420,723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484</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23,837,162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260,664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(4,812)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176,565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432,901</w:t>
            </w:r>
          </w:p>
        </w:tc>
      </w:tr>
      <w:tr>
        <w:trPr>
          <w:trHeight w:val="247"/>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74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DBDBDB"/>
          </w:tcPr>
          <w:p>
            <w:pPr>
              <w:spacing w:after="0"/>
              <w:rPr>
                <w:sz w:val="21"/>
                <w:szCs w:val="21"/>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0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10,635</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4,536</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15,171</w:t>
            </w:r>
          </w:p>
        </w:tc>
      </w:tr>
      <w:tr>
        <w:trPr>
          <w:trHeight w:val="233"/>
        </w:trPr>
        <w:tc>
          <w:tcPr>
            <w:tcW w:w="2980" w:type="dxa"/>
            <w:vAlign w:val="bottom"/>
          </w:tcPr>
          <w:p>
            <w:pPr>
              <w:ind w:left="12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20"/>
                <w:szCs w:val="20"/>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12,044</w:t>
            </w:r>
          </w:p>
        </w:tc>
      </w:tr>
      <w:tr>
        <w:trPr>
          <w:trHeight w:val="216"/>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Activity under equity-based</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r>
      <w:tr>
        <w:trPr>
          <w:trHeight w:val="240"/>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compensation plans</w:t>
            </w:r>
          </w:p>
        </w:tc>
        <w:tc>
          <w:tcPr>
            <w:tcW w:w="980" w:type="dxa"/>
            <w:vAlign w:val="bottom"/>
            <w:gridSpan w:val="4"/>
            <w:shd w:val="clear" w:color="auto" w:fill="DBDBDB"/>
          </w:tcPr>
          <w:p>
            <w:pPr>
              <w:jc w:val="right"/>
              <w:spacing w:after="0"/>
              <w:rPr>
                <w:sz w:val="20"/>
                <w:szCs w:val="20"/>
                <w:color w:val="auto"/>
              </w:rPr>
            </w:pPr>
            <w:r>
              <w:rPr>
                <w:rFonts w:ascii="Arial" w:cs="Arial" w:eastAsia="Arial" w:hAnsi="Arial"/>
                <w:sz w:val="16"/>
                <w:szCs w:val="16"/>
                <w:color w:val="auto"/>
              </w:rPr>
              <w:t>397,182</w:t>
            </w:r>
          </w:p>
        </w:tc>
        <w:tc>
          <w:tcPr>
            <w:tcW w:w="8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30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1,688</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8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0"/>
                <w:szCs w:val="20"/>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1,692</w:t>
            </w:r>
          </w:p>
        </w:tc>
      </w:tr>
      <w:tr>
        <w:trPr>
          <w:trHeight w:val="233"/>
        </w:trPr>
        <w:tc>
          <w:tcPr>
            <w:tcW w:w="2980" w:type="dxa"/>
            <w:vAlign w:val="bottom"/>
          </w:tcPr>
          <w:p>
            <w:pPr>
              <w:ind w:left="120"/>
              <w:spacing w:after="0"/>
              <w:rPr>
                <w:sz w:val="20"/>
                <w:szCs w:val="20"/>
                <w:color w:val="auto"/>
              </w:rPr>
            </w:pPr>
            <w:r>
              <w:rPr>
                <w:rFonts w:ascii="Arial" w:cs="Arial" w:eastAsia="Arial" w:hAnsi="Arial"/>
                <w:sz w:val="16"/>
                <w:szCs w:val="16"/>
                <w:color w:val="auto"/>
              </w:rPr>
              <w:t>Redemption of LLC Interests</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6,364,236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(6,364,236)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Non-controlling interest adjustment</w:t>
            </w:r>
          </w:p>
        </w:tc>
        <w:tc>
          <w:tcPr>
            <w:tcW w:w="8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740" w:type="dxa"/>
            <w:vAlign w:val="bottom"/>
            <w:gridSpan w:val="3"/>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DBDBDB"/>
          </w:tcPr>
          <w:p>
            <w:pPr>
              <w:spacing w:after="0"/>
              <w:rPr>
                <w:sz w:val="21"/>
                <w:szCs w:val="21"/>
                <w:color w:val="auto"/>
              </w:rPr>
            </w:pPr>
          </w:p>
        </w:tc>
        <w:tc>
          <w:tcPr>
            <w:tcW w:w="720" w:type="dxa"/>
            <w:vAlign w:val="bottom"/>
            <w:gridSpan w:val="3"/>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30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48,063</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8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(48,063)</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980" w:type="dxa"/>
            <w:vAlign w:val="bottom"/>
          </w:tcPr>
          <w:p>
            <w:pPr>
              <w:ind w:left="120"/>
              <w:spacing w:after="0"/>
              <w:rPr>
                <w:sz w:val="20"/>
                <w:szCs w:val="20"/>
                <w:color w:val="auto"/>
              </w:rPr>
            </w:pPr>
            <w:r>
              <w:rPr>
                <w:rFonts w:ascii="Arial" w:cs="Arial" w:eastAsia="Arial" w:hAnsi="Arial"/>
                <w:sz w:val="16"/>
                <w:szCs w:val="16"/>
                <w:color w:val="auto"/>
              </w:rPr>
              <w:t>Distributions paid to non-controlling</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6"/>
                <w:szCs w:val="16"/>
                <w:color w:val="auto"/>
              </w:rPr>
              <w:t>interest holders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16"/>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Establishment of liabilities under Tax</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00" w:type="dxa"/>
            <w:vAlign w:val="bottom"/>
            <w:shd w:val="clear" w:color="auto" w:fill="DBDBDB"/>
          </w:tcPr>
          <w:p>
            <w:pPr>
              <w:spacing w:after="0"/>
              <w:rPr>
                <w:sz w:val="18"/>
                <w:szCs w:val="18"/>
                <w:color w:val="auto"/>
              </w:rPr>
            </w:pPr>
          </w:p>
        </w:tc>
      </w:tr>
      <w:tr>
        <w:trPr>
          <w:trHeight w:val="203"/>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Receivable Agreement and related</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r>
      <w:tr>
        <w:trPr>
          <w:trHeight w:val="189"/>
        </w:trPr>
        <w:tc>
          <w:tcPr>
            <w:tcW w:w="298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changes to deferred tax assets</w:t>
            </w: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r>
      <w:tr>
        <w:trPr>
          <w:trHeight w:val="233"/>
        </w:trPr>
        <w:tc>
          <w:tcPr>
            <w:tcW w:w="298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6"/>
                <w:szCs w:val="16"/>
                <w:color w:val="auto"/>
              </w:rPr>
              <w:t>associated with increases in tax basis</w:t>
            </w:r>
          </w:p>
        </w:tc>
        <w:tc>
          <w:tcPr>
            <w:tcW w:w="8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6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00" w:type="dxa"/>
            <w:vAlign w:val="bottom"/>
            <w:tcBorders>
              <w:bottom w:val="single" w:sz="8" w:color="auto"/>
            </w:tcBorders>
            <w:shd w:val="clear" w:color="auto" w:fill="DBDBDB"/>
          </w:tcPr>
          <w:p>
            <w:pPr>
              <w:spacing w:after="0"/>
              <w:rPr>
                <w:sz w:val="20"/>
                <w:szCs w:val="20"/>
                <w:color w:val="auto"/>
              </w:rPr>
            </w:pPr>
          </w:p>
        </w:tc>
        <w:tc>
          <w:tcPr>
            <w:tcW w:w="60" w:type="dxa"/>
            <w:vAlign w:val="bottom"/>
            <w:tcBorders>
              <w:bottom w:val="single" w:sz="8" w:color="auto"/>
            </w:tcBorders>
            <w:shd w:val="clear" w:color="auto" w:fill="DBDBDB"/>
          </w:tcPr>
          <w:p>
            <w:pPr>
              <w:spacing w:after="0"/>
              <w:rPr>
                <w:sz w:val="20"/>
                <w:szCs w:val="20"/>
                <w:color w:val="auto"/>
              </w:rPr>
            </w:pPr>
          </w:p>
        </w:tc>
        <w:tc>
          <w:tcPr>
            <w:tcW w:w="440" w:type="dxa"/>
            <w:vAlign w:val="bottom"/>
            <w:tcBorders>
              <w:bottom w:val="single" w:sz="8" w:color="auto"/>
            </w:tcBorders>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DBDBDB"/>
          </w:tcPr>
          <w:p>
            <w:pPr>
              <w:spacing w:after="0"/>
              <w:rPr>
                <w:sz w:val="20"/>
                <w:szCs w:val="20"/>
                <w:color w:val="auto"/>
              </w:rPr>
            </w:pPr>
          </w:p>
        </w:tc>
        <w:tc>
          <w:tcPr>
            <w:tcW w:w="24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spacing w:after="0"/>
              <w:rPr>
                <w:sz w:val="20"/>
                <w:szCs w:val="20"/>
                <w:color w:val="auto"/>
              </w:rPr>
            </w:pPr>
          </w:p>
        </w:tc>
        <w:tc>
          <w:tcPr>
            <w:tcW w:w="40" w:type="dxa"/>
            <w:vAlign w:val="bottom"/>
            <w:tcBorders>
              <w:bottom w:val="single" w:sz="8" w:color="auto"/>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(13,682)</w:t>
            </w:r>
          </w:p>
        </w:tc>
        <w:tc>
          <w:tcPr>
            <w:tcW w:w="8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spacing w:after="0"/>
              <w:rPr>
                <w:sz w:val="20"/>
                <w:szCs w:val="20"/>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(13,682)</w:t>
            </w:r>
          </w:p>
        </w:tc>
      </w:tr>
      <w:tr>
        <w:trPr>
          <w:trHeight w:val="239"/>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24, 2023</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55,182,141</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552</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17,472,926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305,515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5,823</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135,837</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447,727</w:t>
            </w:r>
          </w:p>
        </w:tc>
      </w:tr>
      <w:tr>
        <w:trPr>
          <w:trHeight w:val="24"/>
        </w:trPr>
        <w:tc>
          <w:tcPr>
            <w:tcW w:w="29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Three Quarters Ended</w:t>
            </w:r>
          </w:p>
        </w:tc>
      </w:tr>
      <w:tr>
        <w:trPr>
          <w:trHeight w:val="205"/>
        </w:trPr>
        <w:tc>
          <w:tcPr>
            <w:tcW w:w="8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24,</w:t>
            </w:r>
          </w:p>
        </w:tc>
        <w:tc>
          <w:tcPr>
            <w:tcW w:w="16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September 25,</w:t>
            </w:r>
          </w:p>
        </w:tc>
      </w:tr>
      <w:tr>
        <w:trPr>
          <w:trHeight w:val="227"/>
        </w:trPr>
        <w:tc>
          <w:tcPr>
            <w:tcW w:w="8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
        </w:trPr>
        <w:tc>
          <w:tcPr>
            <w:tcW w:w="80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r>
      <w:tr>
        <w:trPr>
          <w:trHeight w:val="233"/>
        </w:trPr>
        <w:tc>
          <w:tcPr>
            <w:tcW w:w="8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15,171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14,504</w:t>
            </w:r>
          </w:p>
        </w:tc>
      </w:tr>
      <w:tr>
        <w:trPr>
          <w:trHeight w:val="253"/>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r>
      <w:tr>
        <w:trPr>
          <w:trHeight w:val="233"/>
        </w:trPr>
        <w:tc>
          <w:tcPr>
            <w:tcW w:w="80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17,788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15,803</w:t>
            </w:r>
          </w:p>
        </w:tc>
      </w:tr>
      <w:tr>
        <w:trPr>
          <w:trHeight w:val="253"/>
        </w:trPr>
        <w:tc>
          <w:tcPr>
            <w:tcW w:w="80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Amortization of debt issuance costs and discount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814</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1,952</w:t>
            </w:r>
          </w:p>
        </w:tc>
      </w:tr>
      <w:tr>
        <w:trPr>
          <w:trHeight w:val="233"/>
        </w:trPr>
        <w:tc>
          <w:tcPr>
            <w:tcW w:w="8080" w:type="dxa"/>
            <w:vAlign w:val="bottom"/>
          </w:tcPr>
          <w:p>
            <w:pPr>
              <w:ind w:left="360"/>
              <w:spacing w:after="0"/>
              <w:rPr>
                <w:sz w:val="20"/>
                <w:szCs w:val="20"/>
                <w:color w:val="auto"/>
              </w:rPr>
            </w:pPr>
            <w:r>
              <w:rPr>
                <w:rFonts w:ascii="Arial" w:cs="Arial" w:eastAsia="Arial" w:hAnsi="Arial"/>
                <w:sz w:val="16"/>
                <w:szCs w:val="16"/>
                <w:color w:val="auto"/>
              </w:rPr>
              <w:t>Loss on sales of assets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53"/>
        </w:trPr>
        <w:tc>
          <w:tcPr>
            <w:tcW w:w="80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Equity-based compensation</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12,044</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11,347</w:t>
            </w:r>
          </w:p>
        </w:tc>
      </w:tr>
      <w:tr>
        <w:trPr>
          <w:trHeight w:val="233"/>
        </w:trPr>
        <w:tc>
          <w:tcPr>
            <w:tcW w:w="8080" w:type="dxa"/>
            <w:vAlign w:val="bottom"/>
          </w:tcPr>
          <w:p>
            <w:pPr>
              <w:ind w:left="360"/>
              <w:spacing w:after="0"/>
              <w:rPr>
                <w:sz w:val="20"/>
                <w:szCs w:val="20"/>
                <w:color w:val="auto"/>
              </w:rPr>
            </w:pPr>
            <w:r>
              <w:rPr>
                <w:rFonts w:ascii="Arial" w:cs="Arial" w:eastAsia="Arial" w:hAnsi="Arial"/>
                <w:sz w:val="16"/>
                <w:szCs w:val="16"/>
                <w:color w:val="auto"/>
              </w:rPr>
              <w:t>Deferred rent and tenant allowance</w:t>
            </w:r>
          </w:p>
        </w:tc>
        <w:tc>
          <w:tcPr>
            <w:tcW w:w="1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3,288</w:t>
            </w:r>
          </w:p>
        </w:tc>
      </w:tr>
      <w:tr>
        <w:trPr>
          <w:trHeight w:val="253"/>
        </w:trPr>
        <w:tc>
          <w:tcPr>
            <w:tcW w:w="80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Deferred income tax expense</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3,605</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3,511</w:t>
            </w:r>
          </w:p>
        </w:tc>
      </w:tr>
      <w:tr>
        <w:trPr>
          <w:trHeight w:val="233"/>
        </w:trPr>
        <w:tc>
          <w:tcPr>
            <w:tcW w:w="8080" w:type="dxa"/>
            <w:vAlign w:val="bottom"/>
          </w:tcPr>
          <w:p>
            <w:pPr>
              <w:ind w:left="340"/>
              <w:spacing w:after="0"/>
              <w:rPr>
                <w:sz w:val="20"/>
                <w:szCs w:val="20"/>
                <w:color w:val="auto"/>
              </w:rPr>
            </w:pPr>
            <w:r>
              <w:rPr>
                <w:rFonts w:ascii="Arial" w:cs="Arial" w:eastAsia="Arial" w:hAnsi="Arial"/>
                <w:sz w:val="16"/>
                <w:szCs w:val="16"/>
                <w:color w:val="auto"/>
              </w:rPr>
              <w:t>Tax Receivable Agreement liability adjustment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(2,462)</w:t>
            </w:r>
          </w:p>
        </w:tc>
      </w:tr>
      <w:tr>
        <w:trPr>
          <w:trHeight w:val="253"/>
        </w:trPr>
        <w:tc>
          <w:tcPr>
            <w:tcW w:w="80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Amortization of deferred lease incentives</w:t>
            </w:r>
          </w:p>
        </w:tc>
        <w:tc>
          <w:tcPr>
            <w:tcW w:w="160" w:type="dxa"/>
            <w:vAlign w:val="bottom"/>
            <w:shd w:val="clear" w:color="auto" w:fill="DBDBDB"/>
          </w:tcPr>
          <w:p>
            <w:pPr>
              <w:spacing w:after="0"/>
              <w:rPr>
                <w:sz w:val="21"/>
                <w:szCs w:val="21"/>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w:t>
            </w:r>
          </w:p>
        </w:tc>
      </w:tr>
      <w:tr>
        <w:trPr>
          <w:trHeight w:val="233"/>
        </w:trPr>
        <w:tc>
          <w:tcPr>
            <w:tcW w:w="8080" w:type="dxa"/>
            <w:vAlign w:val="bottom"/>
          </w:tcPr>
          <w:p>
            <w:pPr>
              <w:ind w:left="360"/>
              <w:spacing w:after="0"/>
              <w:rPr>
                <w:sz w:val="20"/>
                <w:szCs w:val="20"/>
                <w:color w:val="auto"/>
              </w:rPr>
            </w:pPr>
            <w:r>
              <w:rPr>
                <w:rFonts w:ascii="Arial" w:cs="Arial" w:eastAsia="Arial" w:hAnsi="Arial"/>
                <w:sz w:val="16"/>
                <w:szCs w:val="16"/>
                <w:color w:val="auto"/>
              </w:rPr>
              <w:t>Gift card breakage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53"/>
        </w:trPr>
        <w:tc>
          <w:tcPr>
            <w:tcW w:w="80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Loss on debt extinguishment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3,465</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08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80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Accounts receivable</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(1,293)</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(2,064)</w:t>
            </w:r>
          </w:p>
        </w:tc>
      </w:tr>
      <w:tr>
        <w:trPr>
          <w:trHeight w:val="233"/>
        </w:trPr>
        <w:tc>
          <w:tcPr>
            <w:tcW w:w="8080" w:type="dxa"/>
            <w:vAlign w:val="bottom"/>
          </w:tcPr>
          <w:p>
            <w:pPr>
              <w:ind w:left="360"/>
              <w:spacing w:after="0"/>
              <w:rPr>
                <w:sz w:val="20"/>
                <w:szCs w:val="20"/>
                <w:color w:val="auto"/>
              </w:rPr>
            </w:pPr>
            <w:r>
              <w:rPr>
                <w:rFonts w:ascii="Arial" w:cs="Arial" w:eastAsia="Arial" w:hAnsi="Arial"/>
                <w:sz w:val="16"/>
                <w:szCs w:val="16"/>
                <w:color w:val="auto"/>
              </w:rPr>
              <w:t>Receivables from related parties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53"/>
        </w:trPr>
        <w:tc>
          <w:tcPr>
            <w:tcW w:w="80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w:t>
            </w:r>
          </w:p>
        </w:tc>
      </w:tr>
      <w:tr>
        <w:trPr>
          <w:trHeight w:val="233"/>
        </w:trPr>
        <w:tc>
          <w:tcPr>
            <w:tcW w:w="8080" w:type="dxa"/>
            <w:vAlign w:val="bottom"/>
          </w:tcPr>
          <w:p>
            <w:pPr>
              <w:ind w:left="36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1,666</w:t>
            </w:r>
          </w:p>
        </w:tc>
      </w:tr>
      <w:tr>
        <w:trPr>
          <w:trHeight w:val="253"/>
        </w:trPr>
        <w:tc>
          <w:tcPr>
            <w:tcW w:w="80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Operating lease assets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5,685</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0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(1,089)</w:t>
            </w:r>
          </w:p>
        </w:tc>
      </w:tr>
      <w:tr>
        <w:trPr>
          <w:trHeight w:val="253"/>
        </w:trPr>
        <w:tc>
          <w:tcPr>
            <w:tcW w:w="80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1,023</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(8,448)</w:t>
            </w:r>
          </w:p>
        </w:tc>
      </w:tr>
      <w:tr>
        <w:trPr>
          <w:trHeight w:val="233"/>
        </w:trPr>
        <w:tc>
          <w:tcPr>
            <w:tcW w:w="808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0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Deferred lease incentives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1,013</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1,651</w:t>
            </w:r>
          </w:p>
        </w:tc>
      </w:tr>
      <w:tr>
        <w:trPr>
          <w:trHeight w:val="237"/>
        </w:trPr>
        <w:tc>
          <w:tcPr>
            <w:tcW w:w="80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Other assets and liabilities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39"/>
        </w:trPr>
        <w:tc>
          <w:tcPr>
            <w:tcW w:w="80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PROVIDED BY OPERATING ACTIVITIES</w:t>
            </w:r>
          </w:p>
        </w:tc>
        <w:tc>
          <w:tcPr>
            <w:tcW w:w="160" w:type="dxa"/>
            <w:vAlign w:val="bottom"/>
            <w:tcBorders>
              <w:bottom w:val="single" w:sz="8" w:color="auto"/>
            </w:tcBorders>
            <w:shd w:val="clear" w:color="auto" w:fill="DBDBDB"/>
          </w:tcPr>
          <w:p>
            <w:pPr>
              <w:spacing w:after="0"/>
              <w:rPr>
                <w:sz w:val="20"/>
                <w:szCs w:val="20"/>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53,570</w:t>
            </w:r>
          </w:p>
        </w:tc>
        <w:tc>
          <w:tcPr>
            <w:tcW w:w="12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38,969</w:t>
            </w:r>
          </w:p>
        </w:tc>
      </w:tr>
      <w:tr>
        <w:trPr>
          <w:trHeight w:val="23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7"/>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(57,660)</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(30,012)</w:t>
            </w:r>
          </w:p>
        </w:tc>
      </w:tr>
      <w:tr>
        <w:trPr>
          <w:trHeight w:val="237"/>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39"/>
        </w:trPr>
        <w:tc>
          <w:tcPr>
            <w:tcW w:w="80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USED IN INVESTING ACTIVITIES</w:t>
            </w:r>
          </w:p>
        </w:tc>
        <w:tc>
          <w:tcPr>
            <w:tcW w:w="160" w:type="dxa"/>
            <w:vAlign w:val="bottom"/>
            <w:tcBorders>
              <w:bottom w:val="single" w:sz="8" w:color="auto"/>
            </w:tcBorders>
            <w:shd w:val="clear" w:color="auto" w:fill="DBDBDB"/>
          </w:tcPr>
          <w:p>
            <w:pPr>
              <w:spacing w:after="0"/>
              <w:rPr>
                <w:sz w:val="20"/>
                <w:szCs w:val="20"/>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(57,579)</w:t>
            </w:r>
          </w:p>
        </w:tc>
        <w:tc>
          <w:tcPr>
            <w:tcW w:w="120" w:type="dxa"/>
            <w:vAlign w:val="bottom"/>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(29,968)</w:t>
            </w:r>
          </w:p>
        </w:tc>
      </w:tr>
      <w:tr>
        <w:trPr>
          <w:trHeight w:val="237"/>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47"/>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long-term debt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080" w:type="dxa"/>
            <w:vAlign w:val="bottom"/>
          </w:tcPr>
          <w:p>
            <w:pPr>
              <w:ind w:left="220"/>
              <w:spacing w:after="0"/>
              <w:rPr>
                <w:sz w:val="20"/>
                <w:szCs w:val="20"/>
                <w:color w:val="auto"/>
              </w:rPr>
            </w:pPr>
            <w:r>
              <w:rPr>
                <w:rFonts w:ascii="Arial" w:cs="Arial" w:eastAsia="Arial" w:hAnsi="Arial"/>
                <w:sz w:val="16"/>
                <w:szCs w:val="16"/>
                <w:color w:val="auto"/>
              </w:rPr>
              <w:t>Payments of long-term debt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(324,303)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(2,493)</w:t>
            </w:r>
          </w:p>
        </w:tc>
      </w:tr>
      <w:tr>
        <w:trPr>
          <w:trHeight w:val="253"/>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equity offering, net of underwriting discounts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179,306</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183,436</w:t>
            </w:r>
          </w:p>
        </w:tc>
      </w:tr>
      <w:tr>
        <w:trPr>
          <w:trHeight w:val="233"/>
        </w:trPr>
        <w:tc>
          <w:tcPr>
            <w:tcW w:w="8080" w:type="dxa"/>
            <w:vAlign w:val="bottom"/>
          </w:tcPr>
          <w:p>
            <w:pPr>
              <w:ind w:left="220"/>
              <w:spacing w:after="0"/>
              <w:rPr>
                <w:sz w:val="20"/>
                <w:szCs w:val="20"/>
                <w:color w:val="auto"/>
              </w:rPr>
            </w:pPr>
            <w:r>
              <w:rPr>
                <w:rFonts w:ascii="Arial" w:cs="Arial" w:eastAsia="Arial" w:hAnsi="Arial"/>
                <w:sz w:val="16"/>
                <w:szCs w:val="16"/>
                <w:color w:val="auto"/>
              </w:rPr>
              <w:t>Repurchase of outstanding equity / Portillo's OpCo units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(179,306)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(183,436)</w:t>
            </w:r>
          </w:p>
        </w:tc>
      </w:tr>
      <w:tr>
        <w:trPr>
          <w:trHeight w:val="253"/>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Distributions paid to non-controlling interest holders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(399)</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080" w:type="dxa"/>
            <w:vAlign w:val="bottom"/>
          </w:tcPr>
          <w:p>
            <w:pPr>
              <w:ind w:left="220"/>
              <w:spacing w:after="0"/>
              <w:rPr>
                <w:sz w:val="20"/>
                <w:szCs w:val="20"/>
                <w:color w:val="auto"/>
              </w:rPr>
            </w:pPr>
            <w:r>
              <w:rPr>
                <w:rFonts w:ascii="Arial" w:cs="Arial" w:eastAsia="Arial" w:hAnsi="Arial"/>
                <w:sz w:val="16"/>
                <w:szCs w:val="16"/>
                <w:color w:val="auto"/>
              </w:rPr>
              <w:t>Proceeds from stock option exercises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1,722</w:t>
            </w:r>
          </w:p>
        </w:tc>
      </w:tr>
      <w:tr>
        <w:trPr>
          <w:trHeight w:val="253"/>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Employee withholding taxes related to net settled equity awards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080" w:type="dxa"/>
            <w:vAlign w:val="bottom"/>
          </w:tcPr>
          <w:p>
            <w:pPr>
              <w:ind w:left="220"/>
              <w:spacing w:after="0"/>
              <w:rPr>
                <w:sz w:val="20"/>
                <w:szCs w:val="20"/>
                <w:color w:val="auto"/>
              </w:rPr>
            </w:pPr>
            <w:r>
              <w:rPr>
                <w:rFonts w:ascii="Arial" w:cs="Arial" w:eastAsia="Arial" w:hAnsi="Arial"/>
                <w:sz w:val="16"/>
                <w:szCs w:val="16"/>
                <w:color w:val="auto"/>
              </w:rPr>
              <w:t>Proceeds from Employee Stock Purchase Plan purchases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Payments of Tax Receivable Agreement liability</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(813)</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080" w:type="dxa"/>
            <w:vAlign w:val="bottom"/>
          </w:tcPr>
          <w:p>
            <w:pPr>
              <w:ind w:left="220"/>
              <w:spacing w:after="0"/>
              <w:rPr>
                <w:sz w:val="20"/>
                <w:szCs w:val="20"/>
                <w:color w:val="auto"/>
              </w:rPr>
            </w:pPr>
            <w:r>
              <w:rPr>
                <w:rFonts w:ascii="Arial" w:cs="Arial" w:eastAsia="Arial" w:hAnsi="Arial"/>
                <w:sz w:val="16"/>
                <w:szCs w:val="16"/>
                <w:color w:val="auto"/>
              </w:rPr>
              <w:t>Payment of deferred financing costs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0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 of initial public offering issuance costs</w:t>
            </w:r>
          </w:p>
        </w:tc>
        <w:tc>
          <w:tcPr>
            <w:tcW w:w="160" w:type="dxa"/>
            <w:vAlign w:val="bottom"/>
            <w:shd w:val="clear" w:color="auto" w:fill="DBDBDB"/>
          </w:tcPr>
          <w:p>
            <w:pPr>
              <w:spacing w:after="0"/>
              <w:rPr>
                <w:sz w:val="21"/>
                <w:szCs w:val="21"/>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(771)</w:t>
            </w:r>
          </w:p>
        </w:tc>
      </w:tr>
      <w:tr>
        <w:trPr>
          <w:trHeight w:val="239"/>
        </w:trPr>
        <w:tc>
          <w:tcPr>
            <w:tcW w:w="80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USED IN FINANCING ACTIVITIES</w:t>
            </w:r>
          </w:p>
        </w:tc>
        <w:tc>
          <w:tcPr>
            <w:tcW w:w="1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(27,471)</w:t>
            </w:r>
          </w:p>
        </w:tc>
        <w:tc>
          <w:tcPr>
            <w:tcW w:w="120" w:type="dxa"/>
            <w:vAlign w:val="bottom"/>
            <w:tcBorders>
              <w:bottom w:val="single" w:sz="8" w:color="DBDBDB"/>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(1,542)</w:t>
            </w:r>
          </w:p>
        </w:tc>
      </w:tr>
      <w:tr>
        <w:trPr>
          <w:trHeight w:val="240"/>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 AND RESTRICTED CASH</w:t>
            </w:r>
          </w:p>
        </w:tc>
        <w:tc>
          <w:tcPr>
            <w:tcW w:w="1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(31,480)</w:t>
            </w:r>
          </w:p>
        </w:tc>
        <w:tc>
          <w:tcPr>
            <w:tcW w:w="12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7,459</w:t>
            </w:r>
          </w:p>
        </w:tc>
      </w:tr>
      <w:tr>
        <w:trPr>
          <w:trHeight w:val="23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BEGINNING OF THE PERIOD</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44,427</w:t>
            </w:r>
          </w:p>
        </w:tc>
        <w:tc>
          <w:tcPr>
            <w:tcW w:w="12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39,263</w:t>
            </w:r>
          </w:p>
        </w:tc>
      </w:tr>
      <w:tr>
        <w:trPr>
          <w:trHeight w:val="261"/>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THE PERIOD</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12,947</w:t>
            </w:r>
          </w:p>
        </w:tc>
        <w:tc>
          <w:tcPr>
            <w:tcW w:w="12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46,722</w:t>
            </w:r>
          </w:p>
        </w:tc>
      </w:tr>
      <w:tr>
        <w:trPr>
          <w:trHeight w:val="20"/>
        </w:trPr>
        <w:tc>
          <w:tcPr>
            <w:tcW w:w="808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69" w:lineRule="exact"/>
        <w:rPr>
          <w:sz w:val="20"/>
          <w:szCs w:val="20"/>
          <w:color w:val="auto"/>
        </w:rPr>
      </w:pPr>
    </w:p>
    <w:p>
      <w:pPr>
        <w:ind w:left="87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5"/>
          </w:tcPr>
          <w:p>
            <w:pPr>
              <w:ind w:left="560"/>
              <w:spacing w:after="0"/>
              <w:rPr>
                <w:sz w:val="20"/>
                <w:szCs w:val="20"/>
                <w:color w:val="auto"/>
              </w:rPr>
            </w:pPr>
            <w:r>
              <w:rPr>
                <w:rFonts w:ascii="Arial" w:cs="Arial" w:eastAsia="Arial" w:hAnsi="Arial"/>
                <w:sz w:val="16"/>
                <w:szCs w:val="16"/>
                <w:b w:val="1"/>
                <w:bCs w:val="1"/>
                <w:color w:val="auto"/>
              </w:rPr>
              <w:t>Three Quarters Ended</w:t>
            </w:r>
          </w:p>
        </w:tc>
        <w:tc>
          <w:tcPr>
            <w:tcW w:w="0" w:type="dxa"/>
            <w:vAlign w:val="bottom"/>
          </w:tcPr>
          <w:p>
            <w:pPr>
              <w:spacing w:after="0"/>
              <w:rPr>
                <w:sz w:val="1"/>
                <w:szCs w:val="1"/>
                <w:color w:val="auto"/>
              </w:rPr>
            </w:pPr>
          </w:p>
        </w:tc>
      </w:tr>
      <w:tr>
        <w:trPr>
          <w:trHeight w:val="205"/>
        </w:trPr>
        <w:tc>
          <w:tcPr>
            <w:tcW w:w="8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24,</w:t>
            </w:r>
          </w:p>
        </w:tc>
        <w:tc>
          <w:tcPr>
            <w:tcW w:w="16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25,</w:t>
            </w:r>
          </w:p>
        </w:tc>
        <w:tc>
          <w:tcPr>
            <w:tcW w:w="0" w:type="dxa"/>
            <w:vAlign w:val="bottom"/>
          </w:tcPr>
          <w:p>
            <w:pPr>
              <w:spacing w:after="0"/>
              <w:rPr>
                <w:sz w:val="1"/>
                <w:szCs w:val="1"/>
                <w:color w:val="auto"/>
              </w:rPr>
            </w:pPr>
          </w:p>
        </w:tc>
      </w:tr>
      <w:tr>
        <w:trPr>
          <w:trHeight w:val="227"/>
        </w:trPr>
        <w:tc>
          <w:tcPr>
            <w:tcW w:w="8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8"/>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498"/>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8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 paid</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15,738</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80" w:type="dxa"/>
            <w:vAlign w:val="bottom"/>
          </w:tcPr>
          <w:p>
            <w:pPr>
              <w:ind w:left="140"/>
              <w:spacing w:after="0"/>
              <w:rPr>
                <w:sz w:val="20"/>
                <w:szCs w:val="20"/>
                <w:color w:val="auto"/>
              </w:rPr>
            </w:pPr>
            <w:r>
              <w:rPr>
                <w:rFonts w:ascii="Arial" w:cs="Arial" w:eastAsia="Arial" w:hAnsi="Arial"/>
                <w:sz w:val="16"/>
                <w:szCs w:val="16"/>
                <w:color w:val="auto"/>
              </w:rPr>
              <w:t>Income tax paid</w:t>
            </w: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80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8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15,915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6,823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Establishment of liabilities under Tax Receivable Agreement</w:t>
            </w:r>
          </w:p>
        </w:tc>
        <w:tc>
          <w:tcPr>
            <w:tcW w:w="1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51,165</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8080" w:type="dxa"/>
            <w:vAlign w:val="bottom"/>
          </w:tcPr>
          <w:p>
            <w:pPr>
              <w:spacing w:after="0"/>
              <w:rPr>
                <w:sz w:val="20"/>
                <w:szCs w:val="20"/>
                <w:color w:val="auto"/>
              </w:rPr>
            </w:pPr>
            <w:r>
              <w:rPr>
                <w:rFonts w:ascii="Arial" w:cs="Arial" w:eastAsia="Arial" w:hAnsi="Arial"/>
                <w:sz w:val="16"/>
                <w:szCs w:val="16"/>
                <w:color w:val="auto"/>
              </w:rPr>
              <w:t>See accompanying notes to unaudited condensed consolidated financial statements.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Portillo's Inc.</w:t>
            </w: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w w:val="98"/>
              </w:rPr>
              <w:t>Form 10-Q | 8</w:t>
            </w:r>
          </w:p>
        </w:tc>
        <w:tc>
          <w:tcPr>
            <w:tcW w:w="0" w:type="dxa"/>
            <w:vAlign w:val="bottom"/>
          </w:tcPr>
          <w:p>
            <w:pPr>
              <w:spacing w:after="0"/>
              <w:rPr>
                <w:sz w:val="1"/>
                <w:szCs w:val="1"/>
                <w:color w:val="auto"/>
              </w:rPr>
            </w:pPr>
          </w:p>
        </w:tc>
      </w:tr>
      <w:tr>
        <w:trPr>
          <w:trHeight w:val="115"/>
        </w:trPr>
        <w:tc>
          <w:tcPr>
            <w:tcW w:w="8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-316230</wp:posOffset>
            </wp:positionV>
            <wp:extent cx="17145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PORTILLO'S INC.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1.</w:t>
        <w:tab/>
        <w:t>DESCRIPTION OF BUSINESS</w:t>
      </w:r>
    </w:p>
    <w:p>
      <w:pPr>
        <w:spacing w:after="0" w:line="27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Portillo’s Inc. ( "Inc.") was formed and incorporated as a Delaware corporation on June 8, 2021. Inc. was formed for the purpose of completing an initial public offering ("IPO") and related reorganization transactions (collectively, the "Transactions”) in order to carry on the business of PHD Group Holdings LLC and its subsidiaries ("Portillo's OpCo"). Following the consummation of the Transactions on October 20, 2021, Inc. became the sole managing member of Portillo’s OpCo, and as sole managing member, Inc. operates and controls all of the business and affairs of Portillo's OpCo. As a result, Inc.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and the "Company" refer to Portillo's Inc. and its subsidiaries, including Portillo's OpCo.</w:t>
      </w:r>
    </w:p>
    <w:p>
      <w:pPr>
        <w:spacing w:after="0" w:line="2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operates fast-casual restaurants in 10 states, along with two food production commissaries in Illinois. As of September 24, 2023 and December 25, 2022, the Company had 77 and 71 restaurants in operation, respectively. The Company also had two non-traditional locations in operation as of September 24, 2023 and December 25, 2022. These non-traditional locations include a food truck and a ghost kitchen (small kitchen with no store-front presence, used to fill online orders). Portillo's additionally has a 50% interest in a single restaurant owned by C&amp;O, which is excluded from the Company's restaurant count. The Company’s principal corporate offices are located in Oak Brook, Illinois.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first quarter of 2023, the Company completed a secondary offering of 8,000,000 shares of the Company's Class A common stock at an offering price of $21.05 per share. On April 5, 2023, the Underwriter exercised its overallotment option in part, to purchase an additional 620,493 shares of the Company's Class A common stock at an offering price of $21.05 per share (collectively the "Q1 Secondary Offering and Overallotment Option"). We used all of the net proceeds from the Q1 Secondary Offering and Overallotment Option to purchase LLC Units and corresponding shares of Class B common stock from certain pre-IPO LLC Members and to repurchase shares of Class A common stock from the shareholders of the entities treated as corporations for U.S. tax purposes that held LLC Units prior to the Transactions ("Blocker Companies") at a price per LLC Unit or share of Class A common stock, as applicable, equal to the public offering price per share of Class A common stock, less the underwriting discounts and commissions. The proceeds from the Q1 Secondary Offering and Overallotment Option were used to (i) purchase 2,269,776 existing shares of Class A common stock from the shareholders of the Blocker Companies and (ii) redeem 6,350,717 LLC Units held by the pre-IPO LLC Members. In connection with the redemption, 6,350,717 shares of Class B common stock were surrendered by the pre-IPO LLC Members and canceled and the Company received 6,350,717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 There was no secondary offering completed in the third quarter of 2023.</w:t>
      </w:r>
    </w:p>
    <w:p>
      <w:pPr>
        <w:spacing w:after="0" w:line="22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third and fourth quarters of 2022, the Company completed two secondary offerings of 8,066,458 shares (including 66,458 shares sold to the underwriters pursuant to their overallotment option) and 8,000,000 shares, respectively, of the Company's Class A common stock at an offering price of $23.75 and $22.69, respectively, per share.</w:t>
      </w:r>
    </w:p>
    <w:p>
      <w:pPr>
        <w:spacing w:after="0" w:line="21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As of September 24, 2023, the Company owns 76.0% of Portillo's OpCo and the pre-IPO LLC Members own the remaining 24.0% of Portillo's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PORTILLO'S INC.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2.</w:t>
        <w:tab/>
        <w:t>SUMMARY OF SIGNIFICANT ACCOUNTING POLICIES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Basis of Presentation</w:t>
      </w:r>
    </w:p>
    <w:p>
      <w:pPr>
        <w:spacing w:after="0" w:line="2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("GAAP") for interim financial statements and pursuant to the rules and regulations of the Securities and Exchange Commission (the "SEC"). In the opinion of management, the accompanying unaudited condensed consolidated financial statements reflect all adjustments consisting of normal recurring adjustments necessary for a fair presentation of our financial position and results of operations. Interim results of operations are not necessarily indicative of the results that may be achieved for the full year. The financial statements and related notes do not include all information and footnotes required by GAAP for annual reports. The unaudited condensed consolidated financial statements should be read in conjunction with the consolidated financial statements and notes included in our Annual Report on Form 10-K for the fiscal year ended December 25,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5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Company does not have any components of other comprehensive income (loss) recorded within its condensed consolidated financial statements, and therefore, does not separately present a statement of comprehensive income (loss).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Segment Reporting</w:t>
      </w:r>
    </w:p>
    <w:p>
      <w:pPr>
        <w:spacing w:after="0" w:line="2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owns and operates fast-casual restaurants in the United States, along with two food production commissaries in Illinois. The Company’s chief operating decision maker (the “CODM”) is its Chief Executive Officer ("CEO"). The CODM reviews financial performance and allocates resources at a consolidated level on a recurring basis. The Company has one operating segment and one reportable segment.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Fiscal Year</w:t>
      </w:r>
    </w:p>
    <w:p>
      <w:pPr>
        <w:spacing w:after="0" w:line="25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Company uses a 52- or 53-week fiscal year ending on the Sunday prior to or on December 31. In a 52-week fiscal year, each quarterly period is comprised of 13 weeks. The additional week in a 53-week fiscal year is added to the fourth quarter. Fiscal 2023 and 2022 consist of 53 and 52 weeks, respectively. The fiscal periods presented in this report are the quarters and three quarters ended September 24, 2023 and September 25, 2022,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Use of Estimates</w:t>
      </w:r>
    </w:p>
    <w:p>
      <w:pPr>
        <w:spacing w:after="0" w:line="2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PORTILLO'S INC.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Adopted Accounting Standards</w:t>
      </w:r>
    </w:p>
    <w:p>
      <w:pPr>
        <w:spacing w:after="0" w:line="2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March 2020, the Financial Accounting Standards Board ("FASB") issued Accounting Standards Update ("ASU") No.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FASB has extended the sunset date to December 31, 2024. The Company does not believe the impact of the transition from LIBOR to alternative reference rates is material to its consolidated financial statements.</w:t>
      </w:r>
    </w:p>
    <w:p>
      <w:pPr>
        <w:spacing w:after="0" w:line="22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February 2016, the FASB issued ASU No. 2016-02, Leases (Topic 842) ("ASC 842"), along with related clarifications and improvements. The pronouncement requires lessees to recognize a liability, which represents the discounted obligation to make future minimum lease payments, and a corresponding right-of-use asset on the balance sheet. The guidance requires disclosure of key information about leasing arrangements that is intended to give financial statement users the ability to assess the amount, timing, and potential uncertainty of cash flows related to leases. The update is effective for fiscal years beginning after December 15, 2021, with early adoption permitted. The Company adopted this standard effective December 27, 2021, electing the modified retrospective approach to apply the standard as of the transition date. We have elected the transition package of three practical expedients permitted under the new standard, which eliminates the requirement to reassess the conclusions about historical lease identifications, lease classifications, and initial direct costs. We did not elect the hindsight practical expedient, which permits the use of hindsight when determining lease terms and impairments of right-of-use assets. We elected to apply the practical expedient of combining lease and non-lease components. Additionally, we elected to utilize the short-term lease exception policy, which allows us to not apply the recognition requirements of this standard to leases with a term of 12 months or less. The adoption of this standard had a significant impact on the Company’s condensed consolidated balance sheet as we recognized the right-of-use asset and lease liabilities for our operating leases. The adoption had an immaterial impact on the condensed consolidated statement of operations, cash flows and overall liquidity. See Note 9. Leases for additional information.</w:t>
      </w:r>
    </w:p>
    <w:p>
      <w:pPr>
        <w:spacing w:after="0" w:line="224"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condensed consolidated financial statements.</w:t>
      </w:r>
    </w:p>
    <w:p>
      <w:pPr>
        <w:spacing w:after="0" w:line="183"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3.</w:t>
        <w:tab/>
        <w:t>REVENUE RECOGNITION</w:t>
      </w:r>
    </w:p>
    <w:p>
      <w:pPr>
        <w:spacing w:after="0" w:line="2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Delivery sales are generally fulfilled by third-party delivery partners whether ordered through the Portillo's app and website ("Dispatch Sales") or through third-party delivery partners ("Marketplace Sales"). Dispatch Sales include delivery and service fees as the Company controls the delivery. Revenue from Dispatch Sales is recognized when food is delivered to the customer. For these sales, the Company receives payment directly from the customer at the time of sale. Revenue for Marketplace Sales is recognized in the amount paid to the delivery partner by the customer for food and excludes delivery and service fees charged by the third-party delivery partner as the Company does not control the delivery. Revenue from Marketplace Sales is recognized when food is delivered to the customer. For these sales, the Company receives payment from the delivery partner subsequent to the transfer of order, which is generally paid one week in arrears. For all delivery sales of food, the Company is considered the principal and recognizes revenue on a gross basis.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sells gift cards which do not have expiration dates. The Company records the sale of the gift card as a contract liability and recognizes revenue from gift cards when: (i) the gift card is redeemed by the customer; or (ii) in the event a gift card is not expected to be redeemed, in proportion to the pattern of rights exercised by the customer (gift card breakage). The Company has determined that 11% of gift card sales will not be redeemed and will be retained by us based on a portfolio assessment of historical data on gift card redemption patterns. Gift card breakage is recorded within revenues, net in the condensed consolidated statements of operations. The Company recognized gift card breakage of $0.2 million and $0.7 million for the quarter and three quarters ended September 24, 2023, respectively, and $0.1 million and $0.6 million for the quarter and three quarters ended September 25, 2022,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PORTILLO'S INC.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Company’s revenue related to performance obligations not yet satisfied is revenue from gift cards sold but not yet redeemed. The gift card liability included in current deferred revenue on the condensed consolidated balance sheets is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9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Gift card liability</w:t>
            </w:r>
          </w:p>
        </w:tc>
        <w:tc>
          <w:tcPr>
            <w:tcW w:w="620" w:type="dxa"/>
            <w:vAlign w:val="bottom"/>
            <w:tcBorders>
              <w:top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4,046</w:t>
            </w:r>
          </w:p>
        </w:tc>
        <w:tc>
          <w:tcPr>
            <w:tcW w:w="100" w:type="dxa"/>
            <w:vAlign w:val="bottom"/>
            <w:tcBorders>
              <w:top w:val="single" w:sz="8" w:color="DBDBDB"/>
            </w:tcBorders>
            <w:shd w:val="clear" w:color="auto" w:fill="DBDBDB"/>
          </w:tcPr>
          <w:p>
            <w:pPr>
              <w:spacing w:after="0"/>
              <w:rPr>
                <w:sz w:val="20"/>
                <w:szCs w:val="20"/>
                <w:color w:val="auto"/>
              </w:rPr>
            </w:pPr>
          </w:p>
        </w:tc>
        <w:tc>
          <w:tcPr>
            <w:tcW w:w="620" w:type="dxa"/>
            <w:vAlign w:val="bottom"/>
            <w:tcBorders>
              <w:top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6,988</w:t>
            </w:r>
          </w:p>
        </w:tc>
      </w:tr>
    </w:tbl>
    <w:p>
      <w:pPr>
        <w:spacing w:after="0" w:line="325"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Revenue recognized in the condensed consolidated statement of operations for the redemption of gift cards that were included in their respective liability balances at the beginning of the year is as follows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80" w:type="dxa"/>
            <w:vAlign w:val="bottom"/>
            <w:gridSpan w:val="3"/>
          </w:tcPr>
          <w:p>
            <w:pPr>
              <w:ind w:left="480"/>
              <w:spacing w:after="0"/>
              <w:rPr>
                <w:sz w:val="20"/>
                <w:szCs w:val="20"/>
                <w:color w:val="auto"/>
              </w:rPr>
            </w:pPr>
            <w:r>
              <w:rPr>
                <w:rFonts w:ascii="Arial" w:cs="Arial" w:eastAsia="Arial" w:hAnsi="Arial"/>
                <w:sz w:val="16"/>
                <w:szCs w:val="16"/>
                <w:b w:val="1"/>
                <w:bCs w:val="1"/>
                <w:color w:val="auto"/>
              </w:rPr>
              <w:t>Quarter Ended</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gridSpan w:val="3"/>
          </w:tcPr>
          <w:p>
            <w:pPr>
              <w:ind w:left="340"/>
              <w:spacing w:after="0"/>
              <w:rPr>
                <w:sz w:val="20"/>
                <w:szCs w:val="20"/>
                <w:color w:val="auto"/>
              </w:rPr>
            </w:pPr>
            <w:r>
              <w:rPr>
                <w:rFonts w:ascii="Arial" w:cs="Arial" w:eastAsia="Arial" w:hAnsi="Arial"/>
                <w:sz w:val="16"/>
                <w:szCs w:val="16"/>
                <w:b w:val="1"/>
                <w:bCs w:val="1"/>
                <w:color w:val="auto"/>
              </w:rPr>
              <w:t>Three Quarters Ended</w:t>
            </w:r>
          </w:p>
        </w:tc>
        <w:tc>
          <w:tcPr>
            <w:tcW w:w="640" w:type="dxa"/>
            <w:vAlign w:val="bottom"/>
          </w:tcPr>
          <w:p>
            <w:pPr>
              <w:spacing w:after="0"/>
              <w:rPr>
                <w:sz w:val="19"/>
                <w:szCs w:val="19"/>
                <w:color w:val="auto"/>
              </w:rPr>
            </w:pPr>
          </w:p>
        </w:tc>
      </w:tr>
      <w:tr>
        <w:trPr>
          <w:trHeight w:val="247"/>
        </w:trPr>
        <w:tc>
          <w:tcPr>
            <w:tcW w:w="4600" w:type="dxa"/>
            <w:vAlign w:val="bottom"/>
          </w:tcPr>
          <w:p>
            <w:pPr>
              <w:spacing w:after="0"/>
              <w:rPr>
                <w:sz w:val="21"/>
                <w:szCs w:val="21"/>
                <w:color w:val="auto"/>
              </w:rPr>
            </w:pPr>
          </w:p>
        </w:tc>
        <w:tc>
          <w:tcPr>
            <w:tcW w:w="16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25, 2022</w:t>
            </w:r>
          </w:p>
        </w:tc>
        <w:tc>
          <w:tcPr>
            <w:tcW w:w="174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24, 2023</w:t>
            </w: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25, 2022</w:t>
            </w:r>
          </w:p>
        </w:tc>
      </w:tr>
      <w:tr>
        <w:trPr>
          <w:trHeight w:val="190"/>
        </w:trPr>
        <w:tc>
          <w:tcPr>
            <w:tcW w:w="46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Revenue recognized from gift card liability balance at the</w:t>
            </w:r>
          </w:p>
        </w:tc>
        <w:tc>
          <w:tcPr>
            <w:tcW w:w="580" w:type="dxa"/>
            <w:vAlign w:val="bottom"/>
            <w:tcBorders>
              <w:top w:val="single" w:sz="8" w:color="auto"/>
            </w:tcBorders>
            <w:shd w:val="clear" w:color="auto" w:fill="DBDBDB"/>
          </w:tcPr>
          <w:p>
            <w:pPr>
              <w:spacing w:after="0"/>
              <w:rPr>
                <w:sz w:val="16"/>
                <w:szCs w:val="16"/>
                <w:color w:val="auto"/>
              </w:rPr>
            </w:pPr>
          </w:p>
        </w:tc>
        <w:tc>
          <w:tcPr>
            <w:tcW w:w="100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880" w:type="dxa"/>
            <w:vAlign w:val="bottom"/>
            <w:tcBorders>
              <w:top w:val="single" w:sz="8" w:color="auto"/>
            </w:tcBorders>
            <w:shd w:val="clear" w:color="auto" w:fill="DBDBDB"/>
          </w:tcPr>
          <w:p>
            <w:pPr>
              <w:spacing w:after="0"/>
              <w:rPr>
                <w:sz w:val="16"/>
                <w:szCs w:val="16"/>
                <w:color w:val="auto"/>
              </w:rPr>
            </w:pPr>
          </w:p>
        </w:tc>
        <w:tc>
          <w:tcPr>
            <w:tcW w:w="760" w:type="dxa"/>
            <w:vAlign w:val="bottom"/>
            <w:tcBorders>
              <w:top w:val="single" w:sz="8" w:color="auto"/>
            </w:tcBorders>
            <w:shd w:val="clear" w:color="auto" w:fill="DBDBDB"/>
          </w:tcPr>
          <w:p>
            <w:pPr>
              <w:spacing w:after="0"/>
              <w:rPr>
                <w:sz w:val="16"/>
                <w:szCs w:val="16"/>
                <w:color w:val="auto"/>
              </w:rPr>
            </w:pPr>
          </w:p>
        </w:tc>
        <w:tc>
          <w:tcPr>
            <w:tcW w:w="500" w:type="dxa"/>
            <w:vAlign w:val="bottom"/>
            <w:tcBorders>
              <w:top w:val="single" w:sz="8" w:color="auto"/>
            </w:tcBorders>
            <w:shd w:val="clear" w:color="auto" w:fill="DBDBDB"/>
          </w:tcPr>
          <w:p>
            <w:pPr>
              <w:spacing w:after="0"/>
              <w:rPr>
                <w:sz w:val="16"/>
                <w:szCs w:val="16"/>
                <w:color w:val="auto"/>
              </w:rPr>
            </w:pPr>
          </w:p>
        </w:tc>
        <w:tc>
          <w:tcPr>
            <w:tcW w:w="114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940" w:type="dxa"/>
            <w:vAlign w:val="bottom"/>
            <w:tcBorders>
              <w:top w:val="single" w:sz="8" w:color="auto"/>
            </w:tcBorders>
            <w:shd w:val="clear" w:color="auto" w:fill="DBDBDB"/>
          </w:tcPr>
          <w:p>
            <w:pPr>
              <w:spacing w:after="0"/>
              <w:rPr>
                <w:sz w:val="16"/>
                <w:szCs w:val="16"/>
                <w:color w:val="auto"/>
              </w:rPr>
            </w:pPr>
          </w:p>
        </w:tc>
        <w:tc>
          <w:tcPr>
            <w:tcW w:w="640" w:type="dxa"/>
            <w:vAlign w:val="bottom"/>
            <w:tcBorders>
              <w:top w:val="single" w:sz="8" w:color="auto"/>
            </w:tcBorders>
            <w:shd w:val="clear" w:color="auto" w:fill="DBDBDB"/>
          </w:tcPr>
          <w:p>
            <w:pPr>
              <w:spacing w:after="0"/>
              <w:rPr>
                <w:sz w:val="16"/>
                <w:szCs w:val="16"/>
                <w:color w:val="auto"/>
              </w:rPr>
            </w:pPr>
          </w:p>
        </w:tc>
      </w:tr>
      <w:tr>
        <w:trPr>
          <w:trHeight w:val="240"/>
        </w:trPr>
        <w:tc>
          <w:tcPr>
            <w:tcW w:w="4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beginning of the year</w:t>
            </w:r>
          </w:p>
        </w:tc>
        <w:tc>
          <w:tcPr>
            <w:tcW w:w="5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DBDBDB"/>
          </w:tcPr>
          <w:p>
            <w:pPr>
              <w:spacing w:after="0"/>
              <w:rPr>
                <w:sz w:val="20"/>
                <w:szCs w:val="20"/>
                <w:color w:val="auto"/>
              </w:rPr>
            </w:pPr>
          </w:p>
        </w:tc>
        <w:tc>
          <w:tcPr>
            <w:tcW w:w="8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534</w:t>
            </w:r>
          </w:p>
        </w:tc>
        <w:tc>
          <w:tcPr>
            <w:tcW w:w="500" w:type="dxa"/>
            <w:vAlign w:val="bottom"/>
            <w:shd w:val="clear" w:color="auto" w:fill="DBDBDB"/>
          </w:tcPr>
          <w:p>
            <w:pPr>
              <w:ind w:lef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3,436</w:t>
            </w:r>
          </w:p>
        </w:tc>
        <w:tc>
          <w:tcPr>
            <w:tcW w:w="100" w:type="dxa"/>
            <w:vAlign w:val="bottom"/>
            <w:shd w:val="clear" w:color="auto" w:fill="DBDBDB"/>
          </w:tcPr>
          <w:p>
            <w:pPr>
              <w:spacing w:after="0"/>
              <w:rPr>
                <w:sz w:val="20"/>
                <w:szCs w:val="20"/>
                <w:color w:val="auto"/>
              </w:rPr>
            </w:pPr>
          </w:p>
        </w:tc>
        <w:tc>
          <w:tcPr>
            <w:tcW w:w="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3,215</w:t>
            </w:r>
          </w:p>
        </w:tc>
      </w:tr>
    </w:tbl>
    <w:p>
      <w:pPr>
        <w:spacing w:after="0" w:line="29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4.</w:t>
        <w:tab/>
        <w:t>INVENTORIES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9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Raw materials</w:t>
            </w:r>
          </w:p>
        </w:tc>
        <w:tc>
          <w:tcPr>
            <w:tcW w:w="620" w:type="dxa"/>
            <w:vAlign w:val="bottom"/>
            <w:tcBorders>
              <w:top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4,119</w:t>
            </w:r>
          </w:p>
        </w:tc>
        <w:tc>
          <w:tcPr>
            <w:tcW w:w="100" w:type="dxa"/>
            <w:vAlign w:val="bottom"/>
            <w:tcBorders>
              <w:top w:val="single" w:sz="8" w:color="DBDBDB"/>
            </w:tcBorders>
            <w:shd w:val="clear" w:color="auto" w:fill="DBDBDB"/>
          </w:tcPr>
          <w:p>
            <w:pPr>
              <w:spacing w:after="0"/>
              <w:rPr>
                <w:sz w:val="20"/>
                <w:szCs w:val="20"/>
                <w:color w:val="auto"/>
              </w:rPr>
            </w:pPr>
          </w:p>
        </w:tc>
        <w:tc>
          <w:tcPr>
            <w:tcW w:w="620" w:type="dxa"/>
            <w:vAlign w:val="bottom"/>
            <w:tcBorders>
              <w:top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5,722</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Work in progress</w:t>
            </w: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53"/>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Finished goods</w:t>
            </w:r>
          </w:p>
        </w:tc>
        <w:tc>
          <w:tcPr>
            <w:tcW w:w="620" w:type="dxa"/>
            <w:vAlign w:val="bottom"/>
            <w:shd w:val="clear" w:color="auto" w:fill="DBDBDB"/>
          </w:tcPr>
          <w:p>
            <w:pPr>
              <w:spacing w:after="0"/>
              <w:rPr>
                <w:sz w:val="21"/>
                <w:szCs w:val="2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1,089</w:t>
            </w:r>
          </w:p>
        </w:tc>
        <w:tc>
          <w:tcPr>
            <w:tcW w:w="10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876</w:t>
            </w:r>
          </w:p>
        </w:tc>
      </w:tr>
      <w:tr>
        <w:trPr>
          <w:trHeight w:val="237"/>
        </w:trPr>
        <w:tc>
          <w:tcPr>
            <w:tcW w:w="79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Consigned inventory</w:t>
            </w: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DBDBDB"/>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r>
      <w:tr>
        <w:trPr>
          <w:trHeight w:val="262"/>
        </w:trPr>
        <w:tc>
          <w:tcPr>
            <w:tcW w:w="7900" w:type="dxa"/>
            <w:vAlign w:val="bottom"/>
            <w:tcBorders>
              <w:bottom w:val="single" w:sz="8" w:color="DBDBDB"/>
            </w:tcBorders>
            <w:shd w:val="clear" w:color="auto" w:fill="DBDBDB"/>
          </w:tcPr>
          <w:p>
            <w:pPr>
              <w:spacing w:after="0"/>
              <w:rPr>
                <w:sz w:val="22"/>
                <w:szCs w:val="22"/>
                <w:color w:val="auto"/>
              </w:rPr>
            </w:pPr>
          </w:p>
        </w:tc>
        <w:tc>
          <w:tcPr>
            <w:tcW w:w="620" w:type="dxa"/>
            <w:vAlign w:val="bottom"/>
            <w:tcBorders>
              <w:bottom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6,418</w:t>
            </w:r>
          </w:p>
        </w:tc>
        <w:tc>
          <w:tcPr>
            <w:tcW w:w="100" w:type="dxa"/>
            <w:vAlign w:val="bottom"/>
            <w:tcBorders>
              <w:bottom w:val="single" w:sz="8" w:color="DBDBDB"/>
            </w:tcBorders>
            <w:shd w:val="clear" w:color="auto" w:fill="DBDBDB"/>
          </w:tcPr>
          <w:p>
            <w:pPr>
              <w:spacing w:after="0"/>
              <w:rPr>
                <w:sz w:val="22"/>
                <w:szCs w:val="22"/>
                <w:color w:val="auto"/>
              </w:rPr>
            </w:pPr>
          </w:p>
        </w:tc>
        <w:tc>
          <w:tcPr>
            <w:tcW w:w="620" w:type="dxa"/>
            <w:vAlign w:val="bottom"/>
            <w:tcBorders>
              <w:bottom w:val="single" w:sz="8" w:color="auto"/>
            </w:tcBorders>
            <w:shd w:val="clear" w:color="auto" w:fill="DBDBDB"/>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7,387</w:t>
            </w:r>
          </w:p>
        </w:tc>
      </w:tr>
      <w:tr>
        <w:trPr>
          <w:trHeight w:val="20"/>
        </w:trPr>
        <w:tc>
          <w:tcPr>
            <w:tcW w:w="79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5.</w:t>
      </w:r>
      <w:r>
        <w:rPr>
          <w:sz w:val="20"/>
          <w:szCs w:val="20"/>
          <w:color w:val="auto"/>
        </w:rPr>
        <w:tab/>
      </w:r>
      <w:r>
        <w:rPr>
          <w:rFonts w:ascii="Arial" w:cs="Arial" w:eastAsia="Arial" w:hAnsi="Arial"/>
          <w:sz w:val="24"/>
          <w:szCs w:val="24"/>
          <w:b w:val="1"/>
          <w:bCs w:val="1"/>
          <w:color w:val="414042"/>
        </w:rPr>
        <w:t>PROPERTY &amp; EQUIPMENT, NET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9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Land improvements</w:t>
            </w:r>
          </w:p>
        </w:tc>
        <w:tc>
          <w:tcPr>
            <w:tcW w:w="500" w:type="dxa"/>
            <w:vAlign w:val="bottom"/>
            <w:tcBorders>
              <w:top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17,854</w:t>
            </w:r>
          </w:p>
        </w:tc>
        <w:tc>
          <w:tcPr>
            <w:tcW w:w="100" w:type="dxa"/>
            <w:vAlign w:val="bottom"/>
            <w:tcBorders>
              <w:top w:val="single" w:sz="8" w:color="DBDBDB"/>
            </w:tcBorders>
            <w:shd w:val="clear" w:color="auto" w:fill="DBDBDB"/>
          </w:tcPr>
          <w:p>
            <w:pPr>
              <w:spacing w:after="0"/>
              <w:rPr>
                <w:sz w:val="20"/>
                <w:szCs w:val="20"/>
                <w:color w:val="auto"/>
              </w:rPr>
            </w:pPr>
          </w:p>
        </w:tc>
        <w:tc>
          <w:tcPr>
            <w:tcW w:w="500" w:type="dxa"/>
            <w:vAlign w:val="bottom"/>
            <w:tcBorders>
              <w:top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16,369</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Furniture, fixtures, and equipment</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146,027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126,130</w:t>
            </w:r>
          </w:p>
        </w:tc>
      </w:tr>
      <w:tr>
        <w:trPr>
          <w:trHeight w:val="253"/>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Leasehold improvements</w:t>
            </w:r>
          </w:p>
        </w:tc>
        <w:tc>
          <w:tcPr>
            <w:tcW w:w="50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192,393</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153,341</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2,281</w:t>
            </w:r>
          </w:p>
        </w:tc>
      </w:tr>
      <w:tr>
        <w:trPr>
          <w:trHeight w:val="246"/>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Construction-in-progress</w:t>
            </w:r>
          </w:p>
        </w:tc>
        <w:tc>
          <w:tcPr>
            <w:tcW w:w="50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36,139</w:t>
            </w:r>
          </w:p>
        </w:tc>
        <w:tc>
          <w:tcPr>
            <w:tcW w:w="100" w:type="dxa"/>
            <w:vAlign w:val="bottom"/>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35,386</w:t>
            </w:r>
          </w:p>
        </w:tc>
      </w:tr>
      <w:tr>
        <w:trPr>
          <w:trHeight w:val="233"/>
        </w:trPr>
        <w:tc>
          <w:tcPr>
            <w:tcW w:w="7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395,060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333,507</w:t>
            </w:r>
          </w:p>
        </w:tc>
      </w:tr>
      <w:tr>
        <w:trPr>
          <w:trHeight w:val="246"/>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accumulated depreciation</w:t>
            </w:r>
          </w:p>
        </w:tc>
        <w:tc>
          <w:tcPr>
            <w:tcW w:w="50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(120,455)</w:t>
            </w:r>
          </w:p>
        </w:tc>
        <w:tc>
          <w:tcPr>
            <w:tcW w:w="100" w:type="dxa"/>
            <w:vAlign w:val="bottom"/>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(106,471)</w:t>
            </w:r>
          </w:p>
        </w:tc>
      </w:tr>
      <w:tr>
        <w:trPr>
          <w:trHeight w:val="237"/>
        </w:trPr>
        <w:tc>
          <w:tcPr>
            <w:tcW w:w="7900" w:type="dxa"/>
            <w:vAlign w:val="bottom"/>
          </w:tcPr>
          <w:p>
            <w:pPr>
              <w:spacing w:after="0"/>
              <w:rPr>
                <w:sz w:val="20"/>
                <w:szCs w:val="20"/>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274,605</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227,036</w:t>
            </w:r>
          </w:p>
        </w:tc>
      </w:tr>
      <w:tr>
        <w:trPr>
          <w:trHeight w:val="27"/>
        </w:trPr>
        <w:tc>
          <w:tcPr>
            <w:tcW w:w="79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$5.5 million and $15.6 million for the quarter and three quarters ended September 24, 2023, respectively, and</w:t>
      </w:r>
    </w:p>
    <w:p>
      <w:pPr>
        <w:spacing w:after="0" w:line="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$4.5 million and $13.4 million for the quarter and three quarters ended September 25, 2022, respectively, and is included in depreciation and amortization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6.</w:t>
        <w:tab/>
        <w:t>GOODWILL &amp; 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reporting unit for goodwill which is evaluated for impairment annually in the fourth quarter of each fiscal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September 24, 2023</w:t>
            </w:r>
          </w:p>
        </w:tc>
        <w:tc>
          <w:tcPr>
            <w:tcW w:w="3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spacing w:after="0"/>
              <w:rPr>
                <w:sz w:val="20"/>
                <w:szCs w:val="20"/>
                <w:color w:val="auto"/>
              </w:rPr>
            </w:pPr>
          </w:p>
        </w:tc>
      </w:tr>
      <w:tr>
        <w:trPr>
          <w:trHeight w:val="277"/>
        </w:trPr>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6"/>
                <w:szCs w:val="16"/>
                <w:b w:val="1"/>
                <w:bCs w:val="1"/>
                <w:color w:val="auto"/>
              </w:rPr>
              <w:t>Gross Carrying Amount</w:t>
            </w:r>
          </w:p>
        </w:tc>
        <w:tc>
          <w:tcPr>
            <w:tcW w:w="260" w:type="dxa"/>
            <w:vAlign w:val="bottom"/>
          </w:tcPr>
          <w:p>
            <w:pPr>
              <w:spacing w:after="0"/>
              <w:rPr>
                <w:sz w:val="24"/>
                <w:szCs w:val="24"/>
                <w:color w:val="auto"/>
              </w:rPr>
            </w:pPr>
          </w:p>
        </w:tc>
        <w:tc>
          <w:tcPr>
            <w:tcW w:w="2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Accumulated Amortization</w:t>
            </w:r>
          </w:p>
        </w:tc>
        <w:tc>
          <w:tcPr>
            <w:tcW w:w="360" w:type="dxa"/>
            <w:vAlign w:val="bottom"/>
          </w:tcPr>
          <w:p>
            <w:pPr>
              <w:spacing w:after="0"/>
              <w:rPr>
                <w:sz w:val="24"/>
                <w:szCs w:val="24"/>
                <w:color w:val="auto"/>
              </w:rPr>
            </w:pPr>
          </w:p>
        </w:tc>
        <w:tc>
          <w:tcPr>
            <w:tcW w:w="246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Carrying Amount</w:t>
            </w:r>
          </w:p>
        </w:tc>
      </w:tr>
      <w:tr>
        <w:trPr>
          <w:trHeight w:val="254"/>
        </w:trPr>
        <w:tc>
          <w:tcPr>
            <w:tcW w:w="25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460" w:type="dxa"/>
            <w:vAlign w:val="bottom"/>
            <w:tcBorders>
              <w:top w:val="single" w:sz="8" w:color="auto"/>
            </w:tcBorders>
          </w:tcPr>
          <w:p>
            <w:pPr>
              <w:spacing w:after="0"/>
              <w:rPr>
                <w:sz w:val="22"/>
                <w:szCs w:val="22"/>
                <w:color w:val="auto"/>
              </w:rPr>
            </w:pPr>
          </w:p>
        </w:tc>
      </w:tr>
      <w:tr>
        <w:trPr>
          <w:trHeight w:val="243"/>
        </w:trPr>
        <w:tc>
          <w:tcPr>
            <w:tcW w:w="2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280" w:type="dxa"/>
            <w:vAlign w:val="bottom"/>
            <w:shd w:val="clear" w:color="auto" w:fill="DBDBDB"/>
          </w:tcPr>
          <w:p>
            <w:pPr>
              <w:spacing w:after="0"/>
              <w:rPr>
                <w:sz w:val="21"/>
                <w:szCs w:val="21"/>
                <w:color w:val="auto"/>
              </w:rPr>
            </w:pPr>
          </w:p>
        </w:tc>
        <w:tc>
          <w:tcPr>
            <w:tcW w:w="25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5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2460" w:type="dxa"/>
            <w:vAlign w:val="bottom"/>
            <w:shd w:val="clear" w:color="auto" w:fill="DBDBDB"/>
          </w:tcPr>
          <w:p>
            <w:pPr>
              <w:spacing w:after="0"/>
              <w:rPr>
                <w:sz w:val="21"/>
                <w:szCs w:val="21"/>
                <w:color w:val="auto"/>
              </w:rPr>
            </w:pPr>
          </w:p>
        </w:tc>
      </w:tr>
      <w:tr>
        <w:trPr>
          <w:trHeight w:val="233"/>
        </w:trPr>
        <w:tc>
          <w:tcPr>
            <w:tcW w:w="254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52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80" w:type="dxa"/>
            <w:vAlign w:val="bottom"/>
            <w:gridSpan w:val="2"/>
          </w:tcPr>
          <w:p>
            <w:pPr>
              <w:ind w:left="23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24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29"/>
        </w:trPr>
        <w:tc>
          <w:tcPr>
            <w:tcW w:w="2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w:t>
            </w:r>
          </w:p>
        </w:tc>
        <w:tc>
          <w:tcPr>
            <w:tcW w:w="280" w:type="dxa"/>
            <w:vAlign w:val="bottom"/>
            <w:shd w:val="clear" w:color="auto" w:fill="DBDBDB"/>
          </w:tcPr>
          <w:p>
            <w:pPr>
              <w:spacing w:after="0"/>
              <w:rPr>
                <w:sz w:val="19"/>
                <w:szCs w:val="19"/>
                <w:color w:val="auto"/>
              </w:rPr>
            </w:pPr>
          </w:p>
        </w:tc>
        <w:tc>
          <w:tcPr>
            <w:tcW w:w="25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5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460" w:type="dxa"/>
            <w:vAlign w:val="bottom"/>
            <w:shd w:val="clear" w:color="auto" w:fill="DBDBDB"/>
          </w:tcPr>
          <w:p>
            <w:pPr>
              <w:spacing w:after="0"/>
              <w:rPr>
                <w:sz w:val="19"/>
                <w:szCs w:val="19"/>
                <w:color w:val="auto"/>
              </w:rPr>
            </w:pPr>
          </w:p>
        </w:tc>
      </w:tr>
      <w:tr>
        <w:trPr>
          <w:trHeight w:val="226"/>
        </w:trPr>
        <w:tc>
          <w:tcPr>
            <w:tcW w:w="2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amortization:</w:t>
            </w:r>
          </w:p>
        </w:tc>
        <w:tc>
          <w:tcPr>
            <w:tcW w:w="280" w:type="dxa"/>
            <w:vAlign w:val="bottom"/>
            <w:shd w:val="clear" w:color="auto" w:fill="DBDBDB"/>
          </w:tcPr>
          <w:p>
            <w:pPr>
              <w:spacing w:after="0"/>
              <w:rPr>
                <w:sz w:val="19"/>
                <w:szCs w:val="19"/>
                <w:color w:val="auto"/>
              </w:rPr>
            </w:pPr>
          </w:p>
        </w:tc>
        <w:tc>
          <w:tcPr>
            <w:tcW w:w="25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5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460" w:type="dxa"/>
            <w:vAlign w:val="bottom"/>
            <w:shd w:val="clear" w:color="auto" w:fill="DBDBDB"/>
          </w:tcPr>
          <w:p>
            <w:pPr>
              <w:spacing w:after="0"/>
              <w:rPr>
                <w:sz w:val="19"/>
                <w:szCs w:val="19"/>
                <w:color w:val="auto"/>
              </w:rPr>
            </w:pPr>
          </w:p>
        </w:tc>
      </w:tr>
      <w:tr>
        <w:trPr>
          <w:trHeight w:val="237"/>
        </w:trPr>
        <w:tc>
          <w:tcPr>
            <w:tcW w:w="254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Recipes</w:t>
            </w: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(26,483)</w:t>
            </w:r>
          </w:p>
        </w:tc>
        <w:tc>
          <w:tcPr>
            <w:tcW w:w="12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29,634</w:t>
            </w:r>
          </w:p>
        </w:tc>
      </w:tr>
      <w:tr>
        <w:trPr>
          <w:trHeight w:val="262"/>
        </w:trPr>
        <w:tc>
          <w:tcPr>
            <w:tcW w:w="254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280,042</w:t>
            </w: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(26,483)</w:t>
            </w:r>
          </w:p>
        </w:tc>
        <w:tc>
          <w:tcPr>
            <w:tcW w:w="120" w:type="dxa"/>
            <w:vAlign w:val="bottom"/>
            <w:tcBorders>
              <w:bottom w:val="single" w:sz="8" w:color="DBDBDB"/>
            </w:tcBorders>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auto"/>
                <w:w w:val="89"/>
              </w:rPr>
              <w:t>$</w:t>
            </w:r>
          </w:p>
        </w:tc>
        <w:tc>
          <w:tcPr>
            <w:tcW w:w="2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253,559</w:t>
            </w:r>
          </w:p>
        </w:tc>
      </w:tr>
      <w:tr>
        <w:trPr>
          <w:trHeight w:val="20"/>
        </w:trPr>
        <w:tc>
          <w:tcPr>
            <w:tcW w:w="254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5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2460" w:type="dxa"/>
            <w:vAlign w:val="bottom"/>
            <w:tcBorders>
              <w:top w:val="single" w:sz="8" w:color="DBDBDB"/>
              <w:bottom w:val="single" w:sz="8" w:color="auto"/>
            </w:tcBorders>
          </w:tcPr>
          <w:p>
            <w:pPr>
              <w:spacing w:after="0" w:line="20" w:lineRule="exact"/>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December 25, 2022</w:t>
            </w: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77"/>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 Carrying Amount</w:t>
            </w:r>
          </w:p>
        </w:tc>
        <w:tc>
          <w:tcPr>
            <w:tcW w:w="224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Amortization</w:t>
            </w:r>
          </w:p>
        </w:tc>
        <w:tc>
          <w:tcPr>
            <w:tcW w:w="160" w:type="dxa"/>
            <w:vAlign w:val="bottom"/>
          </w:tcPr>
          <w:p>
            <w:pPr>
              <w:spacing w:after="0"/>
              <w:rPr>
                <w:sz w:val="24"/>
                <w:szCs w:val="24"/>
                <w:color w:val="auto"/>
              </w:rPr>
            </w:pPr>
          </w:p>
        </w:tc>
        <w:tc>
          <w:tcPr>
            <w:tcW w:w="2000" w:type="dxa"/>
            <w:vAlign w:val="bottom"/>
            <w:gridSpan w:val="2"/>
          </w:tcPr>
          <w:p>
            <w:pPr>
              <w:ind w:left="80"/>
              <w:spacing w:after="0"/>
              <w:rPr>
                <w:sz w:val="20"/>
                <w:szCs w:val="20"/>
                <w:color w:val="auto"/>
              </w:rPr>
            </w:pPr>
            <w:r>
              <w:rPr>
                <w:rFonts w:ascii="Arial" w:cs="Arial" w:eastAsia="Arial" w:hAnsi="Arial"/>
                <w:sz w:val="16"/>
                <w:szCs w:val="16"/>
                <w:b w:val="1"/>
                <w:bCs w:val="1"/>
                <w:color w:val="auto"/>
              </w:rPr>
              <w:t>ASC 842 Adjustment</w:t>
            </w:r>
          </w:p>
        </w:tc>
        <w:tc>
          <w:tcPr>
            <w:tcW w:w="180" w:type="dxa"/>
            <w:vAlign w:val="bottom"/>
          </w:tcPr>
          <w:p>
            <w:pPr>
              <w:spacing w:after="0"/>
              <w:rPr>
                <w:sz w:val="24"/>
                <w:szCs w:val="24"/>
                <w:color w:val="auto"/>
              </w:rPr>
            </w:pPr>
          </w:p>
        </w:tc>
        <w:tc>
          <w:tcPr>
            <w:tcW w:w="1920" w:type="dxa"/>
            <w:vAlign w:val="bottom"/>
          </w:tcPr>
          <w:p>
            <w:pPr>
              <w:jc w:val="right"/>
              <w:ind w:right="159"/>
              <w:spacing w:after="0"/>
              <w:rPr>
                <w:sz w:val="20"/>
                <w:szCs w:val="20"/>
                <w:color w:val="auto"/>
              </w:rPr>
            </w:pPr>
            <w:r>
              <w:rPr>
                <w:rFonts w:ascii="Arial" w:cs="Arial" w:eastAsia="Arial" w:hAnsi="Arial"/>
                <w:sz w:val="16"/>
                <w:szCs w:val="16"/>
                <w:b w:val="1"/>
                <w:bCs w:val="1"/>
                <w:color w:val="auto"/>
              </w:rPr>
              <w:t>Net Carrying Amount</w:t>
            </w:r>
          </w:p>
        </w:tc>
      </w:tr>
      <w:tr>
        <w:trPr>
          <w:trHeight w:val="254"/>
        </w:trPr>
        <w:tc>
          <w:tcPr>
            <w:tcW w:w="25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r>
      <w:tr>
        <w:trPr>
          <w:trHeight w:val="243"/>
        </w:trPr>
        <w:tc>
          <w:tcPr>
            <w:tcW w:w="2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120" w:type="dxa"/>
            <w:vAlign w:val="bottom"/>
            <w:shd w:val="clear" w:color="auto" w:fill="DBDBDB"/>
          </w:tcPr>
          <w:p>
            <w:pPr>
              <w:spacing w:after="0"/>
              <w:rPr>
                <w:sz w:val="21"/>
                <w:szCs w:val="21"/>
                <w:color w:val="auto"/>
              </w:rPr>
            </w:pPr>
          </w:p>
        </w:tc>
        <w:tc>
          <w:tcPr>
            <w:tcW w:w="2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3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9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920" w:type="dxa"/>
            <w:vAlign w:val="bottom"/>
            <w:shd w:val="clear" w:color="auto" w:fill="DBDBDB"/>
          </w:tcPr>
          <w:p>
            <w:pPr>
              <w:spacing w:after="0"/>
              <w:rPr>
                <w:sz w:val="21"/>
                <w:szCs w:val="21"/>
                <w:color w:val="auto"/>
              </w:rPr>
            </w:pPr>
          </w:p>
        </w:tc>
      </w:tr>
      <w:tr>
        <w:trPr>
          <w:trHeight w:val="233"/>
        </w:trPr>
        <w:tc>
          <w:tcPr>
            <w:tcW w:w="252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gridSpan w:val="2"/>
          </w:tcPr>
          <w:p>
            <w:pPr>
              <w:ind w:left="16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16"/>
        </w:trPr>
        <w:tc>
          <w:tcPr>
            <w:tcW w:w="2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w:t>
            </w:r>
          </w:p>
        </w:tc>
        <w:tc>
          <w:tcPr>
            <w:tcW w:w="120" w:type="dxa"/>
            <w:vAlign w:val="bottom"/>
            <w:shd w:val="clear" w:color="auto" w:fill="DBDBDB"/>
          </w:tcPr>
          <w:p>
            <w:pPr>
              <w:spacing w:after="0"/>
              <w:rPr>
                <w:sz w:val="18"/>
                <w:szCs w:val="18"/>
                <w:color w:val="auto"/>
              </w:rPr>
            </w:pPr>
          </w:p>
        </w:tc>
        <w:tc>
          <w:tcPr>
            <w:tcW w:w="2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13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920" w:type="dxa"/>
            <w:vAlign w:val="bottom"/>
            <w:shd w:val="clear" w:color="auto" w:fill="DBDBDB"/>
          </w:tcPr>
          <w:p>
            <w:pPr>
              <w:spacing w:after="0"/>
              <w:rPr>
                <w:sz w:val="18"/>
                <w:szCs w:val="18"/>
                <w:color w:val="auto"/>
              </w:rPr>
            </w:pPr>
          </w:p>
        </w:tc>
      </w:tr>
      <w:tr>
        <w:trPr>
          <w:trHeight w:val="220"/>
        </w:trPr>
        <w:tc>
          <w:tcPr>
            <w:tcW w:w="2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amortization:</w:t>
            </w:r>
          </w:p>
        </w:tc>
        <w:tc>
          <w:tcPr>
            <w:tcW w:w="120" w:type="dxa"/>
            <w:vAlign w:val="bottom"/>
            <w:tcBorders>
              <w:bottom w:val="single" w:sz="8" w:color="DBDBDB"/>
            </w:tcBorders>
            <w:shd w:val="clear" w:color="auto" w:fill="DBDBDB"/>
          </w:tcPr>
          <w:p>
            <w:pPr>
              <w:spacing w:after="0"/>
              <w:rPr>
                <w:sz w:val="19"/>
                <w:szCs w:val="19"/>
                <w:color w:val="auto"/>
              </w:rPr>
            </w:pPr>
          </w:p>
        </w:tc>
        <w:tc>
          <w:tcPr>
            <w:tcW w:w="20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19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1920" w:type="dxa"/>
            <w:vAlign w:val="bottom"/>
            <w:tcBorders>
              <w:bottom w:val="single" w:sz="8" w:color="DBDBDB"/>
            </w:tcBorders>
            <w:shd w:val="clear" w:color="auto" w:fill="DBDBDB"/>
          </w:tcPr>
          <w:p>
            <w:pPr>
              <w:spacing w:after="0"/>
              <w:rPr>
                <w:sz w:val="19"/>
                <w:szCs w:val="19"/>
                <w:color w:val="auto"/>
              </w:rPr>
            </w:pPr>
          </w:p>
        </w:tc>
      </w:tr>
      <w:tr>
        <w:trPr>
          <w:trHeight w:val="233"/>
        </w:trPr>
        <w:tc>
          <w:tcPr>
            <w:tcW w:w="2520" w:type="dxa"/>
            <w:vAlign w:val="bottom"/>
          </w:tcPr>
          <w:p>
            <w:pPr>
              <w:ind w:left="140"/>
              <w:spacing w:after="0"/>
              <w:rPr>
                <w:sz w:val="20"/>
                <w:szCs w:val="20"/>
                <w:color w:val="auto"/>
              </w:rPr>
            </w:pPr>
            <w:r>
              <w:rPr>
                <w:rFonts w:ascii="Arial" w:cs="Arial" w:eastAsia="Arial" w:hAnsi="Arial"/>
                <w:sz w:val="16"/>
                <w:szCs w:val="16"/>
                <w:color w:val="auto"/>
              </w:rPr>
              <w:t>Recipes</w:t>
            </w: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2"/>
          </w:tcPr>
          <w:p>
            <w:pPr>
              <w:ind w:left="16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31,800</w:t>
            </w:r>
          </w:p>
        </w:tc>
      </w:tr>
      <w:tr>
        <w:trPr>
          <w:trHeight w:val="253"/>
        </w:trPr>
        <w:tc>
          <w:tcPr>
            <w:tcW w:w="25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Covenants not-to-compete</w:t>
            </w:r>
          </w:p>
        </w:tc>
        <w:tc>
          <w:tcPr>
            <w:tcW w:w="120" w:type="dxa"/>
            <w:vAlign w:val="bottom"/>
            <w:shd w:val="clear" w:color="auto" w:fill="DBDBDB"/>
          </w:tcPr>
          <w:p>
            <w:pPr>
              <w:spacing w:after="0"/>
              <w:rPr>
                <w:sz w:val="21"/>
                <w:szCs w:val="21"/>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2000" w:type="dxa"/>
            <w:vAlign w:val="bottom"/>
            <w:gridSpan w:val="2"/>
            <w:shd w:val="clear" w:color="auto" w:fill="DBDBDB"/>
          </w:tcPr>
          <w:p>
            <w:pPr>
              <w:ind w:left="16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5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Favorable rental contracts</w:t>
            </w: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c>
          <w:tcPr>
            <w:tcW w:w="100" w:type="dxa"/>
            <w:vAlign w:val="bottom"/>
            <w:tcBorders>
              <w:bottom w:val="single" w:sz="8" w:color="DBDBDB"/>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12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252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323,832</w:t>
            </w:r>
          </w:p>
        </w:tc>
        <w:tc>
          <w:tcPr>
            <w:tcW w:w="100" w:type="dxa"/>
            <w:vAlign w:val="bottom"/>
            <w:tcBorders>
              <w:bottom w:val="single" w:sz="8" w:color="DBDBDB"/>
            </w:tcBorders>
            <w:shd w:val="clear" w:color="auto" w:fill="DBDBDB"/>
          </w:tcPr>
          <w:p>
            <w:pPr>
              <w:spacing w:after="0"/>
              <w:rPr>
                <w:sz w:val="22"/>
                <w:szCs w:val="22"/>
                <w:color w:val="auto"/>
              </w:rPr>
            </w:pPr>
          </w:p>
        </w:tc>
        <w:tc>
          <w:tcPr>
            <w:tcW w:w="7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(66,965)</w:t>
            </w:r>
          </w:p>
        </w:tc>
        <w:tc>
          <w:tcPr>
            <w:tcW w:w="12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DBDBDB"/>
            </w:tcBorders>
            <w:shd w:val="clear" w:color="auto" w:fill="DBDBDB"/>
          </w:tcPr>
          <w:p>
            <w:pPr>
              <w:spacing w:after="0"/>
              <w:rPr>
                <w:sz w:val="22"/>
                <w:szCs w:val="22"/>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255,725</w:t>
            </w:r>
          </w:p>
        </w:tc>
      </w:tr>
      <w:tr>
        <w:trPr>
          <w:trHeight w:val="20"/>
        </w:trPr>
        <w:tc>
          <w:tcPr>
            <w:tcW w:w="25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Amortization expense was $0.7 million and $2.2 million for the quarter and three quarters ended September 24, 2023, respectively, and $0.8 million and $ 2.4 million for the quarter and three quarters ended September 25, 2022, respectively, and is included in depreciation and amortization in the condensed consolidated statements of operations.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estimated aggregate amortization expense related to intangible assets held at September 24, 2023 for the remainder of this year and the succeeding five years and thereafter is as follows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Estimated Amortization</w:t>
            </w:r>
          </w:p>
        </w:tc>
      </w:tr>
      <w:tr>
        <w:trPr>
          <w:trHeight w:val="240"/>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 (excluding the three quarters ended September 24, 2023)</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723</w:t>
            </w:r>
          </w:p>
        </w:tc>
      </w:tr>
      <w:tr>
        <w:trPr>
          <w:trHeight w:val="233"/>
        </w:trPr>
        <w:tc>
          <w:tcPr>
            <w:tcW w:w="8520" w:type="dxa"/>
            <w:vAlign w:val="bottom"/>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2,813</w:t>
            </w:r>
          </w:p>
        </w:tc>
      </w:tr>
      <w:tr>
        <w:trPr>
          <w:trHeight w:val="253"/>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DBDBDB"/>
          </w:tcPr>
          <w:p>
            <w:pPr>
              <w:spacing w:after="0"/>
              <w:rPr>
                <w:sz w:val="21"/>
                <w:szCs w:val="21"/>
                <w:color w:val="auto"/>
              </w:rPr>
            </w:pP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2,707</w:t>
            </w:r>
          </w:p>
        </w:tc>
      </w:tr>
      <w:tr>
        <w:trPr>
          <w:trHeight w:val="233"/>
        </w:trPr>
        <w:tc>
          <w:tcPr>
            <w:tcW w:w="8520" w:type="dxa"/>
            <w:vAlign w:val="bottom"/>
          </w:tcPr>
          <w:p>
            <w:pPr>
              <w:ind w:left="20"/>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53"/>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2027</w:t>
            </w:r>
          </w:p>
        </w:tc>
        <w:tc>
          <w:tcPr>
            <w:tcW w:w="280" w:type="dxa"/>
            <w:vAlign w:val="bottom"/>
            <w:shd w:val="clear" w:color="auto" w:fill="DBDBDB"/>
          </w:tcPr>
          <w:p>
            <w:pPr>
              <w:spacing w:after="0"/>
              <w:rPr>
                <w:sz w:val="21"/>
                <w:szCs w:val="21"/>
                <w:color w:val="auto"/>
              </w:rPr>
            </w:pP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2,707</w:t>
            </w:r>
          </w:p>
        </w:tc>
      </w:tr>
      <w:tr>
        <w:trPr>
          <w:trHeight w:val="233"/>
        </w:trPr>
        <w:tc>
          <w:tcPr>
            <w:tcW w:w="8520" w:type="dxa"/>
            <w:vAlign w:val="bottom"/>
          </w:tcPr>
          <w:p>
            <w:pPr>
              <w:ind w:left="20"/>
              <w:spacing w:after="0"/>
              <w:rPr>
                <w:sz w:val="20"/>
                <w:szCs w:val="20"/>
                <w:color w:val="auto"/>
              </w:rPr>
            </w:pPr>
            <w:r>
              <w:rPr>
                <w:rFonts w:ascii="Arial" w:cs="Arial" w:eastAsia="Arial" w:hAnsi="Arial"/>
                <w:sz w:val="16"/>
                <w:szCs w:val="16"/>
                <w:color w:val="auto"/>
              </w:rPr>
              <w:t>2028</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46"/>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2029 and thereafter</w:t>
            </w:r>
          </w:p>
        </w:tc>
        <w:tc>
          <w:tcPr>
            <w:tcW w:w="280" w:type="dxa"/>
            <w:vAlign w:val="bottom"/>
            <w:tcBorders>
              <w:bottom w:val="single" w:sz="8" w:color="auto"/>
            </w:tcBorders>
            <w:shd w:val="clear" w:color="auto" w:fill="DBDBDB"/>
          </w:tcPr>
          <w:p>
            <w:pPr>
              <w:spacing w:after="0"/>
              <w:rPr>
                <w:sz w:val="21"/>
                <w:szCs w:val="21"/>
                <w:color w:val="auto"/>
              </w:rPr>
            </w:pPr>
          </w:p>
        </w:tc>
        <w:tc>
          <w:tcPr>
            <w:tcW w:w="2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15,270</w:t>
            </w:r>
          </w:p>
        </w:tc>
      </w:tr>
      <w:tr>
        <w:trPr>
          <w:trHeight w:val="236"/>
        </w:trPr>
        <w:tc>
          <w:tcPr>
            <w:tcW w:w="85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29,634</w:t>
            </w:r>
          </w:p>
        </w:tc>
      </w:tr>
      <w:tr>
        <w:trPr>
          <w:trHeight w:val="27"/>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7.</w:t>
        <w:tab/>
        <w:t>FAIR VALUE OF FINANCIAL INSTRUMENTS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Recurring Basis</w:t>
      </w:r>
    </w:p>
    <w:p>
      <w:pPr>
        <w:spacing w:after="0" w:line="27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The carrying value of the Company's cash and cash equivalents, restricted cash, accounts and tenant improvement receivable, accounts payable and all other current assets and liabilities approximate fair values due to the short-term nature of these financial instruments.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a deferred compensation plan with related assets held in a rabbi trust.</w:t>
      </w:r>
    </w:p>
    <w:p>
      <w:pPr>
        <w:spacing w:after="0" w:line="24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color w:val="414042"/>
        </w:rPr>
        <w:t xml:space="preserve">Deferred Compensation Plan - </w:t>
      </w:r>
      <w:r>
        <w:rPr>
          <w:rFonts w:ascii="Arial" w:cs="Arial" w:eastAsia="Arial" w:hAnsi="Arial"/>
          <w:sz w:val="18"/>
          <w:szCs w:val="18"/>
          <w:color w:val="000000"/>
        </w:rPr>
        <w:t>The Company maintains a rabbi trust to fund obligations under a deferred compensation plan. Amounts in</w:t>
      </w:r>
      <w:r>
        <w:rPr>
          <w:rFonts w:ascii="Arial" w:cs="Arial" w:eastAsia="Arial" w:hAnsi="Arial"/>
          <w:sz w:val="18"/>
          <w:szCs w:val="18"/>
          <w:b w:val="1"/>
          <w:bCs w:val="1"/>
          <w:color w:val="414042"/>
        </w:rPr>
        <w:t xml:space="preserve"> </w:t>
      </w:r>
      <w:r>
        <w:rPr>
          <w:rFonts w:ascii="Arial" w:cs="Arial" w:eastAsia="Arial" w:hAnsi="Arial"/>
          <w:sz w:val="18"/>
          <w:szCs w:val="18"/>
          <w:color w:val="000000"/>
        </w:rPr>
        <w:t>the rabbi trust are invested in mutual funds, which are designated as trading securities carried at fair value. The fair value measurement of these trading securities is considered Level 1 of the fair value hierarchy as they are measured using quoted market prices.</w:t>
      </w:r>
    </w:p>
    <w:p>
      <w:pPr>
        <w:spacing w:after="0" w:line="20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As of September 24, 2023 and December 25, 2022, the fair value of the mutual fund investments and deferred compensation obligations were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Borders>
              <w:bottom w:val="single" w:sz="8" w:color="DBDBDB"/>
            </w:tcBorders>
          </w:tcPr>
          <w:p>
            <w:pPr>
              <w:spacing w:after="0"/>
              <w:rPr>
                <w:sz w:val="20"/>
                <w:szCs w:val="20"/>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September 24, 2023</w:t>
            </w:r>
          </w:p>
        </w:tc>
        <w:tc>
          <w:tcPr>
            <w:tcW w:w="100" w:type="dxa"/>
            <w:vAlign w:val="bottom"/>
            <w:tcBorders>
              <w:bottom w:val="single" w:sz="8" w:color="DBDBDB"/>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880" w:type="dxa"/>
            <w:vAlign w:val="bottom"/>
            <w:shd w:val="clear" w:color="auto" w:fill="DBDBDB"/>
          </w:tcPr>
          <w:p>
            <w:pPr>
              <w:spacing w:after="0"/>
              <w:rPr>
                <w:sz w:val="20"/>
                <w:szCs w:val="20"/>
                <w:color w:val="auto"/>
              </w:rPr>
            </w:pPr>
          </w:p>
        </w:tc>
        <w:tc>
          <w:tcPr>
            <w:tcW w:w="320" w:type="dxa"/>
            <w:vAlign w:val="bottom"/>
            <w:shd w:val="clear" w:color="auto" w:fill="DBDBDB"/>
          </w:tcPr>
          <w:p>
            <w:pPr>
              <w:spacing w:after="0"/>
              <w:rPr>
                <w:sz w:val="20"/>
                <w:szCs w:val="20"/>
                <w:color w:val="auto"/>
              </w:rPr>
            </w:pPr>
          </w:p>
        </w:tc>
        <w:tc>
          <w:tcPr>
            <w:tcW w:w="1400" w:type="dxa"/>
            <w:vAlign w:val="bottom"/>
            <w:gridSpan w:val="2"/>
            <w:shd w:val="clear" w:color="auto" w:fill="DBDBDB"/>
          </w:tcPr>
          <w:p>
            <w:pPr>
              <w:jc w:val="center"/>
              <w:ind w:right="420"/>
              <w:spacing w:after="0"/>
              <w:rPr>
                <w:sz w:val="20"/>
                <w:szCs w:val="20"/>
                <w:color w:val="auto"/>
              </w:rPr>
            </w:pPr>
            <w:r>
              <w:rPr>
                <w:rFonts w:ascii="Arial" w:cs="Arial" w:eastAsia="Arial" w:hAnsi="Arial"/>
                <w:sz w:val="16"/>
                <w:szCs w:val="16"/>
                <w:b w:val="1"/>
                <w:bCs w:val="1"/>
                <w:color w:val="auto"/>
                <w:w w:val="99"/>
              </w:rPr>
              <w:t>Level 1</w:t>
            </w:r>
          </w:p>
        </w:tc>
        <w:tc>
          <w:tcPr>
            <w:tcW w:w="320" w:type="dxa"/>
            <w:vAlign w:val="bottom"/>
            <w:shd w:val="clear" w:color="auto" w:fill="DBDBDB"/>
          </w:tcPr>
          <w:p>
            <w:pPr>
              <w:spacing w:after="0"/>
              <w:rPr>
                <w:sz w:val="20"/>
                <w:szCs w:val="20"/>
                <w:color w:val="auto"/>
              </w:rPr>
            </w:pPr>
          </w:p>
        </w:tc>
        <w:tc>
          <w:tcPr>
            <w:tcW w:w="1300" w:type="dxa"/>
            <w:vAlign w:val="bottom"/>
            <w:shd w:val="clear" w:color="auto" w:fill="DBDBDB"/>
          </w:tcPr>
          <w:p>
            <w:pPr>
              <w:jc w:val="right"/>
              <w:ind w:right="459"/>
              <w:spacing w:after="0"/>
              <w:rPr>
                <w:sz w:val="20"/>
                <w:szCs w:val="20"/>
                <w:color w:val="auto"/>
              </w:rPr>
            </w:pPr>
            <w:r>
              <w:rPr>
                <w:rFonts w:ascii="Arial" w:cs="Arial" w:eastAsia="Arial" w:hAnsi="Arial"/>
                <w:sz w:val="16"/>
                <w:szCs w:val="16"/>
                <w:b w:val="1"/>
                <w:bCs w:val="1"/>
                <w:color w:val="auto"/>
              </w:rPr>
              <w:t>Level 1</w:t>
            </w:r>
          </w:p>
        </w:tc>
      </w:tr>
      <w:tr>
        <w:trPr>
          <w:trHeight w:val="196"/>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 xml:space="preserve">Assets </w:t>
            </w:r>
            <w:r>
              <w:rPr>
                <w:rFonts w:ascii="Arial" w:cs="Arial" w:eastAsia="Arial" w:hAnsi="Arial"/>
                <w:sz w:val="16"/>
                <w:szCs w:val="16"/>
                <w:color w:val="auto"/>
              </w:rPr>
              <w:t>- Investments designated for deferred compensation plan</w:t>
            </w: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43"/>
        </w:trPr>
        <w:tc>
          <w:tcPr>
            <w:tcW w:w="78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Cash/money accounts</w:t>
            </w: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1,027</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1,470</w:t>
            </w:r>
          </w:p>
        </w:tc>
      </w:tr>
      <w:tr>
        <w:trPr>
          <w:trHeight w:val="236"/>
        </w:trPr>
        <w:tc>
          <w:tcPr>
            <w:tcW w:w="78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Mutual funds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w:t>
            </w:r>
          </w:p>
        </w:tc>
      </w:tr>
      <w:tr>
        <w:trPr>
          <w:trHeight w:val="268"/>
        </w:trPr>
        <w:tc>
          <w:tcPr>
            <w:tcW w:w="78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3,408</w:t>
            </w:r>
          </w:p>
        </w:tc>
        <w:tc>
          <w:tcPr>
            <w:tcW w:w="100" w:type="dxa"/>
            <w:vAlign w:val="bottom"/>
            <w:tcBorders>
              <w:bottom w:val="single" w:sz="8" w:color="DBDBDB"/>
            </w:tcBorders>
            <w:shd w:val="clear" w:color="auto" w:fill="DBDBDB"/>
          </w:tcPr>
          <w:p>
            <w:pPr>
              <w:spacing w:after="0"/>
              <w:rPr>
                <w:sz w:val="22"/>
                <w:szCs w:val="22"/>
                <w:color w:val="auto"/>
              </w:rPr>
            </w:pPr>
          </w:p>
        </w:tc>
        <w:tc>
          <w:tcPr>
            <w:tcW w:w="3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3,711</w:t>
            </w:r>
          </w:p>
        </w:tc>
      </w:tr>
      <w:tr>
        <w:trPr>
          <w:trHeight w:val="20"/>
        </w:trPr>
        <w:tc>
          <w:tcPr>
            <w:tcW w:w="78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24, 2023 and December 25, 2022, we had no Level 2 or Level 3 assets.</w:t>
      </w:r>
    </w:p>
    <w:p>
      <w:pPr>
        <w:spacing w:after="0" w:line="15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deferred compensation investments and obligations are included in other assets, accrued expenses and other long-term liabilities in the consolidated balance sheets. Changes in the fair value of securities held in the rabbi trust are recognized as trading gains and losses and included in other income in the consolidated statements of operations and offsetting increases or decreases in the deferred compensation obligation are recorded in other long-term liabilities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Debt for additional information relating to the fair value of the Company's outstanding debt instruments.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Measured at Fair Value on a Non-Recurring Basis</w:t>
      </w:r>
    </w:p>
    <w:p>
      <w:pPr>
        <w:spacing w:after="0" w:line="25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Assets that are measured at fair value on a non-recurring basis include property and equipment, net, operating lease assets, equity-method investment, goodwill and indefinite-lived intangible assets. These assets are measured at fair value whenever events or changes in circumstances indicate that the carrying amount of an asset may not be recoverable. There were no impairment charges recognized during the quarter and three quarters ended September 24, 2023 and September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8.</w:t>
        <w:tab/>
        <w:t>DEBT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9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2023 Term Loan</w:t>
            </w:r>
          </w:p>
        </w:tc>
        <w:tc>
          <w:tcPr>
            <w:tcW w:w="520" w:type="dxa"/>
            <w:vAlign w:val="bottom"/>
            <w:tcBorders>
              <w:top w:val="single" w:sz="8" w:color="auto"/>
            </w:tcBorders>
            <w:shd w:val="clear" w:color="auto" w:fill="DBDBDB"/>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298,125</w:t>
            </w:r>
          </w:p>
        </w:tc>
        <w:tc>
          <w:tcPr>
            <w:tcW w:w="100" w:type="dxa"/>
            <w:vAlign w:val="bottom"/>
            <w:tcBorders>
              <w:top w:val="single" w:sz="8" w:color="DBDBDB"/>
            </w:tcBorders>
            <w:shd w:val="clear" w:color="auto" w:fill="DBDBDB"/>
          </w:tcPr>
          <w:p>
            <w:pPr>
              <w:spacing w:after="0"/>
              <w:rPr>
                <w:sz w:val="20"/>
                <w:szCs w:val="20"/>
                <w:color w:val="auto"/>
              </w:rPr>
            </w:pPr>
          </w:p>
        </w:tc>
        <w:tc>
          <w:tcPr>
            <w:tcW w:w="540" w:type="dxa"/>
            <w:vAlign w:val="bottom"/>
            <w:tcBorders>
              <w:top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2014 Term B-3 Loans</w:t>
            </w:r>
          </w:p>
        </w:tc>
        <w:tc>
          <w:tcPr>
            <w:tcW w:w="5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322,428</w:t>
            </w:r>
          </w:p>
        </w:tc>
      </w:tr>
      <w:tr>
        <w:trPr>
          <w:trHeight w:val="246"/>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Unamortized discount and debt issuance costs</w:t>
            </w:r>
          </w:p>
        </w:tc>
        <w:tc>
          <w:tcPr>
            <w:tcW w:w="52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(3,139)</w:t>
            </w:r>
          </w:p>
        </w:tc>
        <w:tc>
          <w:tcPr>
            <w:tcW w:w="100" w:type="dxa"/>
            <w:vAlign w:val="bottom"/>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(3,848)</w:t>
            </w:r>
          </w:p>
        </w:tc>
      </w:tr>
      <w:tr>
        <w:trPr>
          <w:trHeight w:val="233"/>
        </w:trPr>
        <w:tc>
          <w:tcPr>
            <w:tcW w:w="7900" w:type="dxa"/>
            <w:vAlign w:val="bottom"/>
          </w:tcPr>
          <w:p>
            <w:pPr>
              <w:ind w:left="20"/>
              <w:spacing w:after="0"/>
              <w:rPr>
                <w:sz w:val="20"/>
                <w:szCs w:val="20"/>
                <w:color w:val="auto"/>
              </w:rPr>
            </w:pPr>
            <w:r>
              <w:rPr>
                <w:rFonts w:ascii="Arial" w:cs="Arial" w:eastAsia="Arial" w:hAnsi="Arial"/>
                <w:sz w:val="16"/>
                <w:szCs w:val="16"/>
                <w:color w:val="auto"/>
              </w:rPr>
              <w:t>Total debt, net</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294,986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318,580</w:t>
            </w:r>
          </w:p>
        </w:tc>
      </w:tr>
      <w:tr>
        <w:trPr>
          <w:trHeight w:val="246"/>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Current portion of long-term debt</w:t>
            </w:r>
          </w:p>
        </w:tc>
        <w:tc>
          <w:tcPr>
            <w:tcW w:w="52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(4,155)</w:t>
            </w:r>
          </w:p>
        </w:tc>
      </w:tr>
      <w:tr>
        <w:trPr>
          <w:trHeight w:val="243"/>
        </w:trPr>
        <w:tc>
          <w:tcPr>
            <w:tcW w:w="790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287,486</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314,425</w:t>
            </w:r>
          </w:p>
        </w:tc>
      </w:tr>
      <w:tr>
        <w:trPr>
          <w:trHeight w:val="21"/>
        </w:trPr>
        <w:tc>
          <w:tcPr>
            <w:tcW w:w="7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2023 Credit Agreement</w:t>
      </w:r>
    </w:p>
    <w:p>
      <w:pPr>
        <w:spacing w:after="0" w:line="2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2, 2023 (the "Closing Date"), PHD Intermediate LLC (“Holdings”), Portillo’s Holdings LLC (the “Borrower”), the other Guarantors party thereto from time to time, each lender party thereto from time to time and Fifth Third Bank, National Association, as Administrative Agent, L/C Issuer and Swing Line Lender entered into a credit agreement (“2023 Credit Agreement”) which provides for a term A loan (the "2023 Term Loan") in an initial aggregate principal amount of $300.0 million and revolving credit commitments in an initial aggregate principal amount of $ 100.0 million (the “2023 Revolver Facility”). The 2023 Term Loan and 2023 Revolver Facility are scheduled to mature on February 2, 2028.</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2023 Term Loan and the 2023 Revolver Facility will accrue interest at the forward-looking secured overnight financing rate (“SOFR”) plus an applicable rate determined upon the consolidated total net rent adjusted leverage ratio, subject to a floor of 0.00% (plus a credit spread adjustment of 0.10% per annum for 1-month interest periods and 0.15% for 3-month interest periods).</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As of September 24, 2023, the interest rate on the 2023 Term Loan was 8.14%. Pursuant to the 2023 Credit Agreement, as of September 24, 2023, the commitment fees to maintain the 2023 Revolver Facility were 0.250%, letter of credit fees were 2.75%, and letter of credit fronting fees were 0.125%. Commitment fees, letter of credit fees, and letter of credit fronting fees are recorded as interest expense in the condensed consolidated statements of operations. As of September 24, 2023, the effective interest rate was 8.50%.</w:t>
      </w:r>
    </w:p>
    <w:p>
      <w:pPr>
        <w:spacing w:after="0" w:line="21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2023 Term Loan will amortize in quarterly installments equalling an aggregate annual amount of $7.5 million for the first two (2) years following the Closing Date, (b) $15.0 million for the third (3rd) and fourth (4th) years following the Closing Date, and (c) $30.0 million for the fifth (5th) year following the Closing Date, commencing on the last day of the first full fiscal quarter ended after the Closing Date, with the balance payable on the final maturity date.</w:t>
      </w:r>
    </w:p>
    <w:p>
      <w:pPr>
        <w:spacing w:after="0" w:line="2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September 24, 2023, outstanding borrowings under the 2023 Credit Agreement totaled $298.1 million, comprising of $298.1 million under the 2023 Term Loan. As of September 24, 2023, there were no borrowings under the 2023 Revolver Facility outstanding. Letters of credit issued under the 2023 Revolver Facility totaled $4.3 million. As a result, as of September 24, 2023, the Company had $95.7 million available under the 2023 Revolver Facility. On September 29, 2023, the Company borrowed $7.0 million on the 2023 Revolver Facility (see Note 16. Subsequent Events for additional details).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2014 Credit Agreement</w:t>
      </w:r>
    </w:p>
    <w:p>
      <w:pPr>
        <w:spacing w:after="0" w:line="2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Holdings, the Borrower and certain of its subsidiaries entered into a credit agreement ("2014 Credit Agreement"), dated as of August 1, 2014 and as amended October 25, 2016, May 18, 2018 and December 6, 2019, with UBS AG, Stamford Branch, as the administrative agent and collateral agent, and other lenders from time to time party thereto (the “2014 Lenders”). The 2014 Lenders extended credit in the form of (i) first lien initial term loans in an initial aggregate principal amount of $335.0 million and (ii) a revolving credit facility in an original principal amount equal to $30.0 million, including a letter of credit sub-facility with a $7.5 million sublimit (the “2014 Revolving Facility” and the loans thereunder, the “2014 Revolving Loans”).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December 6, 2019, the Borrower entered a third amendment to the 2014 Credit Agreement (the “Third Amendment to 2014 Credit Agreement”) whereby the aggregate principal amount of the term loans as of the effective date of the Third Amendment to 2014 Credit Agreement was $ 332.4 million (the “2014 Term B-3 Loans”), and the 2014 Revolving Facility was increased to $50.0 million. The maturity date with respect to the 2014 Term B-3 Loans was extended to September 6, 2024, and the maturity date with respect to the 2014 Revolving Loans was extended to June 6, 2024.</w:t>
      </w:r>
    </w:p>
    <w:p>
      <w:pPr>
        <w:spacing w:after="0" w:line="21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connection with the Third Amendment to 2014 Credit Agreement, the interest rates spread for the 2014 Term B-3 Loans increased by 100 basis points to 5.50% for the adjusted London interbank offered rate ("Eurocurrency Rate") loans. As of September 25, 2022, the interest rate on the 2014 Term B-3 Loans was 6.56%. Beginning with December 31, 2019, the Company is required to pay on the last business day of each calendar quarter, March 31, June 30, September 30, and December 31, an aggregate principal amount of $0.8 million.</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25, 2022, the Company had no borrowings under the 2014 Revolving Facility. As of September 25, 2022, the interest rate on the 2014 Revolving Facility was 3.25%, subject to change based on a consolidated first lien net leverage ratio as defined in the 2014 Credit Agreement. As of September 25, 2022, the commitment fees, pursuant to the 2014 Credit Agreement, to maintain the 2014 Revolving Facility were 0.250%. Also pursuant to the 2014 Credit Agreement, as of September 25, 2022, letter of credit fronting fees were 0.125%. Commitment fees and letter of credit fronting fees are recorded as interest expense in the condensed consolidated statements of operations. As of September 25, 2022, the effective interest rate was 8.84%.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$4.2 million of letters of credit issued against the 2014 Revolving Facility as of December 25, 2022.</w:t>
      </w:r>
    </w:p>
    <w:p>
      <w:pPr>
        <w:spacing w:after="0" w:line="25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February 2, 2023, the Company used proceeds from the 2023 Term Loan and 2023 Revolver Facility, along with cash on hand, to pay off the 2014 Credit Agreement in full in the amount of $321.8 million. The 2023 Revolver Facility under the 2023 Credit Agreement replaces the $50.0 million 2014 Revolving Facility under the 2014 Credit Agreement.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Discount and Debt Issuance Costs</w:t>
      </w:r>
    </w:p>
    <w:p>
      <w:pPr>
        <w:spacing w:after="0" w:line="27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Pursuant to the 2023 Credit Agreement, the Company capitalized deferred financing costs and issuance discount of $3.6 million which will be amortized over the term of the 2023 Credit Agreement.</w:t>
      </w:r>
    </w:p>
    <w:p>
      <w:pPr>
        <w:spacing w:after="0" w:line="20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connection with the repayment of the 2014 Credit Agreement as described above, deferred financing costs and original issuance discount of $3.5 million were recorded as a loss on debt extinguishment during the three quarters ended September 24, 2023 in the condensed consolidated statement of operations.</w:t>
      </w:r>
    </w:p>
    <w:p>
      <w:pPr>
        <w:spacing w:after="0" w:line="21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Company amortized an immaterial amount and $0.3 million of deferred financing costs during the quarter and three quarters ended September 24, 2023, respectively, and $0.5 million and $1.4 million during the quarter and three quarters ended September 25, 2022, respectively, which is included in interest expense in the condensed consolidated statements of operations. In addition, the Company also amortized $0.2 million and $0.5 million in original issue discount related to the long-term debt during the quarter and three quarters ended September 24, 2023, respectively, and $0.2 million and $0.5 million, respectively, in the quarter and three quarters ended September 25, 2022 which is included in interest expense in the condensed consolidated statements of operations.</w:t>
      </w:r>
    </w:p>
    <w:p>
      <w:pPr>
        <w:spacing w:after="0" w:line="219"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Total interest costs incurred were $6.6 million and $20.5 million for the quarter and three quarters ended September 24, 2023, respectively, and $7.1 million and $19.3 million for the quarter and three quarters ended September 25, 2022, respectively.</w:t>
      </w:r>
    </w:p>
    <w:p>
      <w:pPr>
        <w:spacing w:after="0" w:line="20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As of September 24, 2023 and December 25, 2022,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spacing w:after="0" w:line="21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The 2023 Credit Agreement is guaranteed by all domestic subsidiaries of the Borrower (subject to customary exceptions) and secured by liens on substantially all of the assets of Holdings, the Borrower and the subsidiary guarantors (subject to customary exceptions).</w:t>
      </w:r>
    </w:p>
    <w:p>
      <w:pPr>
        <w:spacing w:after="0" w:line="20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The 2023 Credit Agreement also includes certain financial covenants with respect to cash interest coverage and total net rent adjusted leverage. As of September 24, 2023, the Company was in compliance with all covenants in the 2023 Credit Agreement.</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9.</w:t>
        <w:tab/>
        <w:t>LEASES</w:t>
      </w:r>
    </w:p>
    <w:p>
      <w:pPr>
        <w:spacing w:after="0" w:line="27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We qualify as an emerging growth company pursuant to the provisions of the Jumpstart our Business Startups ("JOBS") Act. As such, we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along with related clarifications and improvements, using a modified retrospective approach, with first presentation of the application of ASC 842 in our Annual Report on Form 10-K for the fiscal year ended December 25, 2022. Quarterly interim financial statements for 2023 are presented under ASC 842. Quarterly interim financial statements were not required in 2022 under prior lease accounting guidance, therefore comparative amounts are not presented for those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lease right-of-use assets and liabilities is as follows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5020" w:type="dxa"/>
            <w:vAlign w:val="bottom"/>
          </w:tcPr>
          <w:p>
            <w:pPr>
              <w:ind w:left="140"/>
              <w:spacing w:after="0"/>
              <w:rPr>
                <w:sz w:val="20"/>
                <w:szCs w:val="20"/>
                <w:color w:val="auto"/>
              </w:rPr>
            </w:pPr>
            <w:r>
              <w:rPr>
                <w:rFonts w:ascii="Arial" w:cs="Arial" w:eastAsia="Arial" w:hAnsi="Arial"/>
                <w:sz w:val="16"/>
                <w:szCs w:val="16"/>
                <w:b w:val="1"/>
                <w:bCs w:val="1"/>
                <w:color w:val="auto"/>
              </w:rPr>
              <w:t>Classification</w:t>
            </w:r>
          </w:p>
        </w:tc>
        <w:tc>
          <w:tcPr>
            <w:tcW w:w="18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24, 2023</w:t>
            </w:r>
          </w:p>
        </w:tc>
        <w:tc>
          <w:tcPr>
            <w:tcW w:w="200" w:type="dxa"/>
            <w:vAlign w:val="bottom"/>
          </w:tcPr>
          <w:p>
            <w:pPr>
              <w:spacing w:after="0"/>
              <w:rPr>
                <w:sz w:val="20"/>
                <w:szCs w:val="20"/>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25, 2022</w:t>
            </w:r>
          </w:p>
        </w:tc>
      </w:tr>
      <w:tr>
        <w:trPr>
          <w:trHeight w:val="234"/>
        </w:trPr>
        <w:tc>
          <w:tcPr>
            <w:tcW w:w="2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Right-of-use assets</w:t>
            </w:r>
          </w:p>
        </w:tc>
        <w:tc>
          <w:tcPr>
            <w:tcW w:w="502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6"/>
                <w:szCs w:val="16"/>
                <w:color w:val="auto"/>
              </w:rPr>
              <w:t>Operating lease assets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191,488</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166,808</w:t>
            </w:r>
          </w:p>
        </w:tc>
      </w:tr>
      <w:tr>
        <w:trPr>
          <w:trHeight w:val="237"/>
        </w:trPr>
        <w:tc>
          <w:tcPr>
            <w:tcW w:w="2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191,488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166,808</w:t>
            </w:r>
          </w:p>
        </w:tc>
      </w:tr>
      <w:tr>
        <w:trPr>
          <w:trHeight w:val="21"/>
        </w:trPr>
        <w:tc>
          <w:tcPr>
            <w:tcW w:w="2120" w:type="dxa"/>
            <w:vAlign w:val="bottom"/>
            <w:tcBorders>
              <w:bottom w:val="single" w:sz="8" w:color="DBDBDB"/>
            </w:tcBorders>
          </w:tcPr>
          <w:p>
            <w:pPr>
              <w:spacing w:after="0" w:line="20" w:lineRule="exact"/>
              <w:rPr>
                <w:sz w:val="1"/>
                <w:szCs w:val="1"/>
                <w:color w:val="auto"/>
              </w:rPr>
            </w:pPr>
          </w:p>
        </w:tc>
        <w:tc>
          <w:tcPr>
            <w:tcW w:w="50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3"/>
        </w:trPr>
        <w:tc>
          <w:tcPr>
            <w:tcW w:w="2120" w:type="dxa"/>
            <w:vAlign w:val="bottom"/>
            <w:shd w:val="clear" w:color="auto" w:fill="DBDBDB"/>
          </w:tcPr>
          <w:p>
            <w:pPr>
              <w:spacing w:after="0"/>
              <w:rPr>
                <w:sz w:val="21"/>
                <w:szCs w:val="21"/>
                <w:color w:val="auto"/>
              </w:rPr>
            </w:pPr>
          </w:p>
        </w:tc>
        <w:tc>
          <w:tcPr>
            <w:tcW w:w="50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8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spacing w:after="0"/>
              <w:rPr>
                <w:sz w:val="21"/>
                <w:szCs w:val="21"/>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5020" w:type="dxa"/>
            <w:vAlign w:val="bottom"/>
          </w:tcPr>
          <w:p>
            <w:pPr>
              <w:ind w:left="140"/>
              <w:spacing w:after="0"/>
              <w:rPr>
                <w:sz w:val="20"/>
                <w:szCs w:val="20"/>
                <w:color w:val="auto"/>
              </w:rPr>
            </w:pPr>
            <w:r>
              <w:rPr>
                <w:rFonts w:ascii="Arial" w:cs="Arial" w:eastAsia="Arial" w:hAnsi="Arial"/>
                <w:sz w:val="16"/>
                <w:szCs w:val="16"/>
                <w:color w:val="auto"/>
              </w:rPr>
              <w:t>Short-term operating lease liability</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5,048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4,849</w:t>
            </w:r>
          </w:p>
        </w:tc>
      </w:tr>
      <w:tr>
        <w:trPr>
          <w:trHeight w:val="246"/>
        </w:trPr>
        <w:tc>
          <w:tcPr>
            <w:tcW w:w="2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Non-current lease liabilities</w:t>
            </w:r>
          </w:p>
        </w:tc>
        <w:tc>
          <w:tcPr>
            <w:tcW w:w="50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Long-term operating lease liability</w:t>
            </w:r>
          </w:p>
        </w:tc>
        <w:tc>
          <w:tcPr>
            <w:tcW w:w="180" w:type="dxa"/>
            <w:vAlign w:val="bottom"/>
            <w:tcBorders>
              <w:bottom w:val="single" w:sz="8" w:color="auto"/>
            </w:tcBorders>
            <w:shd w:val="clear" w:color="auto" w:fill="DBDBDB"/>
          </w:tcPr>
          <w:p>
            <w:pPr>
              <w:spacing w:after="0"/>
              <w:rPr>
                <w:sz w:val="21"/>
                <w:szCs w:val="21"/>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234,699</w:t>
            </w:r>
          </w:p>
        </w:tc>
        <w:tc>
          <w:tcPr>
            <w:tcW w:w="10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200,166</w:t>
            </w:r>
          </w:p>
        </w:tc>
      </w:tr>
      <w:tr>
        <w:trPr>
          <w:trHeight w:val="237"/>
        </w:trPr>
        <w:tc>
          <w:tcPr>
            <w:tcW w:w="2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239,747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205,015</w:t>
            </w:r>
          </w:p>
        </w:tc>
      </w:tr>
      <w:tr>
        <w:trPr>
          <w:trHeight w:val="27"/>
        </w:trPr>
        <w:tc>
          <w:tcPr>
            <w:tcW w:w="21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19"/>
                <w:szCs w:val="19"/>
                <w:color w:val="auto"/>
              </w:rPr>
            </w:pPr>
          </w:p>
        </w:tc>
        <w:tc>
          <w:tcPr>
            <w:tcW w:w="1880" w:type="dxa"/>
            <w:vAlign w:val="bottom"/>
          </w:tcPr>
          <w:p>
            <w:pPr>
              <w:jc w:val="right"/>
              <w:ind w:right="79"/>
              <w:spacing w:after="0"/>
              <w:rPr>
                <w:sz w:val="20"/>
                <w:szCs w:val="20"/>
                <w:color w:val="auto"/>
              </w:rPr>
            </w:pPr>
            <w:r>
              <w:rPr>
                <w:rFonts w:ascii="Arial" w:cs="Arial" w:eastAsia="Arial" w:hAnsi="Arial"/>
                <w:sz w:val="16"/>
                <w:szCs w:val="16"/>
                <w:b w:val="1"/>
                <w:bCs w:val="1"/>
                <w:color w:val="auto"/>
              </w:rPr>
              <w:t>Three Quarters Ended</w:t>
            </w:r>
          </w:p>
        </w:tc>
      </w:tr>
      <w:tr>
        <w:trPr>
          <w:trHeight w:val="247"/>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4180" w:type="dxa"/>
            <w:vAlign w:val="bottom"/>
          </w:tcPr>
          <w:p>
            <w:pPr>
              <w:ind w:left="640"/>
              <w:spacing w:after="0"/>
              <w:rPr>
                <w:sz w:val="20"/>
                <w:szCs w:val="20"/>
                <w:color w:val="auto"/>
              </w:rPr>
            </w:pPr>
            <w:r>
              <w:rPr>
                <w:rFonts w:ascii="Arial" w:cs="Arial" w:eastAsia="Arial" w:hAnsi="Arial"/>
                <w:sz w:val="16"/>
                <w:szCs w:val="16"/>
                <w:b w:val="1"/>
                <w:bCs w:val="1"/>
                <w:color w:val="auto"/>
              </w:rPr>
              <w:t>Classification</w:t>
            </w:r>
          </w:p>
        </w:tc>
        <w:tc>
          <w:tcPr>
            <w:tcW w:w="180" w:type="dxa"/>
            <w:vAlign w:val="bottom"/>
          </w:tcPr>
          <w:p>
            <w:pPr>
              <w:spacing w:after="0"/>
              <w:rPr>
                <w:sz w:val="21"/>
                <w:szCs w:val="21"/>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24, 2023</w:t>
            </w:r>
          </w:p>
        </w:tc>
        <w:tc>
          <w:tcPr>
            <w:tcW w:w="120" w:type="dxa"/>
            <w:vAlign w:val="bottom"/>
          </w:tcPr>
          <w:p>
            <w:pPr>
              <w:spacing w:after="0"/>
              <w:rPr>
                <w:sz w:val="21"/>
                <w:szCs w:val="21"/>
                <w:color w:val="auto"/>
              </w:rPr>
            </w:pPr>
          </w:p>
        </w:tc>
        <w:tc>
          <w:tcPr>
            <w:tcW w:w="188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24, 2023</w:t>
            </w:r>
          </w:p>
        </w:tc>
      </w:tr>
      <w:tr>
        <w:trPr>
          <w:trHeight w:val="190"/>
        </w:trPr>
        <w:tc>
          <w:tcPr>
            <w:tcW w:w="2920" w:type="dxa"/>
            <w:vAlign w:val="bottom"/>
            <w:tcBorders>
              <w:top w:val="single" w:sz="8" w:color="DBDBDB"/>
            </w:tcBorders>
            <w:shd w:val="clear" w:color="auto" w:fill="DBDBDB"/>
          </w:tcPr>
          <w:p>
            <w:pPr>
              <w:spacing w:after="0"/>
              <w:rPr>
                <w:sz w:val="16"/>
                <w:szCs w:val="16"/>
                <w:color w:val="auto"/>
              </w:rPr>
            </w:pPr>
          </w:p>
        </w:tc>
        <w:tc>
          <w:tcPr>
            <w:tcW w:w="4180" w:type="dxa"/>
            <w:vAlign w:val="bottom"/>
            <w:tcBorders>
              <w:top w:val="single" w:sz="8" w:color="DBDBDB"/>
            </w:tcBorders>
            <w:shd w:val="clear" w:color="auto" w:fill="DBDBDB"/>
          </w:tcPr>
          <w:p>
            <w:pPr>
              <w:ind w:left="640"/>
              <w:spacing w:after="0"/>
              <w:rPr>
                <w:sz w:val="20"/>
                <w:szCs w:val="20"/>
                <w:color w:val="auto"/>
              </w:rPr>
            </w:pPr>
            <w:r>
              <w:rPr>
                <w:rFonts w:ascii="Arial" w:cs="Arial" w:eastAsia="Arial" w:hAnsi="Arial"/>
                <w:sz w:val="16"/>
                <w:szCs w:val="16"/>
                <w:color w:val="auto"/>
              </w:rPr>
              <w:t>Occupancy</w:t>
            </w:r>
          </w:p>
        </w:tc>
        <w:tc>
          <w:tcPr>
            <w:tcW w:w="180" w:type="dxa"/>
            <w:vAlign w:val="bottom"/>
            <w:tcBorders>
              <w:top w:val="single" w:sz="8" w:color="auto"/>
            </w:tcBorders>
            <w:shd w:val="clear" w:color="auto" w:fill="DBDBDB"/>
          </w:tcPr>
          <w:p>
            <w:pPr>
              <w:spacing w:after="0"/>
              <w:rPr>
                <w:sz w:val="16"/>
                <w:szCs w:val="16"/>
                <w:color w:val="auto"/>
              </w:rPr>
            </w:pPr>
          </w:p>
        </w:tc>
        <w:tc>
          <w:tcPr>
            <w:tcW w:w="1820" w:type="dxa"/>
            <w:vAlign w:val="bottom"/>
            <w:tcBorders>
              <w:top w:val="single" w:sz="8" w:color="auto"/>
            </w:tcBorders>
            <w:shd w:val="clear" w:color="auto" w:fill="DBDBDB"/>
          </w:tcPr>
          <w:p>
            <w:pPr>
              <w:spacing w:after="0"/>
              <w:rPr>
                <w:sz w:val="16"/>
                <w:szCs w:val="16"/>
                <w:color w:val="auto"/>
              </w:rPr>
            </w:pPr>
          </w:p>
        </w:tc>
        <w:tc>
          <w:tcPr>
            <w:tcW w:w="120" w:type="dxa"/>
            <w:vAlign w:val="bottom"/>
            <w:tcBorders>
              <w:top w:val="single" w:sz="8" w:color="DBDBDB"/>
            </w:tcBorders>
            <w:shd w:val="clear" w:color="auto" w:fill="DBDBDB"/>
          </w:tcPr>
          <w:p>
            <w:pPr>
              <w:spacing w:after="0"/>
              <w:rPr>
                <w:sz w:val="16"/>
                <w:szCs w:val="16"/>
                <w:color w:val="auto"/>
              </w:rPr>
            </w:pPr>
          </w:p>
        </w:tc>
        <w:tc>
          <w:tcPr>
            <w:tcW w:w="120" w:type="dxa"/>
            <w:vAlign w:val="bottom"/>
            <w:tcBorders>
              <w:top w:val="single" w:sz="8" w:color="auto"/>
            </w:tcBorders>
            <w:shd w:val="clear" w:color="auto" w:fill="DBDBDB"/>
          </w:tcPr>
          <w:p>
            <w:pPr>
              <w:spacing w:after="0"/>
              <w:rPr>
                <w:sz w:val="16"/>
                <w:szCs w:val="16"/>
                <w:color w:val="auto"/>
              </w:rPr>
            </w:pPr>
          </w:p>
        </w:tc>
        <w:tc>
          <w:tcPr>
            <w:tcW w:w="1880" w:type="dxa"/>
            <w:vAlign w:val="bottom"/>
            <w:tcBorders>
              <w:top w:val="single" w:sz="8" w:color="auto"/>
            </w:tcBorders>
            <w:shd w:val="clear" w:color="auto" w:fill="DBDBDB"/>
          </w:tcPr>
          <w:p>
            <w:pPr>
              <w:spacing w:after="0"/>
              <w:rPr>
                <w:sz w:val="16"/>
                <w:szCs w:val="16"/>
                <w:color w:val="auto"/>
              </w:rPr>
            </w:pPr>
          </w:p>
        </w:tc>
      </w:tr>
      <w:tr>
        <w:trPr>
          <w:trHeight w:val="203"/>
        </w:trPr>
        <w:tc>
          <w:tcPr>
            <w:tcW w:w="2920" w:type="dxa"/>
            <w:vAlign w:val="bottom"/>
            <w:shd w:val="clear" w:color="auto" w:fill="DBDBDB"/>
          </w:tcPr>
          <w:p>
            <w:pPr>
              <w:spacing w:after="0"/>
              <w:rPr>
                <w:sz w:val="17"/>
                <w:szCs w:val="17"/>
                <w:color w:val="auto"/>
              </w:rPr>
            </w:pPr>
          </w:p>
        </w:tc>
        <w:tc>
          <w:tcPr>
            <w:tcW w:w="4180" w:type="dxa"/>
            <w:vAlign w:val="bottom"/>
            <w:shd w:val="clear" w:color="auto" w:fill="DBDBDB"/>
          </w:tcPr>
          <w:p>
            <w:pPr>
              <w:ind w:left="640"/>
              <w:spacing w:after="0"/>
              <w:rPr>
                <w:sz w:val="20"/>
                <w:szCs w:val="20"/>
                <w:color w:val="auto"/>
              </w:rPr>
            </w:pPr>
            <w:r>
              <w:rPr>
                <w:rFonts w:ascii="Arial" w:cs="Arial" w:eastAsia="Arial" w:hAnsi="Arial"/>
                <w:sz w:val="16"/>
                <w:szCs w:val="16"/>
                <w:color w:val="auto"/>
              </w:rPr>
              <w:t>Other operating expenses</w:t>
            </w:r>
          </w:p>
        </w:tc>
        <w:tc>
          <w:tcPr>
            <w:tcW w:w="18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r>
      <w:tr>
        <w:trPr>
          <w:trHeight w:val="189"/>
        </w:trPr>
        <w:tc>
          <w:tcPr>
            <w:tcW w:w="2920" w:type="dxa"/>
            <w:vAlign w:val="bottom"/>
            <w:shd w:val="clear" w:color="auto" w:fill="DBDBDB"/>
          </w:tcPr>
          <w:p>
            <w:pPr>
              <w:spacing w:after="0"/>
              <w:rPr>
                <w:sz w:val="16"/>
                <w:szCs w:val="16"/>
                <w:color w:val="auto"/>
              </w:rPr>
            </w:pPr>
          </w:p>
        </w:tc>
        <w:tc>
          <w:tcPr>
            <w:tcW w:w="4180" w:type="dxa"/>
            <w:vAlign w:val="bottom"/>
            <w:shd w:val="clear" w:color="auto" w:fill="DBDBDB"/>
          </w:tcPr>
          <w:p>
            <w:pPr>
              <w:ind w:left="64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shd w:val="clear" w:color="auto" w:fill="DBDBDB"/>
          </w:tcPr>
          <w:p>
            <w:pPr>
              <w:spacing w:after="0"/>
              <w:rPr>
                <w:sz w:val="16"/>
                <w:szCs w:val="16"/>
                <w:color w:val="auto"/>
              </w:rPr>
            </w:pPr>
          </w:p>
        </w:tc>
        <w:tc>
          <w:tcPr>
            <w:tcW w:w="18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80" w:type="dxa"/>
            <w:vAlign w:val="bottom"/>
            <w:shd w:val="clear" w:color="auto" w:fill="DBDBDB"/>
          </w:tcPr>
          <w:p>
            <w:pPr>
              <w:spacing w:after="0"/>
              <w:rPr>
                <w:sz w:val="16"/>
                <w:szCs w:val="16"/>
                <w:color w:val="auto"/>
              </w:rPr>
            </w:pPr>
          </w:p>
        </w:tc>
      </w:tr>
      <w:tr>
        <w:trPr>
          <w:trHeight w:val="240"/>
        </w:trPr>
        <w:tc>
          <w:tcPr>
            <w:tcW w:w="2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cost</w:t>
            </w:r>
          </w:p>
        </w:tc>
        <w:tc>
          <w:tcPr>
            <w:tcW w:w="4180" w:type="dxa"/>
            <w:vAlign w:val="bottom"/>
            <w:shd w:val="clear" w:color="auto" w:fill="DBDBDB"/>
          </w:tcPr>
          <w:p>
            <w:pPr>
              <w:ind w:left="640"/>
              <w:spacing w:after="0"/>
              <w:rPr>
                <w:sz w:val="20"/>
                <w:szCs w:val="20"/>
                <w:color w:val="auto"/>
              </w:rPr>
            </w:pPr>
            <w:r>
              <w:rPr>
                <w:rFonts w:ascii="Arial" w:cs="Arial" w:eastAsia="Arial" w:hAnsi="Arial"/>
                <w:sz w:val="16"/>
                <w:szCs w:val="16"/>
                <w:color w:val="auto"/>
              </w:rPr>
              <w:t>Pre-opening expenses</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7,325</w:t>
            </w: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21,160</w:t>
            </w:r>
          </w:p>
        </w:tc>
      </w:tr>
      <w:tr>
        <w:trPr>
          <w:trHeight w:val="206"/>
        </w:trPr>
        <w:tc>
          <w:tcPr>
            <w:tcW w:w="2920" w:type="dxa"/>
            <w:vAlign w:val="bottom"/>
          </w:tcPr>
          <w:p>
            <w:pPr>
              <w:spacing w:after="0"/>
              <w:rPr>
                <w:sz w:val="17"/>
                <w:szCs w:val="17"/>
                <w:color w:val="auto"/>
              </w:rPr>
            </w:pPr>
          </w:p>
        </w:tc>
        <w:tc>
          <w:tcPr>
            <w:tcW w:w="4180" w:type="dxa"/>
            <w:vAlign w:val="bottom"/>
          </w:tcPr>
          <w:p>
            <w:pPr>
              <w:ind w:left="640"/>
              <w:spacing w:after="0"/>
              <w:rPr>
                <w:sz w:val="20"/>
                <w:szCs w:val="20"/>
                <w:color w:val="auto"/>
              </w:rPr>
            </w:pPr>
            <w:r>
              <w:rPr>
                <w:rFonts w:ascii="Arial" w:cs="Arial" w:eastAsia="Arial" w:hAnsi="Arial"/>
                <w:sz w:val="16"/>
                <w:szCs w:val="16"/>
                <w:color w:val="auto"/>
              </w:rPr>
              <w:t>Occupancy</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6"/>
                <w:szCs w:val="16"/>
                <w:color w:val="auto"/>
              </w:rPr>
              <w:t>Short-term operating lease cost</w:t>
            </w:r>
          </w:p>
        </w:tc>
        <w:tc>
          <w:tcPr>
            <w:tcW w:w="4180" w:type="dxa"/>
            <w:vAlign w:val="bottom"/>
          </w:tcPr>
          <w:p>
            <w:pPr>
              <w:ind w:left="640"/>
              <w:spacing w:after="0"/>
              <w:rPr>
                <w:sz w:val="20"/>
                <w:szCs w:val="20"/>
                <w:color w:val="auto"/>
              </w:rPr>
            </w:pPr>
            <w:r>
              <w:rPr>
                <w:rFonts w:ascii="Arial" w:cs="Arial" w:eastAsia="Arial" w:hAnsi="Arial"/>
                <w:sz w:val="16"/>
                <w:szCs w:val="16"/>
                <w:color w:val="auto"/>
              </w:rPr>
              <w:t>Other operating expenses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6"/>
        </w:trPr>
        <w:tc>
          <w:tcPr>
            <w:tcW w:w="2920" w:type="dxa"/>
            <w:vAlign w:val="bottom"/>
            <w:shd w:val="clear" w:color="auto" w:fill="DBDBDB"/>
          </w:tcPr>
          <w:p>
            <w:pPr>
              <w:spacing w:after="0"/>
              <w:rPr>
                <w:sz w:val="18"/>
                <w:szCs w:val="18"/>
                <w:color w:val="auto"/>
              </w:rPr>
            </w:pPr>
          </w:p>
        </w:tc>
        <w:tc>
          <w:tcPr>
            <w:tcW w:w="4180" w:type="dxa"/>
            <w:vAlign w:val="bottom"/>
            <w:shd w:val="clear" w:color="auto" w:fill="DBDBDB"/>
          </w:tcPr>
          <w:p>
            <w:pPr>
              <w:ind w:left="640"/>
              <w:spacing w:after="0"/>
              <w:rPr>
                <w:sz w:val="20"/>
                <w:szCs w:val="20"/>
                <w:color w:val="auto"/>
              </w:rPr>
            </w:pPr>
            <w:r>
              <w:rPr>
                <w:rFonts w:ascii="Arial" w:cs="Arial" w:eastAsia="Arial" w:hAnsi="Arial"/>
                <w:sz w:val="16"/>
                <w:szCs w:val="16"/>
                <w:color w:val="auto"/>
              </w:rPr>
              <w:t>Occupancy</w:t>
            </w:r>
          </w:p>
        </w:tc>
        <w:tc>
          <w:tcPr>
            <w:tcW w:w="180" w:type="dxa"/>
            <w:vAlign w:val="bottom"/>
            <w:shd w:val="clear" w:color="auto" w:fill="DBDBDB"/>
          </w:tcPr>
          <w:p>
            <w:pPr>
              <w:spacing w:after="0"/>
              <w:rPr>
                <w:sz w:val="18"/>
                <w:szCs w:val="18"/>
                <w:color w:val="auto"/>
              </w:rPr>
            </w:pPr>
          </w:p>
        </w:tc>
        <w:tc>
          <w:tcPr>
            <w:tcW w:w="1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r>
      <w:tr>
        <w:trPr>
          <w:trHeight w:val="203"/>
        </w:trPr>
        <w:tc>
          <w:tcPr>
            <w:tcW w:w="2920" w:type="dxa"/>
            <w:vAlign w:val="bottom"/>
            <w:shd w:val="clear" w:color="auto" w:fill="DBDBDB"/>
          </w:tcPr>
          <w:p>
            <w:pPr>
              <w:spacing w:after="0"/>
              <w:rPr>
                <w:sz w:val="17"/>
                <w:szCs w:val="17"/>
                <w:color w:val="auto"/>
              </w:rPr>
            </w:pPr>
          </w:p>
        </w:tc>
        <w:tc>
          <w:tcPr>
            <w:tcW w:w="4180" w:type="dxa"/>
            <w:vAlign w:val="bottom"/>
            <w:shd w:val="clear" w:color="auto" w:fill="DBDBDB"/>
          </w:tcPr>
          <w:p>
            <w:pPr>
              <w:ind w:left="640"/>
              <w:spacing w:after="0"/>
              <w:rPr>
                <w:sz w:val="20"/>
                <w:szCs w:val="20"/>
                <w:color w:val="auto"/>
              </w:rPr>
            </w:pPr>
            <w:r>
              <w:rPr>
                <w:rFonts w:ascii="Arial" w:cs="Arial" w:eastAsia="Arial" w:hAnsi="Arial"/>
                <w:sz w:val="16"/>
                <w:szCs w:val="16"/>
                <w:color w:val="auto"/>
              </w:rPr>
              <w:t>Other operating expenses</w:t>
            </w:r>
          </w:p>
        </w:tc>
        <w:tc>
          <w:tcPr>
            <w:tcW w:w="18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r>
      <w:tr>
        <w:trPr>
          <w:trHeight w:val="220"/>
        </w:trPr>
        <w:tc>
          <w:tcPr>
            <w:tcW w:w="2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Variable lease cost</w:t>
            </w:r>
          </w:p>
        </w:tc>
        <w:tc>
          <w:tcPr>
            <w:tcW w:w="4180" w:type="dxa"/>
            <w:vAlign w:val="bottom"/>
            <w:shd w:val="clear" w:color="auto" w:fill="DBDBDB"/>
          </w:tcPr>
          <w:p>
            <w:pPr>
              <w:ind w:left="64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Borders>
              <w:bottom w:val="single" w:sz="8" w:color="auto"/>
            </w:tcBorders>
            <w:shd w:val="clear" w:color="auto" w:fill="DBDBDB"/>
          </w:tcPr>
          <w:p>
            <w:pPr>
              <w:spacing w:after="0"/>
              <w:rPr>
                <w:sz w:val="19"/>
                <w:szCs w:val="19"/>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2,773</w:t>
            </w:r>
          </w:p>
        </w:tc>
      </w:tr>
      <w:tr>
        <w:trPr>
          <w:trHeight w:val="236"/>
        </w:trPr>
        <w:tc>
          <w:tcPr>
            <w:tcW w:w="29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24,467</w:t>
            </w:r>
          </w:p>
        </w:tc>
      </w:tr>
      <w:tr>
        <w:trPr>
          <w:trHeight w:val="27"/>
        </w:trPr>
        <w:tc>
          <w:tcPr>
            <w:tcW w:w="29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lease terms and discount rates for operating leases is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220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24, 2023</w:t>
            </w:r>
          </w:p>
        </w:tc>
        <w:tc>
          <w:tcPr>
            <w:tcW w:w="210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6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top w:val="single" w:sz="8" w:color="DBDBDB"/>
            </w:tcBorders>
            <w:shd w:val="clear" w:color="auto" w:fill="DBDBDB"/>
          </w:tcPr>
          <w:p>
            <w:pPr>
              <w:spacing w:after="0"/>
              <w:rPr>
                <w:sz w:val="20"/>
                <w:szCs w:val="20"/>
                <w:color w:val="auto"/>
              </w:rPr>
            </w:pP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25.0</w:t>
            </w:r>
          </w:p>
        </w:tc>
      </w:tr>
      <w:tr>
        <w:trPr>
          <w:trHeight w:val="223"/>
        </w:trPr>
        <w:tc>
          <w:tcPr>
            <w:tcW w:w="694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2100" w:type="dxa"/>
            <w:vAlign w:val="bottom"/>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9.8 %</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9"/>
                <w:szCs w:val="19"/>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b w:val="1"/>
                <w:bCs w:val="1"/>
                <w:color w:val="auto"/>
              </w:rPr>
              <w:t>Three Quarters Ended</w:t>
            </w:r>
          </w:p>
        </w:tc>
      </w:tr>
      <w:tr>
        <w:trPr>
          <w:trHeight w:val="247"/>
        </w:trPr>
        <w:tc>
          <w:tcPr>
            <w:tcW w:w="7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24, 2023</w:t>
            </w:r>
          </w:p>
        </w:tc>
        <w:tc>
          <w:tcPr>
            <w:tcW w:w="140" w:type="dxa"/>
            <w:vAlign w:val="bottom"/>
          </w:tcPr>
          <w:p>
            <w:pPr>
              <w:spacing w:after="0"/>
              <w:rPr>
                <w:sz w:val="21"/>
                <w:szCs w:val="21"/>
                <w:color w:val="auto"/>
              </w:rPr>
            </w:pP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24, 2023</w:t>
            </w:r>
          </w:p>
        </w:tc>
      </w:tr>
      <w:tr>
        <w:trPr>
          <w:trHeight w:val="227"/>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80" w:type="dxa"/>
            <w:vAlign w:val="bottom"/>
            <w:tcBorders>
              <w:top w:val="single" w:sz="8" w:color="auto"/>
            </w:tcBorders>
            <w:shd w:val="clear" w:color="auto" w:fill="DBDBDB"/>
          </w:tcPr>
          <w:p>
            <w:pPr>
              <w:spacing w:after="0"/>
              <w:rPr>
                <w:sz w:val="19"/>
                <w:szCs w:val="19"/>
                <w:color w:val="auto"/>
              </w:rPr>
            </w:pPr>
          </w:p>
        </w:tc>
        <w:tc>
          <w:tcPr>
            <w:tcW w:w="18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1860" w:type="dxa"/>
            <w:vAlign w:val="bottom"/>
            <w:tcBorders>
              <w:top w:val="single" w:sz="8" w:color="auto"/>
            </w:tcBorders>
            <w:shd w:val="clear" w:color="auto" w:fill="DBDBDB"/>
          </w:tcPr>
          <w:p>
            <w:pPr>
              <w:spacing w:after="0"/>
              <w:rPr>
                <w:sz w:val="19"/>
                <w:szCs w:val="19"/>
                <w:color w:val="auto"/>
              </w:rPr>
            </w:pPr>
          </w:p>
        </w:tc>
      </w:tr>
      <w:tr>
        <w:trPr>
          <w:trHeight w:val="233"/>
        </w:trPr>
        <w:tc>
          <w:tcPr>
            <w:tcW w:w="7140" w:type="dxa"/>
            <w:vAlign w:val="bottom"/>
          </w:tcPr>
          <w:p>
            <w:pPr>
              <w:ind w:left="140"/>
              <w:spacing w:after="0"/>
              <w:rPr>
                <w:sz w:val="20"/>
                <w:szCs w:val="20"/>
                <w:color w:val="auto"/>
              </w:rPr>
            </w:pPr>
            <w:r>
              <w:rPr>
                <w:rFonts w:ascii="Arial" w:cs="Arial" w:eastAsia="Arial" w:hAnsi="Arial"/>
                <w:sz w:val="16"/>
                <w:szCs w:val="16"/>
                <w:color w:val="auto"/>
              </w:rPr>
              <w:t>Operating cash flows for operating leases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5,909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17,490</w:t>
            </w:r>
          </w:p>
        </w:tc>
      </w:tr>
      <w:tr>
        <w:trPr>
          <w:trHeight w:val="253"/>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assets obtained in exchange for lease liabilities:</w:t>
            </w:r>
          </w:p>
        </w:tc>
        <w:tc>
          <w:tcPr>
            <w:tcW w:w="180" w:type="dxa"/>
            <w:vAlign w:val="bottom"/>
            <w:shd w:val="clear" w:color="auto" w:fill="DBDBDB"/>
          </w:tcPr>
          <w:p>
            <w:pPr>
              <w:spacing w:after="0"/>
              <w:rPr>
                <w:sz w:val="21"/>
                <w:szCs w:val="21"/>
                <w:color w:val="auto"/>
              </w:rPr>
            </w:pPr>
          </w:p>
        </w:tc>
        <w:tc>
          <w:tcPr>
            <w:tcW w:w="18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24"/>
        </w:trPr>
        <w:tc>
          <w:tcPr>
            <w:tcW w:w="714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14,006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29,103</w:t>
            </w: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24, 2023, the maturity analysis of the lease liabilities consisted of the following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20" w:type="dxa"/>
            <w:vAlign w:val="bottom"/>
            <w:gridSpan w:val="2"/>
          </w:tcPr>
          <w:p>
            <w:pPr>
              <w:spacing w:after="0"/>
              <w:rPr>
                <w:sz w:val="20"/>
                <w:szCs w:val="20"/>
                <w:color w:val="auto"/>
              </w:rPr>
            </w:pPr>
            <w:r>
              <w:rPr>
                <w:rFonts w:ascii="Arial" w:cs="Arial" w:eastAsia="Arial" w:hAnsi="Arial"/>
                <w:sz w:val="16"/>
                <w:szCs w:val="16"/>
                <w:b w:val="1"/>
                <w:bCs w:val="1"/>
                <w:color w:val="auto"/>
              </w:rPr>
              <w:t>Year Ending</w:t>
            </w:r>
          </w:p>
        </w:tc>
        <w:tc>
          <w:tcPr>
            <w:tcW w:w="220" w:type="dxa"/>
            <w:vAlign w:val="bottom"/>
          </w:tcPr>
          <w:p>
            <w:pPr>
              <w:spacing w:after="0"/>
              <w:rPr>
                <w:sz w:val="16"/>
                <w:szCs w:val="16"/>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Operating Leases</w:t>
            </w:r>
          </w:p>
        </w:tc>
      </w:tr>
      <w:tr>
        <w:trPr>
          <w:trHeight w:val="34"/>
        </w:trPr>
        <w:tc>
          <w:tcPr>
            <w:tcW w:w="20" w:type="dxa"/>
            <w:vAlign w:val="bottom"/>
            <w:tcBorders>
              <w:bottom w:val="single" w:sz="8" w:color="DBDBDB"/>
            </w:tcBorders>
          </w:tcPr>
          <w:p>
            <w:pPr>
              <w:spacing w:after="0"/>
              <w:rPr>
                <w:sz w:val="2"/>
                <w:szCs w:val="2"/>
                <w:color w:val="auto"/>
              </w:rPr>
            </w:pPr>
          </w:p>
        </w:tc>
        <w:tc>
          <w:tcPr>
            <w:tcW w:w="940" w:type="dxa"/>
            <w:vAlign w:val="bottom"/>
            <w:tcBorders>
              <w:top w:val="single" w:sz="8" w:color="auto"/>
              <w:bottom w:val="single" w:sz="8" w:color="DBDBDB"/>
            </w:tcBorders>
          </w:tcPr>
          <w:p>
            <w:pPr>
              <w:spacing w:after="0"/>
              <w:rPr>
                <w:sz w:val="2"/>
                <w:szCs w:val="2"/>
                <w:color w:val="auto"/>
              </w:rPr>
            </w:pPr>
          </w:p>
        </w:tc>
        <w:tc>
          <w:tcPr>
            <w:tcW w:w="828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DBDBDB"/>
          </w:tcPr>
          <w:p>
            <w:pPr>
              <w:spacing w:after="0"/>
              <w:rPr>
                <w:sz w:val="20"/>
                <w:szCs w:val="20"/>
                <w:color w:val="auto"/>
              </w:rPr>
            </w:pPr>
          </w:p>
        </w:tc>
        <w:tc>
          <w:tcPr>
            <w:tcW w:w="92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2023 (excluding the three quarters ended September 24, 2023)</w:t>
            </w: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6,153</w:t>
            </w:r>
          </w:p>
        </w:tc>
      </w:tr>
      <w:tr>
        <w:trPr>
          <w:trHeight w:val="233"/>
        </w:trPr>
        <w:tc>
          <w:tcPr>
            <w:tcW w:w="96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25,814</w:t>
            </w:r>
          </w:p>
        </w:tc>
      </w:tr>
      <w:tr>
        <w:trPr>
          <w:trHeight w:val="253"/>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82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25,902</w:t>
            </w:r>
          </w:p>
        </w:tc>
      </w:tr>
      <w:tr>
        <w:trPr>
          <w:trHeight w:val="233"/>
        </w:trPr>
        <w:tc>
          <w:tcPr>
            <w:tcW w:w="96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25,986</w:t>
            </w:r>
          </w:p>
        </w:tc>
      </w:tr>
      <w:tr>
        <w:trPr>
          <w:trHeight w:val="253"/>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2027</w:t>
            </w:r>
          </w:p>
        </w:tc>
        <w:tc>
          <w:tcPr>
            <w:tcW w:w="82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25,265</w:t>
            </w:r>
          </w:p>
        </w:tc>
      </w:tr>
      <w:tr>
        <w:trPr>
          <w:trHeight w:val="237"/>
        </w:trPr>
        <w:tc>
          <w:tcPr>
            <w:tcW w:w="20" w:type="dxa"/>
            <w:vAlign w:val="bottom"/>
            <w:tcBorders>
              <w:bottom w:val="single" w:sz="8" w:color="DBDBDB"/>
            </w:tcBorders>
          </w:tcPr>
          <w:p>
            <w:pPr>
              <w:spacing w:after="0"/>
              <w:rPr>
                <w:sz w:val="20"/>
                <w:szCs w:val="20"/>
                <w:color w:val="auto"/>
              </w:rPr>
            </w:pPr>
          </w:p>
        </w:tc>
        <w:tc>
          <w:tcPr>
            <w:tcW w:w="922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626,740</w:t>
            </w:r>
          </w:p>
        </w:tc>
      </w:tr>
      <w:tr>
        <w:trPr>
          <w:trHeight w:val="243"/>
        </w:trPr>
        <w:tc>
          <w:tcPr>
            <w:tcW w:w="20" w:type="dxa"/>
            <w:vAlign w:val="bottom"/>
            <w:shd w:val="clear" w:color="auto" w:fill="DBDBDB"/>
          </w:tcPr>
          <w:p>
            <w:pPr>
              <w:spacing w:after="0"/>
              <w:rPr>
                <w:sz w:val="21"/>
                <w:szCs w:val="21"/>
                <w:color w:val="auto"/>
              </w:rPr>
            </w:pPr>
          </w:p>
        </w:tc>
        <w:tc>
          <w:tcPr>
            <w:tcW w:w="92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735,860</w:t>
            </w:r>
          </w:p>
        </w:tc>
      </w:tr>
      <w:tr>
        <w:trPr>
          <w:trHeight w:val="236"/>
        </w:trPr>
        <w:tc>
          <w:tcPr>
            <w:tcW w:w="20" w:type="dxa"/>
            <w:vAlign w:val="bottom"/>
            <w:tcBorders>
              <w:bottom w:val="single" w:sz="8" w:color="DBDBDB"/>
            </w:tcBorders>
          </w:tcPr>
          <w:p>
            <w:pPr>
              <w:spacing w:after="0"/>
              <w:rPr>
                <w:sz w:val="20"/>
                <w:szCs w:val="20"/>
                <w:color w:val="auto"/>
              </w:rPr>
            </w:pPr>
          </w:p>
        </w:tc>
        <w:tc>
          <w:tcPr>
            <w:tcW w:w="922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color w:val="auto"/>
              </w:rPr>
              <w:t>Less: imputed interest</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(496,113)</w:t>
            </w:r>
          </w:p>
        </w:tc>
      </w:tr>
      <w:tr>
        <w:trPr>
          <w:trHeight w:val="268"/>
        </w:trPr>
        <w:tc>
          <w:tcPr>
            <w:tcW w:w="20" w:type="dxa"/>
            <w:vAlign w:val="bottom"/>
            <w:tcBorders>
              <w:bottom w:val="single" w:sz="8" w:color="DBDBDB"/>
            </w:tcBorders>
            <w:shd w:val="clear" w:color="auto" w:fill="DBDBDB"/>
          </w:tcPr>
          <w:p>
            <w:pPr>
              <w:spacing w:after="0"/>
              <w:rPr>
                <w:sz w:val="22"/>
                <w:szCs w:val="22"/>
                <w:color w:val="auto"/>
              </w:rPr>
            </w:pPr>
          </w:p>
        </w:tc>
        <w:tc>
          <w:tcPr>
            <w:tcW w:w="92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239,747</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tcBorders>
          </w:tcPr>
          <w:p>
            <w:pPr>
              <w:spacing w:after="0" w:line="20" w:lineRule="exact"/>
              <w:rPr>
                <w:sz w:val="1"/>
                <w:szCs w:val="1"/>
                <w:color w:val="auto"/>
              </w:rPr>
            </w:pPr>
          </w:p>
        </w:tc>
        <w:tc>
          <w:tcPr>
            <w:tcW w:w="82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As of September 24, 2023, operating lease payments include $433.5 million related to options to extend lease terms that are reasonably certain of being exercised and exclude $32.2 million of minimum payments for leases signed but not yet commenced.</w:t>
      </w:r>
    </w:p>
    <w:p>
      <w:pPr>
        <w:spacing w:after="0" w:line="183"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10.</w:t>
        <w:tab/>
        <w:t>NON-CONTROLLING INTERESTS</w:t>
      </w:r>
    </w:p>
    <w:p>
      <w:pPr>
        <w:spacing w:after="0" w:line="27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are the sole managing member of Portillo's OpCo, and as a result, consolidate the financial results of Portillo's OpCo. We report a non-controlling interest representing the LLC Units in Portillo's OpCo held by pre -IPO LLC Members. Changes in our ownership interest in Portillo's OpCo while we retain our controlling interest in Portillo's OpCo will be accounted for as equity transactions. As such, future redemptions or direct exchanges of LLC Units in Portillo's OpCo by the pre-IPO LLC members will result in a change in ownership and reduce the amount recorded as non-controlling interest and increase additional paid-in capital.</w:t>
      </w:r>
    </w:p>
    <w:p>
      <w:pPr>
        <w:spacing w:after="0" w:line="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the first and second quarters of 2023, in connection with the Q1 Secondary Offering and Overallotment Option described in Note 1. Description Of Business, 6,350,717 of LLC Units and corresponding shares of Class B common stock were redeemed, respectively, by the pre-IPO LLC Members for newly-issued shares of Class A common stock. We received a total of 6,350,717 newly-issued LLC Units, increasing our total ownership interest in Portillo's OpCo.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LLC interest ownership by Portillo's Inc. and pre-IPO LLC members: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b w:val="1"/>
                <w:bCs w:val="1"/>
                <w:color w:val="auto"/>
              </w:rPr>
              <w:t>September 24, 2023</w:t>
            </w:r>
          </w:p>
        </w:tc>
        <w:tc>
          <w:tcPr>
            <w:tcW w:w="8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December 25, 2022</w:t>
            </w:r>
          </w:p>
        </w:tc>
      </w:tr>
      <w:tr>
        <w:trPr>
          <w:trHeight w:val="236"/>
        </w:trPr>
        <w:tc>
          <w:tcPr>
            <w:tcW w:w="4400" w:type="dxa"/>
            <w:vAlign w:val="bottom"/>
          </w:tcPr>
          <w:p>
            <w:pPr>
              <w:spacing w:after="0"/>
              <w:rPr>
                <w:sz w:val="20"/>
                <w:szCs w:val="20"/>
                <w:color w:val="auto"/>
              </w:rPr>
            </w:pP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LLC Units</w:t>
            </w:r>
          </w:p>
        </w:tc>
        <w:tc>
          <w:tcPr>
            <w:tcW w:w="1800" w:type="dxa"/>
            <w:vAlign w:val="bottom"/>
            <w:gridSpan w:val="2"/>
          </w:tcPr>
          <w:p>
            <w:pPr>
              <w:ind w:left="340"/>
              <w:spacing w:after="0"/>
              <w:rPr>
                <w:sz w:val="20"/>
                <w:szCs w:val="20"/>
                <w:color w:val="auto"/>
              </w:rPr>
            </w:pPr>
            <w:r>
              <w:rPr>
                <w:rFonts w:ascii="Arial" w:cs="Arial" w:eastAsia="Arial" w:hAnsi="Arial"/>
                <w:sz w:val="16"/>
                <w:szCs w:val="16"/>
                <w:b w:val="1"/>
                <w:bCs w:val="1"/>
                <w:color w:val="auto"/>
              </w:rPr>
              <w:t>Ownership %</w:t>
            </w: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LLC Units</w:t>
            </w:r>
          </w:p>
        </w:tc>
        <w:tc>
          <w:tcPr>
            <w:tcW w:w="1720" w:type="dxa"/>
            <w:vAlign w:val="bottom"/>
          </w:tcPr>
          <w:p>
            <w:pPr>
              <w:jc w:val="right"/>
              <w:ind w:right="259"/>
              <w:spacing w:after="0"/>
              <w:rPr>
                <w:sz w:val="20"/>
                <w:szCs w:val="20"/>
                <w:color w:val="auto"/>
              </w:rPr>
            </w:pPr>
            <w:r>
              <w:rPr>
                <w:rFonts w:ascii="Arial" w:cs="Arial" w:eastAsia="Arial" w:hAnsi="Arial"/>
                <w:sz w:val="16"/>
                <w:szCs w:val="16"/>
                <w:b w:val="1"/>
                <w:bCs w:val="1"/>
                <w:color w:val="auto"/>
              </w:rPr>
              <w:t>Ownership %</w:t>
            </w:r>
          </w:p>
        </w:tc>
      </w:tr>
      <w:tr>
        <w:trPr>
          <w:trHeight w:val="240"/>
        </w:trPr>
        <w:tc>
          <w:tcPr>
            <w:tcW w:w="44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Portillo's Inc.</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55,182,141</w:t>
            </w:r>
          </w:p>
        </w:tc>
        <w:tc>
          <w:tcPr>
            <w:tcW w:w="80" w:type="dxa"/>
            <w:vAlign w:val="bottom"/>
            <w:tcBorders>
              <w:top w:val="single" w:sz="8" w:color="DBDBDB"/>
            </w:tcBorders>
            <w:shd w:val="clear" w:color="auto" w:fill="DBDBDB"/>
          </w:tcPr>
          <w:p>
            <w:pPr>
              <w:spacing w:after="0"/>
              <w:rPr>
                <w:sz w:val="20"/>
                <w:szCs w:val="20"/>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76.0 %</w:t>
            </w:r>
          </w:p>
        </w:tc>
        <w:tc>
          <w:tcPr>
            <w:tcW w:w="80" w:type="dxa"/>
            <w:vAlign w:val="bottom"/>
            <w:tcBorders>
              <w:top w:val="single" w:sz="8" w:color="DBDBDB"/>
            </w:tcBorders>
            <w:shd w:val="clear" w:color="auto" w:fill="DBDBDB"/>
          </w:tcPr>
          <w:p>
            <w:pPr>
              <w:spacing w:after="0"/>
              <w:rPr>
                <w:sz w:val="20"/>
                <w:szCs w:val="20"/>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48,420,723</w:t>
            </w:r>
          </w:p>
        </w:tc>
        <w:tc>
          <w:tcPr>
            <w:tcW w:w="80" w:type="dxa"/>
            <w:vAlign w:val="bottom"/>
            <w:tcBorders>
              <w:top w:val="single" w:sz="8" w:color="DBDBDB"/>
            </w:tcBorders>
            <w:shd w:val="clear" w:color="auto" w:fill="DBDBDB"/>
          </w:tcPr>
          <w:p>
            <w:pPr>
              <w:spacing w:after="0"/>
              <w:rPr>
                <w:sz w:val="20"/>
                <w:szCs w:val="20"/>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67.0 %</w:t>
            </w:r>
          </w:p>
        </w:tc>
      </w:tr>
      <w:tr>
        <w:trPr>
          <w:trHeight w:val="236"/>
        </w:trPr>
        <w:tc>
          <w:tcPr>
            <w:tcW w:w="4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pre-IPO LLC Members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17,472,926</w:t>
            </w:r>
          </w:p>
        </w:tc>
        <w:tc>
          <w:tcPr>
            <w:tcW w:w="80" w:type="dxa"/>
            <w:vAlign w:val="bottom"/>
            <w:tcBorders>
              <w:bottom w:val="single" w:sz="8" w:color="DBDBDB"/>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24.0 %</w:t>
            </w:r>
          </w:p>
        </w:tc>
        <w:tc>
          <w:tcPr>
            <w:tcW w:w="80" w:type="dxa"/>
            <w:vAlign w:val="bottom"/>
            <w:tcBorders>
              <w:bottom w:val="single" w:sz="8" w:color="DBDBDB"/>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23,837,162</w:t>
            </w:r>
          </w:p>
        </w:tc>
        <w:tc>
          <w:tcPr>
            <w:tcW w:w="80" w:type="dxa"/>
            <w:vAlign w:val="bottom"/>
            <w:tcBorders>
              <w:bottom w:val="single" w:sz="8" w:color="DBDBDB"/>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33.0 %</w:t>
            </w:r>
          </w:p>
        </w:tc>
      </w:tr>
      <w:tr>
        <w:trPr>
          <w:trHeight w:val="268"/>
        </w:trPr>
        <w:tc>
          <w:tcPr>
            <w:tcW w:w="4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72,655,067</w:t>
            </w:r>
          </w:p>
        </w:tc>
        <w:tc>
          <w:tcPr>
            <w:tcW w:w="80" w:type="dxa"/>
            <w:vAlign w:val="bottom"/>
            <w:tcBorders>
              <w:bottom w:val="single" w:sz="8" w:color="DBDBDB"/>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72,257,885</w:t>
            </w:r>
          </w:p>
        </w:tc>
        <w:tc>
          <w:tcPr>
            <w:tcW w:w="80" w:type="dxa"/>
            <w:vAlign w:val="bottom"/>
            <w:tcBorders>
              <w:bottom w:val="single" w:sz="8" w:color="DBDBDB"/>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4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income to Portillo's Inc. and the pre-IPO LLC Members. The pre-IPO LLC Members' weighted average ownership percentage for the quarter and three quarters ended September 24, 2023 was 24.1% and 26.6%, respectively. The pre-IPO LLC Members' weighted average ownership percentage for the quarter and three quarters ended September 25, 2022 was 45.9% and 48.5%,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effects of changes in ownership in Portillo's OpCo on the Company’s equity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Quarter Ended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Three Quarters Ended</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40" w:type="dxa"/>
            <w:vAlign w:val="bottom"/>
          </w:tcPr>
          <w:p>
            <w:pPr>
              <w:spacing w:after="0"/>
              <w:rPr>
                <w:sz w:val="21"/>
                <w:szCs w:val="21"/>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25, 2022</w:t>
            </w:r>
          </w:p>
        </w:tc>
        <w:tc>
          <w:tcPr>
            <w:tcW w:w="0" w:type="dxa"/>
            <w:vAlign w:val="bottom"/>
          </w:tcPr>
          <w:p>
            <w:pPr>
              <w:spacing w:after="0"/>
              <w:rPr>
                <w:sz w:val="1"/>
                <w:szCs w:val="1"/>
                <w:color w:val="auto"/>
              </w:rPr>
            </w:pPr>
          </w:p>
        </w:tc>
      </w:tr>
      <w:tr>
        <w:trPr>
          <w:trHeight w:val="240"/>
        </w:trPr>
        <w:tc>
          <w:tcPr>
            <w:tcW w:w="45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 attributable to Portillo's Inc.</w:t>
            </w:r>
          </w:p>
        </w:tc>
        <w:tc>
          <w:tcPr>
            <w:tcW w:w="600" w:type="dxa"/>
            <w:vAlign w:val="bottom"/>
            <w:tcBorders>
              <w:top w:val="single" w:sz="8" w:color="auto"/>
            </w:tcBorders>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4,361</w:t>
            </w:r>
          </w:p>
        </w:tc>
        <w:tc>
          <w:tcPr>
            <w:tcW w:w="100" w:type="dxa"/>
            <w:vAlign w:val="bottom"/>
            <w:tcBorders>
              <w:top w:val="single" w:sz="8" w:color="DBDBDB"/>
            </w:tcBorders>
            <w:shd w:val="clear" w:color="auto" w:fill="DBDBDB"/>
          </w:tcPr>
          <w:p>
            <w:pPr>
              <w:spacing w:after="0"/>
              <w:rPr>
                <w:sz w:val="20"/>
                <w:szCs w:val="20"/>
                <w:color w:val="auto"/>
              </w:rPr>
            </w:pPr>
          </w:p>
        </w:tc>
        <w:tc>
          <w:tcPr>
            <w:tcW w:w="760" w:type="dxa"/>
            <w:vAlign w:val="bottom"/>
            <w:tcBorders>
              <w:top w:val="single" w:sz="8" w:color="auto"/>
            </w:tcBorders>
            <w:shd w:val="clear" w:color="auto" w:fill="DBDBDB"/>
          </w:tcPr>
          <w:p>
            <w:pPr>
              <w:jc w:val="right"/>
              <w:ind w:right="5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Borders>
              <w:top w:val="single" w:sz="8" w:color="DBDBDB"/>
            </w:tcBorders>
            <w:shd w:val="clear" w:color="auto" w:fill="DBDBDB"/>
          </w:tcPr>
          <w:p>
            <w:pPr>
              <w:spacing w:after="0"/>
              <w:rPr>
                <w:sz w:val="20"/>
                <w:szCs w:val="20"/>
                <w:color w:val="auto"/>
              </w:rPr>
            </w:pPr>
          </w:p>
        </w:tc>
        <w:tc>
          <w:tcPr>
            <w:tcW w:w="44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10,635</w:t>
            </w:r>
          </w:p>
        </w:tc>
        <w:tc>
          <w:tcPr>
            <w:tcW w:w="100" w:type="dxa"/>
            <w:vAlign w:val="bottom"/>
            <w:tcBorders>
              <w:top w:val="single" w:sz="8" w:color="DBDBDB"/>
            </w:tcBorders>
            <w:shd w:val="clear" w:color="auto" w:fill="DBDBDB"/>
          </w:tcPr>
          <w:p>
            <w:pPr>
              <w:spacing w:after="0"/>
              <w:rPr>
                <w:sz w:val="20"/>
                <w:szCs w:val="20"/>
                <w:color w:val="auto"/>
              </w:rPr>
            </w:pPr>
          </w:p>
        </w:tc>
        <w:tc>
          <w:tcPr>
            <w:tcW w:w="920" w:type="dxa"/>
            <w:vAlign w:val="bottom"/>
            <w:tcBorders>
              <w:top w:val="single" w:sz="8" w:color="auto"/>
            </w:tcBorders>
            <w:shd w:val="clear" w:color="auto" w:fill="DBDBDB"/>
          </w:tcPr>
          <w:p>
            <w:pPr>
              <w:jc w:val="right"/>
              <w:ind w:right="7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6,897</w:t>
            </w:r>
          </w:p>
        </w:tc>
        <w:tc>
          <w:tcPr>
            <w:tcW w:w="0" w:type="dxa"/>
            <w:vAlign w:val="bottom"/>
          </w:tcPr>
          <w:p>
            <w:pPr>
              <w:spacing w:after="0"/>
              <w:rPr>
                <w:sz w:val="1"/>
                <w:szCs w:val="1"/>
                <w:color w:val="auto"/>
              </w:rPr>
            </w:pPr>
          </w:p>
        </w:tc>
      </w:tr>
      <w:tr>
        <w:trPr>
          <w:trHeight w:val="233"/>
        </w:trPr>
        <w:tc>
          <w:tcPr>
            <w:tcW w:w="4540" w:type="dxa"/>
            <w:vAlign w:val="bottom"/>
          </w:tcPr>
          <w:p>
            <w:pPr>
              <w:ind w:left="140"/>
              <w:spacing w:after="0"/>
              <w:rPr>
                <w:sz w:val="20"/>
                <w:szCs w:val="20"/>
                <w:color w:val="auto"/>
              </w:rPr>
            </w:pPr>
            <w:r>
              <w:rPr>
                <w:rFonts w:ascii="Arial" w:cs="Arial" w:eastAsia="Arial" w:hAnsi="Arial"/>
                <w:sz w:val="16"/>
                <w:szCs w:val="16"/>
                <w:color w:val="auto"/>
              </w:rPr>
              <w:t>Activity under equity-based compensation plans</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1,688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53"/>
        </w:trPr>
        <w:tc>
          <w:tcPr>
            <w:tcW w:w="45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Non-controlling interest adjustment</w:t>
            </w:r>
          </w:p>
        </w:tc>
        <w:tc>
          <w:tcPr>
            <w:tcW w:w="600" w:type="dxa"/>
            <w:vAlign w:val="bottom"/>
            <w:shd w:val="clear" w:color="auto" w:fill="DBDBDB"/>
          </w:tcPr>
          <w:p>
            <w:pPr>
              <w:spacing w:after="0"/>
              <w:rPr>
                <w:sz w:val="21"/>
                <w:szCs w:val="2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43,811</w:t>
            </w: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48,063</w:t>
            </w: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44,533</w:t>
            </w:r>
          </w:p>
        </w:tc>
        <w:tc>
          <w:tcPr>
            <w:tcW w:w="0" w:type="dxa"/>
            <w:vAlign w:val="bottom"/>
          </w:tcPr>
          <w:p>
            <w:pPr>
              <w:spacing w:after="0"/>
              <w:rPr>
                <w:sz w:val="1"/>
                <w:szCs w:val="1"/>
                <w:color w:val="auto"/>
              </w:rPr>
            </w:pPr>
          </w:p>
        </w:tc>
      </w:tr>
      <w:tr>
        <w:trPr>
          <w:trHeight w:val="233"/>
        </w:trPr>
        <w:tc>
          <w:tcPr>
            <w:tcW w:w="4540" w:type="dxa"/>
            <w:vAlign w:val="bottom"/>
          </w:tcPr>
          <w:p>
            <w:pPr>
              <w:ind w:left="140"/>
              <w:spacing w:after="0"/>
              <w:rPr>
                <w:sz w:val="20"/>
                <w:szCs w:val="20"/>
                <w:color w:val="auto"/>
              </w:rPr>
            </w:pPr>
            <w:r>
              <w:rPr>
                <w:rFonts w:ascii="Arial" w:cs="Arial" w:eastAsia="Arial" w:hAnsi="Arial"/>
                <w:sz w:val="16"/>
                <w:szCs w:val="16"/>
                <w:color w:val="auto"/>
              </w:rPr>
              <w:t>Redemption of LLC Units</w:t>
            </w:r>
          </w:p>
        </w:tc>
        <w:tc>
          <w:tcPr>
            <w:tcW w:w="6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45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Establishment of liabilities under Tax Receivable Agreement</w:t>
            </w:r>
          </w:p>
        </w:tc>
        <w:tc>
          <w:tcPr>
            <w:tcW w:w="60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2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and related changes to deferred tax assets associated with</w:t>
            </w:r>
          </w:p>
        </w:tc>
        <w:tc>
          <w:tcPr>
            <w:tcW w:w="6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increases in tax basis</w:t>
            </w:r>
          </w:p>
        </w:tc>
        <w:tc>
          <w:tcPr>
            <w:tcW w:w="600" w:type="dxa"/>
            <w:vAlign w:val="bottom"/>
            <w:shd w:val="clear" w:color="auto" w:fill="DBDBDB"/>
          </w:tcPr>
          <w:p>
            <w:pPr>
              <w:spacing w:after="0"/>
              <w:rPr>
                <w:sz w:val="19"/>
                <w:szCs w:val="19"/>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spacing w:after="0"/>
              <w:rPr>
                <w:sz w:val="19"/>
                <w:szCs w:val="19"/>
                <w:color w:val="auto"/>
              </w:rPr>
            </w:pPr>
          </w:p>
        </w:tc>
        <w:tc>
          <w:tcPr>
            <w:tcW w:w="9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(13,682)</w:t>
            </w:r>
          </w:p>
        </w:tc>
        <w:tc>
          <w:tcPr>
            <w:tcW w:w="1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4540" w:type="dxa"/>
            <w:vAlign w:val="bottom"/>
          </w:tcPr>
          <w:p>
            <w:pPr>
              <w:ind w:left="20"/>
              <w:spacing w:after="0"/>
              <w:rPr>
                <w:sz w:val="20"/>
                <w:szCs w:val="20"/>
                <w:color w:val="auto"/>
              </w:rPr>
            </w:pPr>
            <w:r>
              <w:rPr>
                <w:rFonts w:ascii="Arial" w:cs="Arial" w:eastAsia="Arial" w:hAnsi="Arial"/>
                <w:sz w:val="16"/>
                <w:szCs w:val="16"/>
                <w:color w:val="auto"/>
              </w:rPr>
              <w:t>Total effect of changes in ownership interest on equity</w:t>
            </w:r>
          </w:p>
        </w:tc>
        <w:tc>
          <w:tcPr>
            <w:tcW w:w="60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4,979</w:t>
            </w:r>
          </w:p>
        </w:tc>
        <w:tc>
          <w:tcPr>
            <w:tcW w:w="100" w:type="dxa"/>
            <w:vAlign w:val="bottom"/>
          </w:tcPr>
          <w:p>
            <w:pPr>
              <w:spacing w:after="0"/>
              <w:rPr>
                <w:sz w:val="16"/>
                <w:szCs w:val="16"/>
                <w:color w:val="auto"/>
              </w:rPr>
            </w:pPr>
          </w:p>
        </w:tc>
        <w:tc>
          <w:tcPr>
            <w:tcW w:w="760" w:type="dxa"/>
            <w:vAlign w:val="bottom"/>
            <w:tcBorders>
              <w:top w:val="single" w:sz="8" w:color="auto"/>
            </w:tcBorders>
            <w:vMerge w:val="restart"/>
          </w:tcPr>
          <w:p>
            <w:pPr>
              <w:jc w:val="right"/>
              <w:ind w:right="5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45,615</w:t>
            </w:r>
          </w:p>
        </w:tc>
        <w:tc>
          <w:tcPr>
            <w:tcW w:w="100" w:type="dxa"/>
            <w:vAlign w:val="bottom"/>
          </w:tcPr>
          <w:p>
            <w:pPr>
              <w:spacing w:after="0"/>
              <w:rPr>
                <w:sz w:val="16"/>
                <w:szCs w:val="16"/>
                <w:color w:val="auto"/>
              </w:rPr>
            </w:pPr>
          </w:p>
        </w:tc>
        <w:tc>
          <w:tcPr>
            <w:tcW w:w="44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46,640</w:t>
            </w:r>
          </w:p>
        </w:tc>
        <w:tc>
          <w:tcPr>
            <w:tcW w:w="100" w:type="dxa"/>
            <w:vAlign w:val="bottom"/>
          </w:tcPr>
          <w:p>
            <w:pPr>
              <w:spacing w:after="0"/>
              <w:rPr>
                <w:sz w:val="16"/>
                <w:szCs w:val="16"/>
                <w:color w:val="auto"/>
              </w:rPr>
            </w:pPr>
          </w:p>
        </w:tc>
        <w:tc>
          <w:tcPr>
            <w:tcW w:w="92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53,089</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attributable to Portillo's Inc.</w:t>
            </w:r>
          </w:p>
        </w:tc>
        <w:tc>
          <w:tcPr>
            <w:tcW w:w="6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11.</w:t>
      </w:r>
      <w:r>
        <w:rPr>
          <w:sz w:val="20"/>
          <w:szCs w:val="20"/>
          <w:color w:val="auto"/>
        </w:rPr>
        <w:tab/>
      </w:r>
      <w:r>
        <w:rPr>
          <w:rFonts w:ascii="Arial" w:cs="Arial" w:eastAsia="Arial" w:hAnsi="Arial"/>
          <w:sz w:val="24"/>
          <w:szCs w:val="24"/>
          <w:b w:val="1"/>
          <w:bCs w:val="1"/>
          <w:color w:val="414042"/>
        </w:rPr>
        <w:t>EQUITY-BASED COMPENSATION</w:t>
      </w:r>
    </w:p>
    <w:p>
      <w:pPr>
        <w:spacing w:after="0" w:line="13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Equity-based compensation expense is calculated based on equity awards ultimately expected to vest and is reduced for estimated forfeitures. Forfeitures are revised, if necessary, in subsequent periods if actual forfeitures differ from those estimates and an adjustment to equity-based compensation expense will be recognized at that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Equity-based compensation expense included in the Company’s consolidated statements of operations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2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Quarter Ended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Three Quarters Ended</w:t>
            </w:r>
          </w:p>
        </w:tc>
        <w:tc>
          <w:tcPr>
            <w:tcW w:w="680" w:type="dxa"/>
            <w:vAlign w:val="bottom"/>
          </w:tcPr>
          <w:p>
            <w:pPr>
              <w:spacing w:after="0"/>
              <w:rPr>
                <w:sz w:val="19"/>
                <w:szCs w:val="19"/>
                <w:color w:val="auto"/>
              </w:rPr>
            </w:pPr>
          </w:p>
        </w:tc>
      </w:tr>
      <w:tr>
        <w:trPr>
          <w:trHeight w:val="247"/>
        </w:trPr>
        <w:tc>
          <w:tcPr>
            <w:tcW w:w="4540" w:type="dxa"/>
            <w:vAlign w:val="bottom"/>
          </w:tcPr>
          <w:p>
            <w:pPr>
              <w:spacing w:after="0"/>
              <w:rPr>
                <w:sz w:val="21"/>
                <w:szCs w:val="21"/>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25, 2022</w:t>
            </w:r>
          </w:p>
        </w:tc>
      </w:tr>
      <w:tr>
        <w:trPr>
          <w:trHeight w:val="240"/>
        </w:trPr>
        <w:tc>
          <w:tcPr>
            <w:tcW w:w="45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Labor</w:t>
            </w:r>
          </w:p>
        </w:tc>
        <w:tc>
          <w:tcPr>
            <w:tcW w:w="600" w:type="dxa"/>
            <w:vAlign w:val="bottom"/>
            <w:tcBorders>
              <w:top w:val="single" w:sz="8" w:color="auto"/>
            </w:tcBorders>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top w:val="single" w:sz="8" w:color="DBDBDB"/>
            </w:tcBorders>
            <w:shd w:val="clear" w:color="auto" w:fill="DBDBDB"/>
          </w:tcPr>
          <w:p>
            <w:pPr>
              <w:spacing w:after="0"/>
              <w:rPr>
                <w:sz w:val="20"/>
                <w:szCs w:val="20"/>
                <w:color w:val="auto"/>
              </w:rPr>
            </w:pPr>
          </w:p>
        </w:tc>
        <w:tc>
          <w:tcPr>
            <w:tcW w:w="820" w:type="dxa"/>
            <w:vAlign w:val="bottom"/>
            <w:tcBorders>
              <w:top w:val="single" w:sz="8" w:color="auto"/>
            </w:tcBorders>
            <w:shd w:val="clear" w:color="auto" w:fill="DBDBDB"/>
          </w:tcPr>
          <w:p>
            <w:pPr>
              <w:jc w:val="right"/>
              <w:ind w:right="6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DBDBDB"/>
            </w:tcBorders>
            <w:shd w:val="clear" w:color="auto" w:fill="DBDBDB"/>
          </w:tcPr>
          <w:p>
            <w:pPr>
              <w:spacing w:after="0"/>
              <w:rPr>
                <w:sz w:val="20"/>
                <w:szCs w:val="20"/>
                <w:color w:val="auto"/>
              </w:rPr>
            </w:pPr>
          </w:p>
        </w:tc>
        <w:tc>
          <w:tcPr>
            <w:tcW w:w="44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Borders>
              <w:top w:val="single" w:sz="8" w:color="DBDBDB"/>
            </w:tcBorders>
            <w:shd w:val="clear" w:color="auto" w:fill="DBDBDB"/>
          </w:tcPr>
          <w:p>
            <w:pPr>
              <w:spacing w:after="0"/>
              <w:rPr>
                <w:sz w:val="20"/>
                <w:szCs w:val="20"/>
                <w:color w:val="auto"/>
              </w:rPr>
            </w:pPr>
          </w:p>
        </w:tc>
        <w:tc>
          <w:tcPr>
            <w:tcW w:w="920" w:type="dxa"/>
            <w:vAlign w:val="bottom"/>
            <w:tcBorders>
              <w:top w:val="single" w:sz="8" w:color="auto"/>
            </w:tcBorders>
            <w:shd w:val="clear" w:color="auto" w:fill="DBDBDB"/>
          </w:tcPr>
          <w:p>
            <w:pPr>
              <w:jc w:val="right"/>
              <w:ind w:right="7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1,020</w:t>
            </w:r>
          </w:p>
        </w:tc>
      </w:tr>
      <w:tr>
        <w:trPr>
          <w:trHeight w:val="237"/>
        </w:trPr>
        <w:tc>
          <w:tcPr>
            <w:tcW w:w="45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General and administrative expenses</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3,945</w:t>
            </w:r>
          </w:p>
        </w:tc>
        <w:tc>
          <w:tcPr>
            <w:tcW w:w="100" w:type="dxa"/>
            <w:vAlign w:val="bottom"/>
            <w:tcBorders>
              <w:bottom w:val="single" w:sz="8" w:color="DBDBDB"/>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w:t>
            </w:r>
          </w:p>
        </w:tc>
        <w:tc>
          <w:tcPr>
            <w:tcW w:w="100" w:type="dxa"/>
            <w:vAlign w:val="bottom"/>
            <w:tcBorders>
              <w:bottom w:val="single" w:sz="8" w:color="DBDBDB"/>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10,880</w:t>
            </w:r>
          </w:p>
        </w:tc>
        <w:tc>
          <w:tcPr>
            <w:tcW w:w="100" w:type="dxa"/>
            <w:vAlign w:val="bottom"/>
            <w:tcBorders>
              <w:bottom w:val="single" w:sz="8" w:color="DBDBDB"/>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10,327</w:t>
            </w:r>
          </w:p>
        </w:tc>
      </w:tr>
      <w:tr>
        <w:trPr>
          <w:trHeight w:val="268"/>
        </w:trPr>
        <w:tc>
          <w:tcPr>
            <w:tcW w:w="4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equity-based compensation expense</w:t>
            </w:r>
          </w:p>
        </w:tc>
        <w:tc>
          <w:tcPr>
            <w:tcW w:w="600" w:type="dxa"/>
            <w:vAlign w:val="bottom"/>
            <w:tcBorders>
              <w:bottom w:val="single" w:sz="8" w:color="auto"/>
            </w:tcBorders>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4,324</w:t>
            </w:r>
          </w:p>
        </w:tc>
        <w:tc>
          <w:tcPr>
            <w:tcW w:w="100" w:type="dxa"/>
            <w:vAlign w:val="bottom"/>
            <w:tcBorders>
              <w:bottom w:val="single" w:sz="8" w:color="DBDBDB"/>
            </w:tcBorders>
            <w:shd w:val="clear" w:color="auto" w:fill="DBDBDB"/>
          </w:tcPr>
          <w:p>
            <w:pPr>
              <w:spacing w:after="0"/>
              <w:rPr>
                <w:sz w:val="22"/>
                <w:szCs w:val="22"/>
                <w:color w:val="auto"/>
              </w:rPr>
            </w:pPr>
          </w:p>
        </w:tc>
        <w:tc>
          <w:tcPr>
            <w:tcW w:w="820" w:type="dxa"/>
            <w:vAlign w:val="bottom"/>
            <w:tcBorders>
              <w:bottom w:val="single" w:sz="8" w:color="auto"/>
            </w:tcBorders>
            <w:shd w:val="clear" w:color="auto" w:fill="DBDBDB"/>
          </w:tcPr>
          <w:p>
            <w:pPr>
              <w:jc w:val="right"/>
              <w:ind w:right="6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3,698</w:t>
            </w:r>
          </w:p>
        </w:tc>
        <w:tc>
          <w:tcPr>
            <w:tcW w:w="100" w:type="dxa"/>
            <w:vAlign w:val="bottom"/>
            <w:tcBorders>
              <w:bottom w:val="single" w:sz="8" w:color="DBDBDB"/>
            </w:tcBorders>
            <w:shd w:val="clear" w:color="auto" w:fill="DBDBDB"/>
          </w:tcPr>
          <w:p>
            <w:pPr>
              <w:spacing w:after="0"/>
              <w:rPr>
                <w:sz w:val="22"/>
                <w:szCs w:val="22"/>
                <w:color w:val="auto"/>
              </w:rPr>
            </w:pPr>
          </w:p>
        </w:tc>
        <w:tc>
          <w:tcPr>
            <w:tcW w:w="44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12,044</w:t>
            </w:r>
          </w:p>
        </w:tc>
        <w:tc>
          <w:tcPr>
            <w:tcW w:w="100" w:type="dxa"/>
            <w:vAlign w:val="bottom"/>
            <w:tcBorders>
              <w:bottom w:val="single" w:sz="8" w:color="DBDBDB"/>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ind w:right="7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11,347</w:t>
            </w:r>
          </w:p>
        </w:tc>
      </w:tr>
      <w:tr>
        <w:trPr>
          <w:trHeight w:val="20"/>
        </w:trPr>
        <w:tc>
          <w:tcPr>
            <w:tcW w:w="454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the quarter ended September 24, 2023, we granted 10,376 restricted stock units (“RSUs”) under the Portillo's Inc. 2021 Equity Incentive Plan (the "2021 Plan") to certain employees. During the three quarters ended September 24, 2023, under the 2021 Plan, we granted 247,188 RSUs to certain employees and 56,488 RSUs to directors. The weighted average fair value of these awards was determined using the Company's closing stock price on the applicable grant dates, which was $20.51. The RSUs granted to employees will vest one-third on each of the first three anniversaries of the date of grant subject to continued service on such date. The RSUs granted to non-employee directors will vest at the end of this fiscal year.</w:t>
      </w:r>
    </w:p>
    <w:p>
      <w:pPr>
        <w:spacing w:after="0" w:line="21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quarter ended September 24, 2023, we also granted 52,173 performance stock options (PSOs) under the 2021 Equity Incentive Plan to a certain executive officer. The grant date fair value of these awards of $2.30 was determined using a Monte Carlo simulation model. The awards are eligible to vest in three (3) tranches based on stock performance conditions: (i) one-third (1/3rd) of the PSOs will vest on the third anniversary of the IPO if the 20-day volume-weighted average price ("VWAP") for a share of common stock is $30.00 per share (1.5 times the IPO price) measured over any twenty (20) consecutive trading day period commencing on the second anniversary of the IPO and ending on the last trading day immediately preceding the third anniversary IPO; (ii) one-third (1/3rd) of the PSOs will vest on the fourth anniversary of the IPO if the 20-day VWAP for a share of common stock is $40.00 per share (2 times the IPO price) measured over any twenty (20) consecutive trading day period commencing on the third anniversary of the IPO and ending on the last trading day immediately preceding the fourth anniversary of the IPO; and (iii) one-third (1/3rd) of the PSOs will vest on the fifth anniversary of the IPO if the 20-day VWAP for a share of common stock is $50.00 per share (2.5 times the IPO price) measured over any twenty (20) consecutive trading day period commencing on the fourth anniversary of the IPO and ending on the last trading day immediately preceding the fifth anniversary of the IPO. All PSOs are subject to continued service on the vesting date of each tranche date and if any tranches fail to vest, the unvested portion of such PSOs will be forfeited and will not be eligible to vest in subsequent years. Once vested, the PSOs are exercisable within a 10-year period from the date of grant.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Employee Stock Purchase Plan</w:t>
      </w:r>
    </w:p>
    <w:p>
      <w:pPr>
        <w:spacing w:after="0" w:line="2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quarter and three quarters ended September 24, 2023, the Company issued 6,196 and 21,210 shares, respectively, under the Employee Stock Purchase Plan ("ESPP"). The shares issued under the ESPP are net of shares withheld for taxes. At September 24, 2023, 220,782 shares remained available for issuance under the ESPP. The expense incurred under the ESPP was immaterial for the quarter and three quarters ended September 24, 2023 and is included within general and administrative expenses and labor in the condensed consolidated statements of operations.</w:t>
      </w:r>
    </w:p>
    <w:p>
      <w:pPr>
        <w:spacing w:after="0" w:line="201"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12.</w:t>
      </w:r>
      <w:r>
        <w:rPr>
          <w:sz w:val="20"/>
          <w:szCs w:val="20"/>
          <w:color w:val="auto"/>
        </w:rPr>
        <w:tab/>
      </w:r>
      <w:r>
        <w:rPr>
          <w:rFonts w:ascii="Arial" w:cs="Arial" w:eastAsia="Arial" w:hAnsi="Arial"/>
          <w:sz w:val="24"/>
          <w:szCs w:val="24"/>
          <w:b w:val="1"/>
          <w:bCs w:val="1"/>
          <w:color w:val="414042"/>
        </w:rPr>
        <w:t>INCOME TAXES</w:t>
      </w:r>
    </w:p>
    <w:p>
      <w:pPr>
        <w:spacing w:after="0" w:line="2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the sole managing member of Portillo's OpCo, and as a result, consolidate the financial results of Portillo's OpCo. Portillo's OpCo is treated as a partnership for U.S. federal and most applicable state and local income tax purposes. As a partnership, Portillo's OpCo is not subject to U.S. federal and state and local income taxes in the majority of states in which it operates. Any taxable income or loss generated by Portillo's OpCo is passed through to and included in the taxable income or loss of its members, including us, based upon the respective member's ownership percentage in Portillo's OpCo. We are subject to U.S. federal income taxes, in addition to state and local income taxes with respect to our allocable share of any taxable income or loss of Portillo's OpCo, as well as any stand-alone income or loss generated by Portillo's Inc.</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w:t>
      </w:r>
    </w:p>
    <w:p>
      <w:pPr>
        <w:spacing w:after="0" w:line="2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effective income tax rate for the quarter and three quarters ended September 24, 2023 was 28.6% and 19.2%, and 23.9% and 19.5% for the quarter and three quarters ended September 25, 2022, respectively. The increase in our effective income tax rate for the quarter ended September 24, 2023 compared to the quarter ended September 25, 2022 was primarily driven by an increase in the Company's ownership interest in Portillo's OpCo, which increases its share of taxable income (loss) of Portillo's OpCo. The decrease in our effective income tax rate for the three quarters ended September 24, 2023 compared to the three quarters ended September 25, 2022 was primarily driven by the recording of net operating loss carryforwards. The Company’s annual effective tax rate differs from the statutory rate of 21% primarily because the Company is not liable for federal or state income taxes on the portion of Portillo's OpCo’s earnings that are attributable to non-controlling interests, deferred tax adjustments and impacts from equity-based award activity.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evaluate the realizability of our deferred tax assets on a quarterly basis and establish valuation allowances when it is more likely than not that all or a portion of a deferred tax asset may not be realized. As of September 24, 2023, the Company concluded, based on the weight of all available positive and negative evidence, that all of its deferred tax assets (except for those deferred tax assets relating to the basis difference in its investment in Portillo's OpCo that will never be realizable or only reverse upon the eventual sale of its interest in Portillo's OpCo, which we expect would result in a capital loss which we do not expect to be able to utilize) are more likely than not to be realized.</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7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the first and second quarters of 2023, in connection with the Q1 Secondary Offering and Overallotment Option previously discussed in Note 1. Description Of Business, 6,350,717 LLC Units were redeemed by the pre-IPO LLC Members for newly-issued shares of Class A common stock. As a result, an increase in the tax basis of net assets of Portillo's OpCo subject to the provisions of the Tax Receivable Agreement (the "Tax Receivable Agreement" or "TRA") was recorded. The Company recorded a deferred tax asset of $ 37.5 million and an additional TRA liability of $51.2 million. As of September 24, 2023, we estimated that our obligation for future payments under the TRA liability totaled $ 301.5 million. The Company made payments of $0.8 million under the TRA during the three quarters ended September 24, 2023 relating to tax year 2021. There were no amounts paid under the TRA during the quarter ended September 24, 2023 and the quarter and three quarters ended September 25, 2022. We expect a payment of $6.5 million relating to tax year 2022 to be paid within the next 12 months.</w:t>
      </w:r>
    </w:p>
    <w:p>
      <w:pPr>
        <w:spacing w:after="0" w:line="206"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13.</w:t>
        <w:tab/>
        <w:t>EARNINGS PER SHARE</w:t>
      </w:r>
    </w:p>
    <w:p>
      <w:pPr>
        <w:spacing w:after="0" w:line="27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Basic net earnings per share of Class A common stock is computed by dividing net income attributable to Portillo's Inc. by the weighted-average number of Class A common stock outstanding.</w:t>
      </w:r>
    </w:p>
    <w:p>
      <w:pPr>
        <w:spacing w:after="0" w:line="20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Diluted net earnings per share is computed by dividing net income attributable to Portillo's Inc. by the weighted-average number of dilutive securities, using the treasury stock method.</w:t>
      </w:r>
    </w:p>
    <w:p>
      <w:pPr>
        <w:spacing w:after="0" w:line="20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computations of basic and diluted earnings per share for the quarters and three quarters ended September 24, 2023 and September 25, 2022 are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0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Quarter Ended</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Three Quarters Ended</w:t>
            </w:r>
          </w:p>
        </w:tc>
        <w:tc>
          <w:tcPr>
            <w:tcW w:w="680" w:type="dxa"/>
            <w:vAlign w:val="bottom"/>
          </w:tcPr>
          <w:p>
            <w:pPr>
              <w:spacing w:after="0"/>
              <w:rPr>
                <w:sz w:val="19"/>
                <w:szCs w:val="19"/>
                <w:color w:val="auto"/>
              </w:rPr>
            </w:pPr>
          </w:p>
        </w:tc>
      </w:tr>
      <w:tr>
        <w:trPr>
          <w:trHeight w:val="247"/>
        </w:trPr>
        <w:tc>
          <w:tcPr>
            <w:tcW w:w="4540" w:type="dxa"/>
            <w:vAlign w:val="bottom"/>
          </w:tcPr>
          <w:p>
            <w:pPr>
              <w:spacing w:after="0"/>
              <w:rPr>
                <w:sz w:val="21"/>
                <w:szCs w:val="21"/>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25, 2022</w:t>
            </w:r>
          </w:p>
        </w:tc>
      </w:tr>
      <w:tr>
        <w:trPr>
          <w:trHeight w:val="240"/>
        </w:trPr>
        <w:tc>
          <w:tcPr>
            <w:tcW w:w="45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560" w:type="dxa"/>
            <w:vAlign w:val="bottom"/>
            <w:tcBorders>
              <w:top w:val="single" w:sz="8" w:color="auto"/>
            </w:tcBorders>
            <w:shd w:val="clear" w:color="auto" w:fill="DBDBDB"/>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6,546</w:t>
            </w:r>
          </w:p>
        </w:tc>
        <w:tc>
          <w:tcPr>
            <w:tcW w:w="100" w:type="dxa"/>
            <w:vAlign w:val="bottom"/>
            <w:tcBorders>
              <w:top w:val="single" w:sz="8" w:color="DBDBDB"/>
            </w:tcBorders>
            <w:shd w:val="clear" w:color="auto" w:fill="DBDBDB"/>
          </w:tcPr>
          <w:p>
            <w:pPr>
              <w:spacing w:after="0"/>
              <w:rPr>
                <w:sz w:val="20"/>
                <w:szCs w:val="20"/>
                <w:color w:val="auto"/>
              </w:rPr>
            </w:pPr>
          </w:p>
        </w:tc>
        <w:tc>
          <w:tcPr>
            <w:tcW w:w="760" w:type="dxa"/>
            <w:vAlign w:val="bottom"/>
            <w:tcBorders>
              <w:top w:val="single" w:sz="8" w:color="auto"/>
            </w:tcBorders>
            <w:shd w:val="clear" w:color="auto" w:fill="DBDBDB"/>
          </w:tcPr>
          <w:p>
            <w:pPr>
              <w:jc w:val="right"/>
              <w:ind w:right="5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3,198</w:t>
            </w:r>
          </w:p>
        </w:tc>
        <w:tc>
          <w:tcPr>
            <w:tcW w:w="100" w:type="dxa"/>
            <w:vAlign w:val="bottom"/>
            <w:tcBorders>
              <w:top w:val="single" w:sz="8" w:color="DBDBDB"/>
            </w:tcBorders>
            <w:shd w:val="clear" w:color="auto" w:fill="DBDBDB"/>
          </w:tcPr>
          <w:p>
            <w:pPr>
              <w:spacing w:after="0"/>
              <w:rPr>
                <w:sz w:val="20"/>
                <w:szCs w:val="20"/>
                <w:color w:val="auto"/>
              </w:rPr>
            </w:pPr>
          </w:p>
        </w:tc>
        <w:tc>
          <w:tcPr>
            <w:tcW w:w="44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15,171</w:t>
            </w:r>
          </w:p>
        </w:tc>
        <w:tc>
          <w:tcPr>
            <w:tcW w:w="100" w:type="dxa"/>
            <w:vAlign w:val="bottom"/>
            <w:tcBorders>
              <w:top w:val="single" w:sz="8" w:color="DBDBDB"/>
            </w:tcBorders>
            <w:shd w:val="clear" w:color="auto" w:fill="DBDBDB"/>
          </w:tcPr>
          <w:p>
            <w:pPr>
              <w:spacing w:after="0"/>
              <w:rPr>
                <w:sz w:val="20"/>
                <w:szCs w:val="20"/>
                <w:color w:val="auto"/>
              </w:rPr>
            </w:pPr>
          </w:p>
        </w:tc>
        <w:tc>
          <w:tcPr>
            <w:tcW w:w="920" w:type="dxa"/>
            <w:vAlign w:val="bottom"/>
            <w:tcBorders>
              <w:top w:val="single" w:sz="8" w:color="auto"/>
            </w:tcBorders>
            <w:shd w:val="clear" w:color="auto" w:fill="DBDBDB"/>
          </w:tcPr>
          <w:p>
            <w:pPr>
              <w:jc w:val="right"/>
              <w:ind w:right="7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14,504</w:t>
            </w:r>
          </w:p>
        </w:tc>
      </w:tr>
      <w:tr>
        <w:trPr>
          <w:trHeight w:val="237"/>
        </w:trPr>
        <w:tc>
          <w:tcPr>
            <w:tcW w:w="45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w:t>
            </w:r>
          </w:p>
        </w:tc>
        <w:tc>
          <w:tcPr>
            <w:tcW w:w="100" w:type="dxa"/>
            <w:vAlign w:val="bottom"/>
            <w:tcBorders>
              <w:bottom w:val="single" w:sz="8" w:color="DBDBDB"/>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w:t>
            </w:r>
          </w:p>
        </w:tc>
        <w:tc>
          <w:tcPr>
            <w:tcW w:w="100" w:type="dxa"/>
            <w:vAlign w:val="bottom"/>
            <w:tcBorders>
              <w:bottom w:val="single" w:sz="8" w:color="DBDBDB"/>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4,536</w:t>
            </w:r>
          </w:p>
        </w:tc>
        <w:tc>
          <w:tcPr>
            <w:tcW w:w="100" w:type="dxa"/>
            <w:vAlign w:val="bottom"/>
            <w:tcBorders>
              <w:bottom w:val="single" w:sz="8" w:color="DBDBDB"/>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7,607</w:t>
            </w:r>
          </w:p>
        </w:tc>
      </w:tr>
      <w:tr>
        <w:trPr>
          <w:trHeight w:val="268"/>
        </w:trPr>
        <w:tc>
          <w:tcPr>
            <w:tcW w:w="4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 attributable to Portillo's Inc.</w:t>
            </w:r>
          </w:p>
        </w:tc>
        <w:tc>
          <w:tcPr>
            <w:tcW w:w="560" w:type="dxa"/>
            <w:vAlign w:val="bottom"/>
            <w:tcBorders>
              <w:bottom w:val="single" w:sz="8" w:color="auto"/>
            </w:tcBorders>
            <w:shd w:val="clear" w:color="auto" w:fill="DBDBDB"/>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4,361</w:t>
            </w:r>
          </w:p>
        </w:tc>
        <w:tc>
          <w:tcPr>
            <w:tcW w:w="100" w:type="dxa"/>
            <w:vAlign w:val="bottom"/>
            <w:tcBorders>
              <w:bottom w:val="single" w:sz="8" w:color="DBDBDB"/>
            </w:tcBorders>
            <w:shd w:val="clear" w:color="auto" w:fill="DBDBDB"/>
          </w:tcPr>
          <w:p>
            <w:pPr>
              <w:spacing w:after="0"/>
              <w:rPr>
                <w:sz w:val="22"/>
                <w:szCs w:val="22"/>
                <w:color w:val="auto"/>
              </w:rPr>
            </w:pPr>
          </w:p>
        </w:tc>
        <w:tc>
          <w:tcPr>
            <w:tcW w:w="760" w:type="dxa"/>
            <w:vAlign w:val="bottom"/>
            <w:tcBorders>
              <w:bottom w:val="single" w:sz="8" w:color="auto"/>
            </w:tcBorders>
            <w:shd w:val="clear" w:color="auto" w:fill="DBDBDB"/>
          </w:tcPr>
          <w:p>
            <w:pPr>
              <w:jc w:val="right"/>
              <w:ind w:right="5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Borders>
              <w:bottom w:val="single" w:sz="8" w:color="DBDBDB"/>
            </w:tcBorders>
            <w:shd w:val="clear" w:color="auto" w:fill="DBDBDB"/>
          </w:tcPr>
          <w:p>
            <w:pPr>
              <w:spacing w:after="0"/>
              <w:rPr>
                <w:sz w:val="22"/>
                <w:szCs w:val="22"/>
                <w:color w:val="auto"/>
              </w:rPr>
            </w:pPr>
          </w:p>
        </w:tc>
        <w:tc>
          <w:tcPr>
            <w:tcW w:w="44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10,635</w:t>
            </w:r>
          </w:p>
        </w:tc>
        <w:tc>
          <w:tcPr>
            <w:tcW w:w="100" w:type="dxa"/>
            <w:vAlign w:val="bottom"/>
            <w:tcBorders>
              <w:bottom w:val="single" w:sz="8" w:color="DBDBDB"/>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ind w:right="7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6,897</w:t>
            </w:r>
          </w:p>
        </w:tc>
      </w:tr>
      <w:tr>
        <w:trPr>
          <w:trHeight w:val="20"/>
        </w:trPr>
        <w:tc>
          <w:tcPr>
            <w:tcW w:w="454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3"/>
        </w:trPr>
        <w:tc>
          <w:tcPr>
            <w:tcW w:w="4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w:t>
            </w:r>
          </w:p>
        </w:tc>
        <w:tc>
          <w:tcPr>
            <w:tcW w:w="56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680" w:type="dxa"/>
            <w:vAlign w:val="bottom"/>
            <w:shd w:val="clear" w:color="auto" w:fill="DBDBDB"/>
          </w:tcPr>
          <w:p>
            <w:pPr>
              <w:spacing w:after="0"/>
              <w:rPr>
                <w:sz w:val="21"/>
                <w:szCs w:val="21"/>
                <w:color w:val="auto"/>
              </w:rPr>
            </w:pPr>
          </w:p>
        </w:tc>
      </w:tr>
      <w:tr>
        <w:trPr>
          <w:trHeight w:val="206"/>
        </w:trPr>
        <w:tc>
          <w:tcPr>
            <w:tcW w:w="454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6"/>
                <w:szCs w:val="16"/>
                <w:color w:val="auto"/>
              </w:rPr>
              <w:t>basic</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55,127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53,231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36,899</w:t>
            </w:r>
          </w:p>
        </w:tc>
      </w:tr>
      <w:tr>
        <w:trPr>
          <w:trHeight w:val="253"/>
        </w:trPr>
        <w:tc>
          <w:tcPr>
            <w:tcW w:w="4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share awards</w:t>
            </w:r>
          </w:p>
        </w:tc>
        <w:tc>
          <w:tcPr>
            <w:tcW w:w="56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3,641</w:t>
            </w:r>
          </w:p>
        </w:tc>
        <w:tc>
          <w:tcPr>
            <w:tcW w:w="1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3,726</w:t>
            </w: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3,583</w:t>
            </w: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3,887</w:t>
            </w:r>
          </w:p>
        </w:tc>
      </w:tr>
      <w:tr>
        <w:trPr>
          <w:trHeight w:val="206"/>
        </w:trPr>
        <w:tc>
          <w:tcPr>
            <w:tcW w:w="454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6"/>
                <w:szCs w:val="16"/>
                <w:color w:val="auto"/>
              </w:rPr>
              <w:t>diluted</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58,768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42,625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56,814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40,786</w:t>
            </w:r>
          </w:p>
        </w:tc>
      </w:tr>
      <w:tr>
        <w:trPr>
          <w:trHeight w:val="280"/>
        </w:trPr>
        <w:tc>
          <w:tcPr>
            <w:tcW w:w="4540" w:type="dxa"/>
            <w:vAlign w:val="bottom"/>
            <w:shd w:val="clear" w:color="auto" w:fill="DBDBDB"/>
          </w:tcPr>
          <w:p>
            <w:pPr>
              <w:spacing w:after="0"/>
              <w:rPr>
                <w:sz w:val="24"/>
                <w:szCs w:val="24"/>
                <w:color w:val="auto"/>
              </w:rPr>
            </w:pPr>
          </w:p>
        </w:tc>
        <w:tc>
          <w:tcPr>
            <w:tcW w:w="560" w:type="dxa"/>
            <w:vAlign w:val="bottom"/>
            <w:shd w:val="clear" w:color="auto" w:fill="DBDBDB"/>
          </w:tcPr>
          <w:p>
            <w:pPr>
              <w:spacing w:after="0"/>
              <w:rPr>
                <w:sz w:val="24"/>
                <w:szCs w:val="24"/>
                <w:color w:val="auto"/>
              </w:rPr>
            </w:pPr>
          </w:p>
        </w:tc>
        <w:tc>
          <w:tcPr>
            <w:tcW w:w="10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760" w:type="dxa"/>
            <w:vAlign w:val="bottom"/>
            <w:shd w:val="clear" w:color="auto" w:fill="DBDBDB"/>
          </w:tcPr>
          <w:p>
            <w:pPr>
              <w:spacing w:after="0"/>
              <w:rPr>
                <w:sz w:val="24"/>
                <w:szCs w:val="24"/>
                <w:color w:val="auto"/>
              </w:rPr>
            </w:pPr>
          </w:p>
        </w:tc>
        <w:tc>
          <w:tcPr>
            <w:tcW w:w="8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440" w:type="dxa"/>
            <w:vAlign w:val="bottom"/>
            <w:shd w:val="clear" w:color="auto" w:fill="DBDBDB"/>
          </w:tcPr>
          <w:p>
            <w:pPr>
              <w:spacing w:after="0"/>
              <w:rPr>
                <w:sz w:val="24"/>
                <w:szCs w:val="24"/>
                <w:color w:val="auto"/>
              </w:rPr>
            </w:pPr>
          </w:p>
        </w:tc>
        <w:tc>
          <w:tcPr>
            <w:tcW w:w="116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920" w:type="dxa"/>
            <w:vAlign w:val="bottom"/>
            <w:shd w:val="clear" w:color="auto" w:fill="DBDBDB"/>
          </w:tcPr>
          <w:p>
            <w:pPr>
              <w:spacing w:after="0"/>
              <w:rPr>
                <w:sz w:val="24"/>
                <w:szCs w:val="24"/>
                <w:color w:val="auto"/>
              </w:rPr>
            </w:pPr>
          </w:p>
        </w:tc>
        <w:tc>
          <w:tcPr>
            <w:tcW w:w="680" w:type="dxa"/>
            <w:vAlign w:val="bottom"/>
            <w:shd w:val="clear" w:color="auto" w:fill="DBDBDB"/>
          </w:tcPr>
          <w:p>
            <w:pPr>
              <w:spacing w:after="0"/>
              <w:rPr>
                <w:sz w:val="24"/>
                <w:szCs w:val="24"/>
                <w:color w:val="auto"/>
              </w:rPr>
            </w:pP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Basic net income per share</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0"/>
                <w:szCs w:val="20"/>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0.19</w:t>
            </w:r>
          </w:p>
        </w:tc>
      </w:tr>
      <w:tr>
        <w:trPr>
          <w:trHeight w:val="253"/>
        </w:trPr>
        <w:tc>
          <w:tcPr>
            <w:tcW w:w="4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 net income per share</w:t>
            </w:r>
          </w:p>
        </w:tc>
        <w:tc>
          <w:tcPr>
            <w:tcW w:w="56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DBDBDB"/>
          </w:tcPr>
          <w:p>
            <w:pPr>
              <w:spacing w:after="0"/>
              <w:rPr>
                <w:sz w:val="21"/>
                <w:szCs w:val="21"/>
                <w:color w:val="auto"/>
              </w:rPr>
            </w:pPr>
          </w:p>
        </w:tc>
        <w:tc>
          <w:tcPr>
            <w:tcW w:w="760" w:type="dxa"/>
            <w:vAlign w:val="bottom"/>
            <w:shd w:val="clear" w:color="auto" w:fill="DBDBDB"/>
          </w:tcPr>
          <w:p>
            <w:pPr>
              <w:jc w:val="right"/>
              <w:ind w:right="5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jc w:val="right"/>
              <w:ind w:right="7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0.17</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were excluded from the calculation of diluted earnings per share because they would be antidilutive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60" w:type="dxa"/>
            <w:vAlign w:val="bottom"/>
          </w:tcPr>
          <w:p>
            <w:pPr>
              <w:spacing w:after="0"/>
              <w:rPr>
                <w:sz w:val="19"/>
                <w:szCs w:val="19"/>
                <w:color w:val="auto"/>
              </w:rPr>
            </w:pPr>
          </w:p>
        </w:tc>
        <w:tc>
          <w:tcPr>
            <w:tcW w:w="3380" w:type="dxa"/>
            <w:vAlign w:val="bottom"/>
            <w:gridSpan w:val="4"/>
          </w:tcPr>
          <w:p>
            <w:pPr>
              <w:ind w:left="1080"/>
              <w:spacing w:after="0"/>
              <w:rPr>
                <w:sz w:val="20"/>
                <w:szCs w:val="20"/>
                <w:color w:val="auto"/>
              </w:rPr>
            </w:pPr>
            <w:r>
              <w:rPr>
                <w:rFonts w:ascii="Arial" w:cs="Arial" w:eastAsia="Arial" w:hAnsi="Arial"/>
                <w:sz w:val="16"/>
                <w:szCs w:val="16"/>
                <w:b w:val="1"/>
                <w:bCs w:val="1"/>
                <w:color w:val="auto"/>
              </w:rPr>
              <w:t>Quarter Ended</w:t>
            </w:r>
          </w:p>
        </w:tc>
        <w:tc>
          <w:tcPr>
            <w:tcW w:w="330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Three Quarters Ended</w:t>
            </w:r>
          </w:p>
        </w:tc>
      </w:tr>
      <w:tr>
        <w:trPr>
          <w:trHeight w:val="247"/>
        </w:trPr>
        <w:tc>
          <w:tcPr>
            <w:tcW w:w="4560" w:type="dxa"/>
            <w:vAlign w:val="bottom"/>
          </w:tcPr>
          <w:p>
            <w:pPr>
              <w:spacing w:after="0"/>
              <w:rPr>
                <w:sz w:val="21"/>
                <w:szCs w:val="21"/>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24, 2023</w:t>
            </w: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25, 2022</w:t>
            </w: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24, 2023</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September 25, 2022</w:t>
            </w:r>
          </w:p>
        </w:tc>
      </w:tr>
      <w:tr>
        <w:trPr>
          <w:trHeight w:val="240"/>
        </w:trPr>
        <w:tc>
          <w:tcPr>
            <w:tcW w:w="4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Shares subject to performance conditions</w:t>
            </w: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1,860</w:t>
            </w:r>
          </w:p>
        </w:tc>
        <w:tc>
          <w:tcPr>
            <w:tcW w:w="80" w:type="dxa"/>
            <w:vAlign w:val="bottom"/>
            <w:tcBorders>
              <w:top w:val="single" w:sz="8" w:color="DBDBDB"/>
            </w:tcBorders>
            <w:shd w:val="clear" w:color="auto" w:fill="DBDBDB"/>
          </w:tcPr>
          <w:p>
            <w:pPr>
              <w:spacing w:after="0"/>
              <w:rPr>
                <w:sz w:val="20"/>
                <w:szCs w:val="20"/>
                <w:color w:val="auto"/>
              </w:rPr>
            </w:pP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Borders>
              <w:top w:val="single" w:sz="8" w:color="DBDBDB"/>
            </w:tcBorders>
            <w:shd w:val="clear" w:color="auto" w:fill="DBDBDB"/>
          </w:tcPr>
          <w:p>
            <w:pPr>
              <w:spacing w:after="0"/>
              <w:rPr>
                <w:sz w:val="20"/>
                <w:szCs w:val="20"/>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Borders>
              <w:top w:val="single" w:sz="8" w:color="DBDBDB"/>
            </w:tcBorders>
            <w:shd w:val="clear" w:color="auto" w:fill="DBDBDB"/>
          </w:tcPr>
          <w:p>
            <w:pPr>
              <w:spacing w:after="0"/>
              <w:rPr>
                <w:sz w:val="20"/>
                <w:szCs w:val="20"/>
                <w:color w:val="auto"/>
              </w:rPr>
            </w:pP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1,862</w:t>
            </w:r>
          </w:p>
        </w:tc>
      </w:tr>
      <w:tr>
        <w:trPr>
          <w:trHeight w:val="236"/>
        </w:trPr>
        <w:tc>
          <w:tcPr>
            <w:tcW w:w="45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Shares that were antidilutive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DBDBDB"/>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DBDBDB"/>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DBDBDB"/>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4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shares excluded from diluted net income per share</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1,865</w:t>
            </w:r>
          </w:p>
        </w:tc>
        <w:tc>
          <w:tcPr>
            <w:tcW w:w="80" w:type="dxa"/>
            <w:vAlign w:val="bottom"/>
            <w:tcBorders>
              <w:bottom w:val="single" w:sz="8" w:color="DBDBDB"/>
            </w:tcBorders>
            <w:shd w:val="clear" w:color="auto" w:fill="DBDBDB"/>
          </w:tcPr>
          <w:p>
            <w:pPr>
              <w:spacing w:after="0"/>
              <w:rPr>
                <w:sz w:val="22"/>
                <w:szCs w:val="22"/>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1,876</w:t>
            </w:r>
          </w:p>
        </w:tc>
        <w:tc>
          <w:tcPr>
            <w:tcW w:w="10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1,865</w:t>
            </w:r>
          </w:p>
        </w:tc>
        <w:tc>
          <w:tcPr>
            <w:tcW w:w="120" w:type="dxa"/>
            <w:vAlign w:val="bottom"/>
            <w:tcBorders>
              <w:bottom w:val="single" w:sz="8" w:color="DBDBDB"/>
            </w:tcBorders>
            <w:shd w:val="clear" w:color="auto" w:fill="DBDBDB"/>
          </w:tcPr>
          <w:p>
            <w:pPr>
              <w:spacing w:after="0"/>
              <w:rPr>
                <w:sz w:val="22"/>
                <w:szCs w:val="22"/>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1,862</w:t>
            </w:r>
          </w:p>
        </w:tc>
      </w:tr>
      <w:tr>
        <w:trPr>
          <w:trHeight w:val="20"/>
        </w:trPr>
        <w:tc>
          <w:tcPr>
            <w:tcW w:w="456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14.</w:t>
        <w:tab/>
        <w:t>CONTINGENCIES</w:t>
      </w:r>
    </w:p>
    <w:p>
      <w:pPr>
        <w:spacing w:after="0" w:line="270"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color w:val="auto"/>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if any, will not have a material effect on the Company’s condensed consolidated financial statements.</w:t>
      </w:r>
    </w:p>
    <w:p>
      <w:pPr>
        <w:spacing w:after="0" w:line="199"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15.</w:t>
        <w:tab/>
        <w:t>RELATED PARTY TRANSACTIONS</w:t>
      </w:r>
    </w:p>
    <w:p>
      <w:pPr>
        <w:spacing w:after="0" w:line="28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As of both September 24, 2023 and December 25, 2022, the related parties’ receivables balance consisted of $0.3 million due from C&amp;O, which is included in accounts and tenant improvement receivable in the condensed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Olo, Inc.</w:t>
      </w:r>
    </w:p>
    <w:p>
      <w:pPr>
        <w:spacing w:after="0" w:line="257"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Noah Glass, a member of the Company's Board, is the founder and CEO of Olo, Inc. ("Olo"), a platform the Company uses in connection with our mobile ordering application and delivery.</w:t>
      </w:r>
    </w:p>
    <w:p>
      <w:pPr>
        <w:spacing w:after="0" w:line="20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The Company incurred the following Olo-related costs for the quarter and three quarters ended September 24, 2023 and September 25, 2022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Quarter Ended</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Three Quarters Ended</w:t>
            </w:r>
          </w:p>
        </w:tc>
        <w:tc>
          <w:tcPr>
            <w:tcW w:w="640" w:type="dxa"/>
            <w:vAlign w:val="bottom"/>
          </w:tcPr>
          <w:p>
            <w:pPr>
              <w:spacing w:after="0"/>
              <w:rPr>
                <w:sz w:val="19"/>
                <w:szCs w:val="19"/>
                <w:color w:val="auto"/>
              </w:rPr>
            </w:pPr>
          </w:p>
        </w:tc>
      </w:tr>
      <w:tr>
        <w:trPr>
          <w:trHeight w:val="247"/>
        </w:trPr>
        <w:tc>
          <w:tcPr>
            <w:tcW w:w="4540" w:type="dxa"/>
            <w:vAlign w:val="bottom"/>
          </w:tcPr>
          <w:p>
            <w:pPr>
              <w:spacing w:after="0"/>
              <w:rPr>
                <w:sz w:val="21"/>
                <w:szCs w:val="21"/>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25, 2022</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24, 2023</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25, 2022</w:t>
            </w:r>
          </w:p>
        </w:tc>
      </w:tr>
      <w:tr>
        <w:trPr>
          <w:trHeight w:val="240"/>
        </w:trPr>
        <w:tc>
          <w:tcPr>
            <w:tcW w:w="45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Food, beverage and packaging costs</w:t>
            </w:r>
          </w:p>
        </w:tc>
        <w:tc>
          <w:tcPr>
            <w:tcW w:w="600" w:type="dxa"/>
            <w:vAlign w:val="bottom"/>
            <w:tcBorders>
              <w:top w:val="single" w:sz="8" w:color="auto"/>
            </w:tcBorders>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Borders>
              <w:top w:val="single" w:sz="8" w:color="DBDBDB"/>
            </w:tcBorders>
            <w:shd w:val="clear" w:color="auto" w:fill="DBDBDB"/>
          </w:tcPr>
          <w:p>
            <w:pPr>
              <w:spacing w:after="0"/>
              <w:rPr>
                <w:sz w:val="20"/>
                <w:szCs w:val="20"/>
                <w:color w:val="auto"/>
              </w:rPr>
            </w:pPr>
          </w:p>
        </w:tc>
        <w:tc>
          <w:tcPr>
            <w:tcW w:w="880" w:type="dxa"/>
            <w:vAlign w:val="bottom"/>
            <w:tcBorders>
              <w:top w:val="single" w:sz="8" w:color="auto"/>
            </w:tcBorders>
            <w:shd w:val="clear" w:color="auto" w:fill="DBDBDB"/>
          </w:tcPr>
          <w:p>
            <w:pPr>
              <w:jc w:val="right"/>
              <w:ind w:right="69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top w:val="single" w:sz="8" w:color="DBDBDB"/>
            </w:tcBorders>
            <w:shd w:val="clear" w:color="auto" w:fill="DBDBDB"/>
          </w:tcPr>
          <w:p>
            <w:pPr>
              <w:spacing w:after="0"/>
              <w:rPr>
                <w:sz w:val="20"/>
                <w:szCs w:val="20"/>
                <w:color w:val="auto"/>
              </w:rPr>
            </w:pPr>
          </w:p>
        </w:tc>
        <w:tc>
          <w:tcPr>
            <w:tcW w:w="440" w:type="dxa"/>
            <w:vAlign w:val="bottom"/>
            <w:tcBorders>
              <w:top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1,525</w:t>
            </w:r>
          </w:p>
        </w:tc>
        <w:tc>
          <w:tcPr>
            <w:tcW w:w="100" w:type="dxa"/>
            <w:vAlign w:val="bottom"/>
            <w:tcBorders>
              <w:top w:val="single" w:sz="8" w:color="DBDBDB"/>
            </w:tcBorders>
            <w:shd w:val="clear" w:color="auto" w:fill="DBDBDB"/>
          </w:tcPr>
          <w:p>
            <w:pPr>
              <w:spacing w:after="0"/>
              <w:rPr>
                <w:sz w:val="20"/>
                <w:szCs w:val="20"/>
                <w:color w:val="auto"/>
              </w:rPr>
            </w:pPr>
          </w:p>
        </w:tc>
        <w:tc>
          <w:tcPr>
            <w:tcW w:w="960" w:type="dxa"/>
            <w:vAlign w:val="bottom"/>
            <w:tcBorders>
              <w:top w:val="single" w:sz="8" w:color="auto"/>
            </w:tcBorders>
            <w:shd w:val="clear" w:color="auto" w:fill="DBDBDB"/>
          </w:tcPr>
          <w:p>
            <w:pPr>
              <w:jc w:val="right"/>
              <w:ind w:right="77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1,449</w:t>
            </w:r>
          </w:p>
        </w:tc>
      </w:tr>
      <w:tr>
        <w:trPr>
          <w:trHeight w:val="237"/>
        </w:trPr>
        <w:tc>
          <w:tcPr>
            <w:tcW w:w="45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operating expenses</w:t>
            </w: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DBDBDB"/>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DBDBDB"/>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DBDBDB"/>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r>
      <w:tr>
        <w:trPr>
          <w:trHeight w:val="268"/>
        </w:trPr>
        <w:tc>
          <w:tcPr>
            <w:tcW w:w="4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Olo-related costs</w:t>
            </w:r>
          </w:p>
        </w:tc>
        <w:tc>
          <w:tcPr>
            <w:tcW w:w="600" w:type="dxa"/>
            <w:vAlign w:val="bottom"/>
            <w:tcBorders>
              <w:bottom w:val="single" w:sz="8" w:color="auto"/>
            </w:tcBorders>
            <w:shd w:val="clear" w:color="auto" w:fill="DBDBDB"/>
          </w:tcPr>
          <w:p>
            <w:pPr>
              <w:jc w:val="right"/>
              <w:ind w:right="4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DBDBDB"/>
            </w:tcBorders>
            <w:shd w:val="clear" w:color="auto" w:fill="DBDBDB"/>
          </w:tcPr>
          <w:p>
            <w:pPr>
              <w:spacing w:after="0"/>
              <w:rPr>
                <w:sz w:val="22"/>
                <w:szCs w:val="22"/>
                <w:color w:val="auto"/>
              </w:rPr>
            </w:pPr>
          </w:p>
        </w:tc>
        <w:tc>
          <w:tcPr>
            <w:tcW w:w="880" w:type="dxa"/>
            <w:vAlign w:val="bottom"/>
            <w:tcBorders>
              <w:bottom w:val="single" w:sz="8" w:color="auto"/>
            </w:tcBorders>
            <w:shd w:val="clear" w:color="auto" w:fill="DBDBDB"/>
          </w:tcPr>
          <w:p>
            <w:pPr>
              <w:jc w:val="right"/>
              <w:ind w:right="6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DBDBDB"/>
            </w:tcBorders>
            <w:shd w:val="clear" w:color="auto" w:fill="DBDBDB"/>
          </w:tcPr>
          <w:p>
            <w:pPr>
              <w:spacing w:after="0"/>
              <w:rPr>
                <w:sz w:val="22"/>
                <w:szCs w:val="22"/>
                <w:color w:val="auto"/>
              </w:rPr>
            </w:pPr>
          </w:p>
        </w:tc>
        <w:tc>
          <w:tcPr>
            <w:tcW w:w="440" w:type="dxa"/>
            <w:vAlign w:val="bottom"/>
            <w:tcBorders>
              <w:bottom w:val="single" w:sz="8" w:color="auto"/>
            </w:tcBorders>
            <w:shd w:val="clear" w:color="auto" w:fill="DBDBDB"/>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1,852</w:t>
            </w:r>
          </w:p>
        </w:tc>
        <w:tc>
          <w:tcPr>
            <w:tcW w:w="100" w:type="dxa"/>
            <w:vAlign w:val="bottom"/>
            <w:tcBorders>
              <w:bottom w:val="single" w:sz="8" w:color="DBDBDB"/>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ind w:right="7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1,775</w:t>
            </w:r>
          </w:p>
        </w:tc>
      </w:tr>
      <w:tr>
        <w:trPr>
          <w:trHeight w:val="20"/>
        </w:trPr>
        <w:tc>
          <w:tcPr>
            <w:tcW w:w="454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As of September 24, 2023 and December 25, 2022, $0.1 million and $0.2 million, respectively, were payable to Olo and was included in accounts payable in the condensed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71"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We are party to a TRA with certain members of Portillo's OpCo that provides for the payment by us of 85% of the amount of tax benefits, if any, that Portillo's Inc. actually realizes or in some cases is deemed to realize as a result of certain transactions. The Company made payments of $ 0.8 million under the TRA relating to tax year 2021 during the three quarters ended September 24, 2023. There were no amounts paid under the TRA during the quarter ended September 24, 2023 and quarter and three quarters ended September 25,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7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24, 2023</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79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Current portion of Tax Receivable Agreement liability</w:t>
            </w:r>
          </w:p>
        </w:tc>
        <w:tc>
          <w:tcPr>
            <w:tcW w:w="540" w:type="dxa"/>
            <w:vAlign w:val="bottom"/>
            <w:tcBorders>
              <w:top w:val="single" w:sz="8" w:color="auto"/>
            </w:tcBorders>
            <w:shd w:val="clear" w:color="auto" w:fill="DBDBDB"/>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6,527</w:t>
            </w:r>
          </w:p>
        </w:tc>
        <w:tc>
          <w:tcPr>
            <w:tcW w:w="100" w:type="dxa"/>
            <w:vAlign w:val="bottom"/>
            <w:tcBorders>
              <w:top w:val="single" w:sz="8" w:color="DBDBDB"/>
            </w:tcBorders>
            <w:shd w:val="clear" w:color="auto" w:fill="DBDBDB"/>
          </w:tcPr>
          <w:p>
            <w:pPr>
              <w:spacing w:after="0"/>
              <w:rPr>
                <w:sz w:val="20"/>
                <w:szCs w:val="20"/>
                <w:color w:val="auto"/>
              </w:rPr>
            </w:pPr>
          </w:p>
        </w:tc>
        <w:tc>
          <w:tcPr>
            <w:tcW w:w="540" w:type="dxa"/>
            <w:vAlign w:val="bottom"/>
            <w:tcBorders>
              <w:top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813</w:t>
            </w: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color w:val="auto"/>
              </w:rPr>
              <w:t>Tax receivable agreement liability</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294,950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252,003</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71"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In connection with the secondary offerings previously discussed in Note 1. Description Of Business, we purchased LLC Units and corresponding shares of Class B common stock and shares of Class A common stock using the proceeds of the secondary offerings at a price equal to the public offering price less the underwriting discounts and commissions from certain pre-IPO LLC Members and shareholders of the Blocker Companies, including from funds affiliated with Berkshire Partners LLC, which is our largest shareholder that beneficially owns approximately 30.7% of the Company as of September 24, 2023.</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16.</w:t>
        <w:tab/>
        <w:t>SUBSEQUENT EVENTS</w:t>
      </w:r>
    </w:p>
    <w:p>
      <w:pPr>
        <w:spacing w:after="0" w:line="2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September 29, 2023 the Company borrowed $ 7.0 million under the 2023 Revolver Facility. The interest rate on the Revolver Facility is 8.17%. As a result, as of September 29, 2023, the outstanding balance of the 2023 Revolver Facility upon borrowing is $7.0 million and $88.7 million is available to the Company under the 2023 Revolver Facility.</w:t>
      </w:r>
    </w:p>
    <w:p>
      <w:pPr>
        <w:spacing w:after="0" w:line="21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The Company opened one restaurant subsequent to September 24, 2023 for a total of 78 restaurants, excluding C&amp;O. The restaurant is located in Cicero, Illinois.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303" w:lineRule="auto"/>
        <w:rPr>
          <w:sz w:val="20"/>
          <w:szCs w:val="20"/>
          <w:color w:val="auto"/>
        </w:rPr>
      </w:pPr>
      <w:r>
        <w:rPr>
          <w:rFonts w:ascii="Arial" w:cs="Arial" w:eastAsia="Arial" w:hAnsi="Arial"/>
          <w:sz w:val="25"/>
          <w:szCs w:val="25"/>
          <w:b w:val="1"/>
          <w:bCs w:val="1"/>
          <w:color w:val="414042"/>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-55245</wp:posOffset>
            </wp:positionV>
            <wp:extent cx="5966460"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discussion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“Cautionary Statements Concerning Forward-Looking Statements” in this report and under the heading “Risk Factors” in Part I, Item IA of our Annual Report on Form 10-K for the fiscal year ended December 25, 2022 and Part II, Item 1A of this Form 10-Q. The following discussion should be read in conjunction with our Annual Report on Form 10-K for the fiscal year ended December 25, 2022 and the condensed consolidated financial statements and notes thereto included in Part I, Item 1 of this Form 10-Q.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based on our current knowledge of our business and operations, we cannot guarantee future results, levels of activity, performance or achievements. We assume no obligation to provide revisions to any forward-looking statements should circumstances change.</w:t>
      </w:r>
    </w:p>
    <w:p>
      <w:pPr>
        <w:spacing w:after="0" w:line="21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The following discussion summarizes the significant factors affecting the condensed consolidated operating results, financial condition, liquidity and cash flows of our company as of and for the periods presented below.</w:t>
      </w:r>
    </w:p>
    <w:p>
      <w:pPr>
        <w:spacing w:after="0" w:line="20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have prepared the unaudited condensed consolidated financial statements in accordance with accounting principles generally accepted in the United States of America ("GAAP") for interim financial statements and pursuant to the rules and regulations of the Securities and Exchange Commission (the "SEC").</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Overview</w:t>
      </w:r>
    </w:p>
    <w:p>
      <w:pPr>
        <w:spacing w:after="0" w:line="26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Portillo’s serves iconic Chicago street food through high-energy, multichannel restaurants designed to ignite the senses and create a memorable dining experience. Since our founding in 1963 in a small trailer which Dick Portillo called “The Dog House,” we have grown to become a treasured brand with a passionate (some might say obsessed) nationwide following. We create a consumer experience like no other by combining the best attributes of fast casual and quick service concepts with an exciting, energy-filled atmosphere and restaurant model capable of generating tremendous volumes. Nearly all of our restaurants were built with double lane drive-thrus and have been thoughtfully designed with a layout that accommodates a variety of access modes including dine-in, carryout, delivery, and catering in order to quickly and efficiently serve our guests. No matter how our guests order from us, our highly productive kitchens and team members consistently serve high quality food and deliver a memorable guest experience. We believe the combination of our craveable food, multichannel sales model, dedication to operational excellence, and a distinctive culture driven by our team members gives us a competitive advantage.</w:t>
      </w:r>
    </w:p>
    <w:p>
      <w:pPr>
        <w:spacing w:after="0" w:line="22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As of September 24, 2023, we owned and operated 78 Portillo’s restaurants across ten states, including a restaurant owned by C&amp;O Chicago, L.L.C. ("C&amp;O") of which Portillo’s owns 50% of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414042"/>
        </w:rPr>
        <w:t>Financial Highlights for the Quarter Ended September 24, 2023 vs. Quarter Ended September 25, 2022:</w:t>
      </w:r>
    </w:p>
    <w:p>
      <w:pPr>
        <w:spacing w:after="0" w:line="25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increased 10.4% or $15.7 million to $166.8 million;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Same restaurant sales increased 3.9%;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increased $4.5 million to $15.1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increased $3.3 million to $6.5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Restaurant-Level Adjusted EBITDA* increased $7.8 million to $41.9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increased $5.7 million to $27.3 million.</w:t>
      </w:r>
    </w:p>
    <w:p>
      <w:pPr>
        <w:spacing w:after="0" w:line="234" w:lineRule="exact"/>
        <w:rPr>
          <w:sz w:val="20"/>
          <w:szCs w:val="20"/>
          <w:color w:val="auto"/>
        </w:rPr>
      </w:pPr>
    </w:p>
    <w:p>
      <w:pPr>
        <w:ind w:right="180"/>
        <w:spacing w:after="0" w:line="289" w:lineRule="auto"/>
        <w:rPr>
          <w:sz w:val="20"/>
          <w:szCs w:val="20"/>
          <w:color w:val="auto"/>
        </w:rPr>
      </w:pPr>
      <w:r>
        <w:rPr>
          <w:rFonts w:ascii="Arial" w:cs="Arial" w:eastAsia="Arial" w:hAnsi="Arial"/>
          <w:sz w:val="22"/>
          <w:szCs w:val="22"/>
          <w:b w:val="1"/>
          <w:bCs w:val="1"/>
          <w:color w:val="414042"/>
        </w:rPr>
        <w:t>Financial Highlights for the Three Quarters Ended September 24, 2023 vs. Three Quarters Ended September 25, 2022:</w:t>
      </w:r>
    </w:p>
    <w:p>
      <w:pPr>
        <w:spacing w:after="0" w:line="166" w:lineRule="exact"/>
        <w:rPr>
          <w:sz w:val="20"/>
          <w:szCs w:val="20"/>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revenue increased 12.8% or $55.8 million to $492.0 million;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Same restaurant sales increased 6.1%;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Operating income increased $6.1 million to $41.0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income increased $0.7 million to $15.2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Restaurant-Level Adjusted EBITDA* increased $19.0 million to $119.4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Adjusted EBITDA* increased $9.3 million to $76.1 million.</w:t>
      </w:r>
    </w:p>
    <w:p>
      <w:pPr>
        <w:spacing w:after="0" w:line="242" w:lineRule="exact"/>
        <w:rPr>
          <w:rFonts w:ascii="Arial" w:cs="Arial" w:eastAsia="Arial" w:hAnsi="Arial"/>
          <w:sz w:val="18"/>
          <w:szCs w:val="18"/>
          <w:color w:val="auto"/>
        </w:rPr>
      </w:pPr>
    </w:p>
    <w:p>
      <w:pPr>
        <w:ind w:right="160"/>
        <w:spacing w:after="0" w:line="261" w:lineRule="auto"/>
        <w:rPr>
          <w:rFonts w:ascii="Arial" w:cs="Arial" w:eastAsia="Arial" w:hAnsi="Arial"/>
          <w:sz w:val="18"/>
          <w:szCs w:val="18"/>
          <w:color w:val="auto"/>
        </w:rPr>
      </w:pPr>
      <w:r>
        <w:rPr>
          <w:rFonts w:ascii="Arial" w:cs="Arial" w:eastAsia="Arial" w:hAnsi="Arial"/>
          <w:sz w:val="16"/>
          <w:szCs w:val="16"/>
          <w:color w:val="auto"/>
        </w:rPr>
        <w:t>* Adjusted EBITDA and Restaurant-Level Adjusted EBITDA are non-GAAP measures. Definitions and reconciliations of Adjusted EBITDA to net (loss) income and Restaurant-Level Adjusted EBITDA to operating income the most directly comparable financial measures presented in accordance with GAAP, are set forth under the section "Key Performance Indicators and Non-GAAP Financial Measures".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Recent Developments and Trends</w:t>
      </w:r>
    </w:p>
    <w:p>
      <w:pPr>
        <w:spacing w:after="0" w:line="25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 quarter ended September 24, 2023, we saw continued revenue growth and same restaurant sales growth. Total revenue grew 10.4% during the quarter ended September 24, 2023 and 12.8% for the three quarters ended September 24, 2023. Same-restaurant sales grew 3.9% during the quarter ended September 24, 2023, compared to 5.8% same-restaurant sales growth during the same quarter in 2022. Same-restaurant sales grew 6.1% during the three quarters ended September 24, 2023, compared to 5.2% same-restaurant sales growth during the three quarters ended September 25, 2022.</w:t>
      </w:r>
    </w:p>
    <w:p>
      <w:pPr>
        <w:spacing w:after="0" w:line="2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unit growth is a key driver of shareholder value creation. During the quarter ended September 24, 2023, we opened two new restaurants, one restaurant in Arizona and our second location in Texas for a total of 78 restaurants, including a restaurant owned by C&amp;O, of which Portillo's owns 50% of the equity. The one restaurant opened in the fourth quarter of 2022 and six restaurants opened during the three quarters ended September 24, 2023 positively impacted revenues by approximately $11.0 million and $31.5 million in the quarter and three quarters ended September 24, 2023, respectively. We opened one restaurant subsequent to September 24, 2023 and plan to open five additional restaurants in the fourth quarter of 2023.</w:t>
      </w:r>
    </w:p>
    <w:p>
      <w:pPr>
        <w:spacing w:after="0" w:line="21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quarter and three quarters ended September 24, 2023, we continued to see commodity inflation stabilize. Commodity inflation was 3.5% and 5.8% for the quarter and three quarters ended September 24, 2023, respectively, compared to 15.4% for both the quarter and three quarters ended September 25, 2022. For the quarter and three quarters ended September 24, 2023, we experienced a decline in labor expenses, as a percentage of revenue, compared to the quarter and three quarters ended September 25, 2022 primarily due to increases in revenue, partially offset by higher labor utilization and additional wage investments. During mid-January 2023 and at the beginning of May 2023, we increased certain menu prices to reflect a net approximate 2.0% and 3.0% price increase, respectively, to continue to combat inflationary cost pressures and progress towards our goal to improve Restaurant-Level Adjusted EBITDA margins for fiscal 2023. We will continue to monitor our cost pressures, the competitive landscape, and consumer sentiment to inform our pricing decisions in the coming quarters.</w:t>
      </w:r>
    </w:p>
    <w:p>
      <w:pPr>
        <w:spacing w:after="0" w:line="2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quarter ended September 24, 2023, operating income margin and Restaurant-Level Adjusted EBITDA Margin improved versus prior year. We believe this improvement was the result of our ongoing efforts to deploy strategic pricing actions in prior quarters, elevate guest experiences, and implement operational efficiencies. The strength of our brand, the consistency of our operations, and the ongoing execution of a disciplined development strategy all support our business model. Further, we intend to continue to develop shareholder value through self-funded restaurant development and an ongoing focus on operations.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2"/>
          <w:szCs w:val="22"/>
          <w:b w:val="1"/>
          <w:bCs w:val="1"/>
          <w:color w:val="414042"/>
        </w:rPr>
        <w:t>Development Highlights</w:t>
      </w:r>
    </w:p>
    <w:p>
      <w:pPr>
        <w:spacing w:after="0" w:line="25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During the three quarters ended September 24, 2023, we opened a total of six restaurants in the Arizona, Florida, and Texas markets. Subsequent to September 24, 2023, we opened one additional restaurant, bringing our total restaurant count to 79, including a restaurant owned by C&amp;O of which Portillo’s owns 50% of the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Below are the restaurants opened since the beginning of fiscal 2023:</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6260" w:type="dxa"/>
            <w:vAlign w:val="bottom"/>
            <w:tcBorders>
              <w:bottom w:val="single" w:sz="8" w:color="auto"/>
            </w:tcBorders>
          </w:tcPr>
          <w:p>
            <w:pPr>
              <w:ind w:left="3340"/>
              <w:spacing w:after="0"/>
              <w:rPr>
                <w:sz w:val="20"/>
                <w:szCs w:val="20"/>
                <w:color w:val="auto"/>
              </w:rPr>
            </w:pPr>
            <w:r>
              <w:rPr>
                <w:rFonts w:ascii="Arial" w:cs="Arial" w:eastAsia="Arial" w:hAnsi="Arial"/>
                <w:sz w:val="16"/>
                <w:szCs w:val="16"/>
                <w:b w:val="1"/>
                <w:bCs w:val="1"/>
                <w:color w:val="auto"/>
              </w:rPr>
              <w:t>Opening Date</w:t>
            </w:r>
          </w:p>
        </w:tc>
      </w:tr>
      <w:tr>
        <w:trPr>
          <w:trHeight w:val="240"/>
        </w:trPr>
        <w:tc>
          <w:tcPr>
            <w:tcW w:w="4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Kissimmee, Florida</w:t>
            </w:r>
          </w:p>
        </w:tc>
        <w:tc>
          <w:tcPr>
            <w:tcW w:w="6260" w:type="dxa"/>
            <w:vAlign w:val="bottom"/>
            <w:shd w:val="clear" w:color="auto" w:fill="DBDBDB"/>
          </w:tcPr>
          <w:p>
            <w:pPr>
              <w:ind w:left="3340"/>
              <w:spacing w:after="0"/>
              <w:rPr>
                <w:sz w:val="20"/>
                <w:szCs w:val="20"/>
                <w:color w:val="auto"/>
              </w:rPr>
            </w:pPr>
            <w:r>
              <w:rPr>
                <w:rFonts w:ascii="Arial" w:cs="Arial" w:eastAsia="Arial" w:hAnsi="Arial"/>
                <w:sz w:val="16"/>
                <w:szCs w:val="16"/>
                <w:color w:val="auto"/>
              </w:rPr>
              <w:t>December 2022</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color w:val="auto"/>
              </w:rPr>
              <w:t>The Colony, Texas</w:t>
            </w:r>
          </w:p>
        </w:tc>
        <w:tc>
          <w:tcPr>
            <w:tcW w:w="6260" w:type="dxa"/>
            <w:vAlign w:val="bottom"/>
          </w:tcPr>
          <w:p>
            <w:pPr>
              <w:ind w:left="3340"/>
              <w:spacing w:after="0"/>
              <w:rPr>
                <w:sz w:val="20"/>
                <w:szCs w:val="20"/>
                <w:color w:val="auto"/>
              </w:rPr>
            </w:pPr>
            <w:r>
              <w:rPr>
                <w:rFonts w:ascii="Arial" w:cs="Arial" w:eastAsia="Arial" w:hAnsi="Arial"/>
                <w:sz w:val="16"/>
                <w:szCs w:val="16"/>
                <w:color w:val="auto"/>
              </w:rPr>
              <w:t>January 2023</w:t>
            </w:r>
          </w:p>
        </w:tc>
      </w:tr>
      <w:tr>
        <w:trPr>
          <w:trHeight w:val="253"/>
        </w:trPr>
        <w:tc>
          <w:tcPr>
            <w:tcW w:w="4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Tucson, Arizona</w:t>
            </w:r>
          </w:p>
        </w:tc>
        <w:tc>
          <w:tcPr>
            <w:tcW w:w="6260" w:type="dxa"/>
            <w:vAlign w:val="bottom"/>
            <w:shd w:val="clear" w:color="auto" w:fill="DBDBDB"/>
          </w:tcPr>
          <w:p>
            <w:pPr>
              <w:ind w:left="3340"/>
              <w:spacing w:after="0"/>
              <w:rPr>
                <w:sz w:val="20"/>
                <w:szCs w:val="20"/>
                <w:color w:val="auto"/>
              </w:rPr>
            </w:pPr>
            <w:r>
              <w:rPr>
                <w:rFonts w:ascii="Arial" w:cs="Arial" w:eastAsia="Arial" w:hAnsi="Arial"/>
                <w:sz w:val="16"/>
                <w:szCs w:val="16"/>
                <w:color w:val="auto"/>
              </w:rPr>
              <w:t>February 2023</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color w:val="auto"/>
              </w:rPr>
              <w:t>Gilbert, Arizona</w:t>
            </w:r>
          </w:p>
        </w:tc>
        <w:tc>
          <w:tcPr>
            <w:tcW w:w="6260" w:type="dxa"/>
            <w:vAlign w:val="bottom"/>
          </w:tcPr>
          <w:p>
            <w:pPr>
              <w:ind w:left="3340"/>
              <w:spacing w:after="0"/>
              <w:rPr>
                <w:sz w:val="20"/>
                <w:szCs w:val="20"/>
                <w:color w:val="auto"/>
              </w:rPr>
            </w:pPr>
            <w:r>
              <w:rPr>
                <w:rFonts w:ascii="Arial" w:cs="Arial" w:eastAsia="Arial" w:hAnsi="Arial"/>
                <w:sz w:val="16"/>
                <w:szCs w:val="16"/>
                <w:color w:val="auto"/>
              </w:rPr>
              <w:t>March 2023</w:t>
            </w:r>
          </w:p>
        </w:tc>
      </w:tr>
      <w:tr>
        <w:trPr>
          <w:trHeight w:val="253"/>
        </w:trPr>
        <w:tc>
          <w:tcPr>
            <w:tcW w:w="4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Queen Creek, Arizona</w:t>
            </w:r>
          </w:p>
        </w:tc>
        <w:tc>
          <w:tcPr>
            <w:tcW w:w="6260" w:type="dxa"/>
            <w:vAlign w:val="bottom"/>
            <w:shd w:val="clear" w:color="auto" w:fill="DBDBDB"/>
          </w:tcPr>
          <w:p>
            <w:pPr>
              <w:ind w:left="3340"/>
              <w:spacing w:after="0"/>
              <w:rPr>
                <w:sz w:val="20"/>
                <w:szCs w:val="20"/>
                <w:color w:val="auto"/>
              </w:rPr>
            </w:pPr>
            <w:r>
              <w:rPr>
                <w:rFonts w:ascii="Arial" w:cs="Arial" w:eastAsia="Arial" w:hAnsi="Arial"/>
                <w:sz w:val="16"/>
                <w:szCs w:val="16"/>
                <w:color w:val="auto"/>
              </w:rPr>
              <w:t>August 2023</w:t>
            </w:r>
          </w:p>
        </w:tc>
      </w:tr>
      <w:tr>
        <w:trPr>
          <w:trHeight w:val="233"/>
        </w:trPr>
        <w:tc>
          <w:tcPr>
            <w:tcW w:w="4980" w:type="dxa"/>
            <w:vAlign w:val="bottom"/>
          </w:tcPr>
          <w:p>
            <w:pPr>
              <w:ind w:left="20"/>
              <w:spacing w:after="0"/>
              <w:rPr>
                <w:sz w:val="20"/>
                <w:szCs w:val="20"/>
                <w:color w:val="auto"/>
              </w:rPr>
            </w:pPr>
            <w:r>
              <w:rPr>
                <w:rFonts w:ascii="Arial" w:cs="Arial" w:eastAsia="Arial" w:hAnsi="Arial"/>
                <w:sz w:val="16"/>
                <w:szCs w:val="16"/>
                <w:color w:val="auto"/>
              </w:rPr>
              <w:t>Allen, Texas</w:t>
            </w:r>
          </w:p>
        </w:tc>
        <w:tc>
          <w:tcPr>
            <w:tcW w:w="6260" w:type="dxa"/>
            <w:vAlign w:val="bottom"/>
          </w:tcPr>
          <w:p>
            <w:pPr>
              <w:ind w:left="3340"/>
              <w:spacing w:after="0"/>
              <w:rPr>
                <w:sz w:val="20"/>
                <w:szCs w:val="20"/>
                <w:color w:val="auto"/>
              </w:rPr>
            </w:pPr>
            <w:r>
              <w:rPr>
                <w:rFonts w:ascii="Arial" w:cs="Arial" w:eastAsia="Arial" w:hAnsi="Arial"/>
                <w:sz w:val="16"/>
                <w:szCs w:val="16"/>
                <w:color w:val="auto"/>
              </w:rPr>
              <w:t>August 2023</w:t>
            </w:r>
          </w:p>
        </w:tc>
      </w:tr>
      <w:tr>
        <w:trPr>
          <w:trHeight w:val="253"/>
        </w:trPr>
        <w:tc>
          <w:tcPr>
            <w:tcW w:w="49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Cicero, Illinois</w:t>
            </w:r>
          </w:p>
        </w:tc>
        <w:tc>
          <w:tcPr>
            <w:tcW w:w="6260" w:type="dxa"/>
            <w:vAlign w:val="bottom"/>
            <w:shd w:val="clear" w:color="auto" w:fill="DBDBDB"/>
          </w:tcPr>
          <w:p>
            <w:pPr>
              <w:ind w:left="3340"/>
              <w:spacing w:after="0"/>
              <w:rPr>
                <w:sz w:val="20"/>
                <w:szCs w:val="20"/>
                <w:color w:val="auto"/>
              </w:rPr>
            </w:pPr>
            <w:r>
              <w:rPr>
                <w:rFonts w:ascii="Arial" w:cs="Arial" w:eastAsia="Arial" w:hAnsi="Arial"/>
                <w:sz w:val="16"/>
                <w:szCs w:val="16"/>
                <w:color w:val="auto"/>
              </w:rPr>
              <w:t>October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Consolidated Results of Operations</w:t>
      </w:r>
    </w:p>
    <w:p>
      <w:pPr>
        <w:spacing w:after="0" w:line="25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The following table summarizes our results of operations for the quarter and three quarters ended September 24, 2023 and September 25, 2022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5"/>
          </w:tcPr>
          <w:p>
            <w:pPr>
              <w:ind w:left="420"/>
              <w:spacing w:after="0"/>
              <w:rPr>
                <w:sz w:val="20"/>
                <w:szCs w:val="20"/>
                <w:color w:val="auto"/>
              </w:rPr>
            </w:pPr>
            <w:r>
              <w:rPr>
                <w:rFonts w:ascii="Arial" w:cs="Arial" w:eastAsia="Arial" w:hAnsi="Arial"/>
                <w:sz w:val="16"/>
                <w:szCs w:val="16"/>
                <w:b w:val="1"/>
                <w:bCs w:val="1"/>
                <w:color w:val="auto"/>
              </w:rPr>
              <w:t>Quarter 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Quarters Ended</w:t>
            </w:r>
          </w:p>
        </w:tc>
        <w:tc>
          <w:tcPr>
            <w:tcW w:w="940" w:type="dxa"/>
            <w:vAlign w:val="bottom"/>
          </w:tcPr>
          <w:p>
            <w:pPr>
              <w:spacing w:after="0"/>
              <w:rPr>
                <w:sz w:val="19"/>
                <w:szCs w:val="19"/>
                <w:color w:val="auto"/>
              </w:rPr>
            </w:pPr>
          </w:p>
        </w:tc>
      </w:tr>
      <w:tr>
        <w:trPr>
          <w:trHeight w:val="247"/>
        </w:trPr>
        <w:tc>
          <w:tcPr>
            <w:tcW w:w="3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24, 2023</w:t>
            </w:r>
          </w:p>
        </w:tc>
        <w:tc>
          <w:tcPr>
            <w:tcW w:w="140" w:type="dxa"/>
            <w:vAlign w:val="bottom"/>
          </w:tcPr>
          <w:p>
            <w:pPr>
              <w:spacing w:after="0"/>
              <w:rPr>
                <w:sz w:val="21"/>
                <w:szCs w:val="21"/>
                <w:color w:val="auto"/>
              </w:rPr>
            </w:pPr>
          </w:p>
        </w:tc>
        <w:tc>
          <w:tcPr>
            <w:tcW w:w="184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25, 2022</w:t>
            </w:r>
          </w:p>
        </w:tc>
        <w:tc>
          <w:tcPr>
            <w:tcW w:w="140" w:type="dxa"/>
            <w:vAlign w:val="bottom"/>
          </w:tcPr>
          <w:p>
            <w:pPr>
              <w:spacing w:after="0"/>
              <w:rPr>
                <w:sz w:val="21"/>
                <w:szCs w:val="21"/>
                <w:color w:val="auto"/>
              </w:rPr>
            </w:pPr>
          </w:p>
        </w:tc>
        <w:tc>
          <w:tcPr>
            <w:tcW w:w="1820" w:type="dxa"/>
            <w:vAlign w:val="bottom"/>
            <w:gridSpan w:val="4"/>
          </w:tcPr>
          <w:p>
            <w:pPr>
              <w:ind w:left="40"/>
              <w:spacing w:after="0"/>
              <w:rPr>
                <w:sz w:val="20"/>
                <w:szCs w:val="20"/>
                <w:color w:val="auto"/>
              </w:rPr>
            </w:pPr>
            <w:r>
              <w:rPr>
                <w:rFonts w:ascii="Arial" w:cs="Arial" w:eastAsia="Arial" w:hAnsi="Arial"/>
                <w:sz w:val="16"/>
                <w:szCs w:val="16"/>
                <w:b w:val="1"/>
                <w:bCs w:val="1"/>
                <w:color w:val="auto"/>
              </w:rPr>
              <w:t>September 24, 2023</w:t>
            </w:r>
          </w:p>
        </w:tc>
        <w:tc>
          <w:tcPr>
            <w:tcW w:w="140" w:type="dxa"/>
            <w:vAlign w:val="bottom"/>
          </w:tcPr>
          <w:p>
            <w:pPr>
              <w:spacing w:after="0"/>
              <w:rPr>
                <w:sz w:val="21"/>
                <w:szCs w:val="21"/>
                <w:color w:val="auto"/>
              </w:rPr>
            </w:pPr>
          </w:p>
        </w:tc>
        <w:tc>
          <w:tcPr>
            <w:tcW w:w="17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September 25, 2022</w:t>
            </w:r>
          </w:p>
        </w:tc>
      </w:tr>
      <w:tr>
        <w:trPr>
          <w:trHeight w:val="240"/>
        </w:trPr>
        <w:tc>
          <w:tcPr>
            <w:tcW w:w="3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REVENUES, NET</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166,805</w:t>
            </w:r>
          </w:p>
        </w:tc>
        <w:tc>
          <w:tcPr>
            <w:tcW w:w="80" w:type="dxa"/>
            <w:vAlign w:val="bottom"/>
            <w:tcBorders>
              <w:top w:val="single" w:sz="8" w:color="auto"/>
            </w:tcBorders>
            <w:shd w:val="clear" w:color="auto" w:fill="DBDBDB"/>
          </w:tcPr>
          <w:p>
            <w:pPr>
              <w:spacing w:after="0"/>
              <w:rPr>
                <w:sz w:val="20"/>
                <w:szCs w:val="20"/>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151,121</w:t>
            </w:r>
          </w:p>
        </w:tc>
        <w:tc>
          <w:tcPr>
            <w:tcW w:w="80" w:type="dxa"/>
            <w:vAlign w:val="bottom"/>
            <w:tcBorders>
              <w:top w:val="single" w:sz="8" w:color="auto"/>
            </w:tcBorders>
            <w:shd w:val="clear" w:color="auto" w:fill="DBDBDB"/>
          </w:tcPr>
          <w:p>
            <w:pPr>
              <w:spacing w:after="0"/>
              <w:rPr>
                <w:sz w:val="20"/>
                <w:szCs w:val="20"/>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492,047</w:t>
            </w:r>
          </w:p>
        </w:tc>
        <w:tc>
          <w:tcPr>
            <w:tcW w:w="100" w:type="dxa"/>
            <w:vAlign w:val="bottom"/>
            <w:tcBorders>
              <w:top w:val="single" w:sz="8" w:color="auto"/>
            </w:tcBorders>
            <w:shd w:val="clear" w:color="auto" w:fill="DBDBDB"/>
          </w:tcPr>
          <w:p>
            <w:pPr>
              <w:spacing w:after="0"/>
              <w:rPr>
                <w:sz w:val="20"/>
                <w:szCs w:val="20"/>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436,226</w:t>
            </w:r>
          </w:p>
        </w:tc>
        <w:tc>
          <w:tcPr>
            <w:tcW w:w="80" w:type="dxa"/>
            <w:vAlign w:val="bottom"/>
            <w:tcBorders>
              <w:top w:val="single" w:sz="8" w:color="auto"/>
            </w:tcBorders>
            <w:shd w:val="clear" w:color="auto" w:fill="DBDBDB"/>
          </w:tcPr>
          <w:p>
            <w:pPr>
              <w:spacing w:after="0"/>
              <w:rPr>
                <w:sz w:val="20"/>
                <w:szCs w:val="20"/>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56"/>
        </w:trPr>
        <w:tc>
          <w:tcPr>
            <w:tcW w:w="3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3"/>
        </w:trPr>
        <w:tc>
          <w:tcPr>
            <w:tcW w:w="34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COST AND EXPENSES:</w:t>
            </w: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spacing w:after="0"/>
              <w:rPr>
                <w:sz w:val="21"/>
                <w:szCs w:val="21"/>
                <w:color w:val="auto"/>
              </w:rPr>
            </w:pPr>
          </w:p>
        </w:tc>
      </w:tr>
      <w:tr>
        <w:trPr>
          <w:trHeight w:val="233"/>
        </w:trPr>
        <w:tc>
          <w:tcPr>
            <w:tcW w:w="3460" w:type="dxa"/>
            <w:vAlign w:val="bottom"/>
          </w:tcPr>
          <w:p>
            <w:pPr>
              <w:ind w:left="20"/>
              <w:spacing w:after="0"/>
              <w:rPr>
                <w:sz w:val="20"/>
                <w:szCs w:val="20"/>
                <w:color w:val="auto"/>
              </w:rPr>
            </w:pPr>
            <w:r>
              <w:rPr>
                <w:rFonts w:ascii="Arial" w:cs="Arial" w:eastAsia="Arial" w:hAnsi="Arial"/>
                <w:sz w:val="16"/>
                <w:szCs w:val="16"/>
                <w:color w:val="auto"/>
              </w:rPr>
              <w:t>Restaurant operating expenses: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3"/>
        </w:trPr>
        <w:tc>
          <w:tcPr>
            <w:tcW w:w="34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Food, beverage and packaging costs</w:t>
            </w: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55,551</w:t>
            </w:r>
          </w:p>
        </w:tc>
        <w:tc>
          <w:tcPr>
            <w:tcW w:w="8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53,374</w:t>
            </w: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35.3 %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165,407</w:t>
            </w: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33.6 %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151,414</w:t>
            </w: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34.7 %</w:t>
            </w:r>
          </w:p>
        </w:tc>
      </w:tr>
      <w:tr>
        <w:trPr>
          <w:trHeight w:val="233"/>
        </w:trPr>
        <w:tc>
          <w:tcPr>
            <w:tcW w:w="3460" w:type="dxa"/>
            <w:vAlign w:val="bottom"/>
          </w:tcPr>
          <w:p>
            <w:pPr>
              <w:ind w:left="220"/>
              <w:spacing w:after="0"/>
              <w:rPr>
                <w:sz w:val="20"/>
                <w:szCs w:val="20"/>
                <w:color w:val="auto"/>
              </w:rPr>
            </w:pPr>
            <w:r>
              <w:rPr>
                <w:rFonts w:ascii="Arial" w:cs="Arial" w:eastAsia="Arial" w:hAnsi="Arial"/>
                <w:sz w:val="16"/>
                <w:szCs w:val="16"/>
                <w:color w:val="auto"/>
              </w:rPr>
              <w:t>Labor</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42,588</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39,133</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126,200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114,352</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26.2 %</w:t>
            </w:r>
          </w:p>
        </w:tc>
      </w:tr>
      <w:tr>
        <w:trPr>
          <w:trHeight w:val="253"/>
        </w:trPr>
        <w:tc>
          <w:tcPr>
            <w:tcW w:w="34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Occupancy</w:t>
            </w: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8,210</w:t>
            </w:r>
          </w:p>
        </w:tc>
        <w:tc>
          <w:tcPr>
            <w:tcW w:w="8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7,644</w:t>
            </w: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24,898</w:t>
            </w: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22,778</w:t>
            </w: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5.2 %</w:t>
            </w:r>
          </w:p>
        </w:tc>
      </w:tr>
      <w:tr>
        <w:trPr>
          <w:trHeight w:val="237"/>
        </w:trPr>
        <w:tc>
          <w:tcPr>
            <w:tcW w:w="3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operating expenses</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18,571</w:t>
            </w:r>
          </w:p>
        </w:tc>
        <w:tc>
          <w:tcPr>
            <w:tcW w:w="80" w:type="dxa"/>
            <w:vAlign w:val="bottom"/>
            <w:tcBorders>
              <w:bottom w:val="single" w:sz="8" w:color="DBDBDB"/>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16,882</w:t>
            </w:r>
          </w:p>
        </w:tc>
        <w:tc>
          <w:tcPr>
            <w:tcW w:w="80" w:type="dxa"/>
            <w:vAlign w:val="bottom"/>
            <w:tcBorders>
              <w:bottom w:val="single" w:sz="8" w:color="DBDBDB"/>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56,107</w:t>
            </w:r>
          </w:p>
        </w:tc>
        <w:tc>
          <w:tcPr>
            <w:tcW w:w="100" w:type="dxa"/>
            <w:vAlign w:val="bottom"/>
            <w:tcBorders>
              <w:bottom w:val="single" w:sz="8" w:color="DBDBDB"/>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47,225</w:t>
            </w:r>
          </w:p>
        </w:tc>
        <w:tc>
          <w:tcPr>
            <w:tcW w:w="80" w:type="dxa"/>
            <w:vAlign w:val="bottom"/>
            <w:tcBorders>
              <w:bottom w:val="single" w:sz="8" w:color="DBDBDB"/>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10.8 %</w:t>
            </w:r>
          </w:p>
        </w:tc>
      </w:tr>
      <w:tr>
        <w:trPr>
          <w:trHeight w:val="243"/>
        </w:trPr>
        <w:tc>
          <w:tcPr>
            <w:tcW w:w="3460" w:type="dxa"/>
            <w:vAlign w:val="bottom"/>
            <w:shd w:val="clear" w:color="auto" w:fill="DBDBDB"/>
          </w:tcPr>
          <w:p>
            <w:pPr>
              <w:ind w:left="460"/>
              <w:spacing w:after="0"/>
              <w:rPr>
                <w:sz w:val="20"/>
                <w:szCs w:val="20"/>
                <w:color w:val="auto"/>
              </w:rPr>
            </w:pPr>
            <w:r>
              <w:rPr>
                <w:rFonts w:ascii="Arial" w:cs="Arial" w:eastAsia="Arial" w:hAnsi="Arial"/>
                <w:sz w:val="16"/>
                <w:szCs w:val="16"/>
                <w:b w:val="1"/>
                <w:bCs w:val="1"/>
                <w:color w:val="auto"/>
              </w:rPr>
              <w:t>Total restaurant operating expenses</w:t>
            </w: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124,920</w:t>
            </w:r>
          </w:p>
        </w:tc>
        <w:tc>
          <w:tcPr>
            <w:tcW w:w="8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74.9 %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117,033</w:t>
            </w: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77.4 %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372,612</w:t>
            </w: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75.7 %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335,769</w:t>
            </w: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77.0 %</w:t>
            </w:r>
          </w:p>
        </w:tc>
      </w:tr>
      <w:tr>
        <w:trPr>
          <w:trHeight w:val="233"/>
        </w:trPr>
        <w:tc>
          <w:tcPr>
            <w:tcW w:w="3460" w:type="dxa"/>
            <w:vAlign w:val="bottom"/>
          </w:tcPr>
          <w:p>
            <w:pPr>
              <w:ind w:left="24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18,898</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18,059</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57,285</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49,185</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11.3 %</w:t>
            </w:r>
          </w:p>
        </w:tc>
      </w:tr>
      <w:tr>
        <w:trPr>
          <w:trHeight w:val="253"/>
        </w:trPr>
        <w:tc>
          <w:tcPr>
            <w:tcW w:w="3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Pre-opening expenses</w:t>
            </w: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2,410</w:t>
            </w:r>
          </w:p>
        </w:tc>
        <w:tc>
          <w:tcPr>
            <w:tcW w:w="8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791</w:t>
            </w: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5,029</w:t>
            </w: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1,770</w:t>
            </w: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0.4 %</w:t>
            </w:r>
          </w:p>
        </w:tc>
      </w:tr>
      <w:tr>
        <w:trPr>
          <w:trHeight w:val="233"/>
        </w:trPr>
        <w:tc>
          <w:tcPr>
            <w:tcW w:w="346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6,178</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5,289</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17,788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15,803</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29"/>
        </w:trPr>
        <w:tc>
          <w:tcPr>
            <w:tcW w:w="3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income attributable to equity method</w:t>
            </w:r>
          </w:p>
        </w:tc>
        <w:tc>
          <w:tcPr>
            <w:tcW w:w="14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6"/>
        </w:trPr>
        <w:tc>
          <w:tcPr>
            <w:tcW w:w="3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investment</w:t>
            </w:r>
          </w:p>
        </w:tc>
        <w:tc>
          <w:tcPr>
            <w:tcW w:w="14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(422)</w:t>
            </w:r>
          </w:p>
        </w:tc>
        <w:tc>
          <w:tcPr>
            <w:tcW w:w="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(409)</w:t>
            </w:r>
          </w:p>
        </w:tc>
        <w:tc>
          <w:tcPr>
            <w:tcW w:w="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(807)</w:t>
            </w:r>
          </w:p>
        </w:tc>
        <w:tc>
          <w:tcPr>
            <w:tcW w:w="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3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80" w:type="dxa"/>
            <w:vAlign w:val="bottom"/>
            <w:tcBorders>
              <w:bottom w:val="single" w:sz="8" w:color="DBDBDB"/>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80" w:type="dxa"/>
            <w:vAlign w:val="bottom"/>
            <w:tcBorders>
              <w:bottom w:val="single" w:sz="8" w:color="DBDBDB"/>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DBDBDB"/>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80" w:type="dxa"/>
            <w:vAlign w:val="bottom"/>
            <w:tcBorders>
              <w:bottom w:val="single" w:sz="8" w:color="DBDBDB"/>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43"/>
        </w:trPr>
        <w:tc>
          <w:tcPr>
            <w:tcW w:w="34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15,097</w:t>
            </w:r>
          </w:p>
        </w:tc>
        <w:tc>
          <w:tcPr>
            <w:tcW w:w="8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10,586</w:t>
            </w: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40,973</w:t>
            </w: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8.3 %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34,839</w:t>
            </w:r>
          </w:p>
        </w:tc>
        <w:tc>
          <w:tcPr>
            <w:tcW w:w="8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8.0 %</w:t>
            </w:r>
          </w:p>
        </w:tc>
      </w:tr>
      <w:tr>
        <w:trPr>
          <w:trHeight w:val="233"/>
        </w:trPr>
        <w:tc>
          <w:tcPr>
            <w:tcW w:w="34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6,573</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7,090</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20,539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19,286</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53"/>
        </w:trPr>
        <w:tc>
          <w:tcPr>
            <w:tcW w:w="34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DBDBDB"/>
          </w:tcPr>
          <w:p>
            <w:pPr>
              <w:spacing w:after="0"/>
              <w:rPr>
                <w:sz w:val="21"/>
                <w:szCs w:val="21"/>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DBDBDB"/>
          </w:tcPr>
          <w:p>
            <w:pPr>
              <w:spacing w:after="0"/>
              <w:rPr>
                <w:sz w:val="21"/>
                <w:szCs w:val="21"/>
                <w:color w:val="auto"/>
              </w:rPr>
            </w:pPr>
          </w:p>
        </w:tc>
        <w:tc>
          <w:tcPr>
            <w:tcW w:w="102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DBDBDB"/>
          </w:tcPr>
          <w:p>
            <w:pPr>
              <w:spacing w:after="0"/>
              <w:rPr>
                <w:sz w:val="21"/>
                <w:szCs w:val="21"/>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3460" w:type="dxa"/>
            <w:vAlign w:val="bottom"/>
          </w:tcPr>
          <w:p>
            <w:pPr>
              <w:ind w:left="220"/>
              <w:spacing w:after="0"/>
              <w:rPr>
                <w:sz w:val="20"/>
                <w:szCs w:val="20"/>
                <w:color w:val="auto"/>
              </w:rPr>
            </w:pPr>
            <w:r>
              <w:rPr>
                <w:rFonts w:ascii="Arial" w:cs="Arial" w:eastAsia="Arial" w:hAnsi="Arial"/>
                <w:sz w:val="16"/>
                <w:szCs w:val="16"/>
                <w:color w:val="auto"/>
              </w:rPr>
              <w:t>Tax Receivable Agreement liability</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460" w:type="dxa"/>
            <w:vAlign w:val="bottom"/>
          </w:tcPr>
          <w:p>
            <w:pPr>
              <w:ind w:left="220"/>
              <w:spacing w:after="0"/>
              <w:rPr>
                <w:sz w:val="20"/>
                <w:szCs w:val="20"/>
                <w:color w:val="auto"/>
              </w:rPr>
            </w:pPr>
            <w:r>
              <w:rPr>
                <w:rFonts w:ascii="Arial" w:cs="Arial" w:eastAsia="Arial" w:hAnsi="Arial"/>
                <w:sz w:val="16"/>
                <w:szCs w:val="16"/>
                <w:color w:val="auto"/>
              </w:rPr>
              <w:t>adjustment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(708)</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(2,462)</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46"/>
        </w:trPr>
        <w:tc>
          <w:tcPr>
            <w:tcW w:w="34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Loss on debt extinguishment</w:t>
            </w:r>
          </w:p>
        </w:tc>
        <w:tc>
          <w:tcPr>
            <w:tcW w:w="140" w:type="dxa"/>
            <w:vAlign w:val="bottom"/>
            <w:shd w:val="clear" w:color="auto" w:fill="DBDBDB"/>
          </w:tcPr>
          <w:p>
            <w:pPr>
              <w:spacing w:after="0"/>
              <w:rPr>
                <w:sz w:val="21"/>
                <w:szCs w:val="21"/>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shd w:val="clear" w:color="auto" w:fill="DBDBDB"/>
          </w:tcPr>
          <w:p>
            <w:pPr>
              <w:spacing w:after="0"/>
              <w:rPr>
                <w:sz w:val="21"/>
                <w:szCs w:val="21"/>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DBDBDB"/>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3,465</w:t>
            </w:r>
          </w:p>
        </w:tc>
        <w:tc>
          <w:tcPr>
            <w:tcW w:w="10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39"/>
        </w:trPr>
        <w:tc>
          <w:tcPr>
            <w:tcW w:w="3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9,168</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4,204</w:t>
            </w:r>
          </w:p>
        </w:tc>
        <w:tc>
          <w:tcPr>
            <w:tcW w:w="8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18,776</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18,015</w:t>
            </w:r>
          </w:p>
        </w:tc>
        <w:tc>
          <w:tcPr>
            <w:tcW w:w="8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4.1 %</w:t>
            </w:r>
          </w:p>
        </w:tc>
      </w:tr>
      <w:tr>
        <w:trPr>
          <w:trHeight w:val="240"/>
        </w:trPr>
        <w:tc>
          <w:tcPr>
            <w:tcW w:w="34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2,622</w:t>
            </w:r>
          </w:p>
        </w:tc>
        <w:tc>
          <w:tcPr>
            <w:tcW w:w="80" w:type="dxa"/>
            <w:vAlign w:val="bottom"/>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1,006</w:t>
            </w:r>
          </w:p>
        </w:tc>
        <w:tc>
          <w:tcPr>
            <w:tcW w:w="80" w:type="dxa"/>
            <w:vAlign w:val="bottom"/>
            <w:shd w:val="clear" w:color="auto" w:fill="DBDBDB"/>
          </w:tcPr>
          <w:p>
            <w:pPr>
              <w:spacing w:after="0"/>
              <w:rPr>
                <w:sz w:val="20"/>
                <w:szCs w:val="20"/>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3,605</w:t>
            </w:r>
          </w:p>
        </w:tc>
        <w:tc>
          <w:tcPr>
            <w:tcW w:w="100" w:type="dxa"/>
            <w:vAlign w:val="bottom"/>
            <w:shd w:val="clear" w:color="auto" w:fill="DBDBDB"/>
          </w:tcPr>
          <w:p>
            <w:pPr>
              <w:spacing w:after="0"/>
              <w:rPr>
                <w:sz w:val="20"/>
                <w:szCs w:val="20"/>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DBDBDB"/>
          </w:tcPr>
          <w:p>
            <w:pPr>
              <w:spacing w:after="0"/>
              <w:rPr>
                <w:sz w:val="20"/>
                <w:szCs w:val="20"/>
                <w:color w:val="auto"/>
              </w:rPr>
            </w:pPr>
          </w:p>
        </w:tc>
        <w:tc>
          <w:tcPr>
            <w:tcW w:w="140" w:type="dxa"/>
            <w:vAlign w:val="bottom"/>
            <w:tcBorders>
              <w:bottom w:val="single" w:sz="8" w:color="auto"/>
            </w:tcBorders>
            <w:shd w:val="clear" w:color="auto" w:fill="DBDBDB"/>
          </w:tcPr>
          <w:p>
            <w:pPr>
              <w:spacing w:after="0"/>
              <w:rPr>
                <w:sz w:val="20"/>
                <w:szCs w:val="20"/>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3,511</w:t>
            </w:r>
          </w:p>
        </w:tc>
        <w:tc>
          <w:tcPr>
            <w:tcW w:w="80" w:type="dxa"/>
            <w:vAlign w:val="bottom"/>
            <w:shd w:val="clear" w:color="auto" w:fill="DBDBDB"/>
          </w:tcPr>
          <w:p>
            <w:pPr>
              <w:spacing w:after="0"/>
              <w:rPr>
                <w:sz w:val="20"/>
                <w:szCs w:val="20"/>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0.8 %</w:t>
            </w:r>
          </w:p>
        </w:tc>
      </w:tr>
      <w:tr>
        <w:trPr>
          <w:trHeight w:val="239"/>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6,546</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3,198</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15,171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14,504</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23"/>
        </w:trPr>
        <w:tc>
          <w:tcPr>
            <w:tcW w:w="3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attributable to non-controlling</w:t>
            </w:r>
          </w:p>
        </w:tc>
        <w:tc>
          <w:tcPr>
            <w:tcW w:w="14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r>
      <w:tr>
        <w:trPr>
          <w:trHeight w:val="220"/>
        </w:trPr>
        <w:tc>
          <w:tcPr>
            <w:tcW w:w="34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interests</w:t>
            </w:r>
          </w:p>
        </w:tc>
        <w:tc>
          <w:tcPr>
            <w:tcW w:w="14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2,185</w:t>
            </w:r>
          </w:p>
        </w:tc>
        <w:tc>
          <w:tcPr>
            <w:tcW w:w="80" w:type="dxa"/>
            <w:vAlign w:val="bottom"/>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1,606</w:t>
            </w:r>
          </w:p>
        </w:tc>
        <w:tc>
          <w:tcPr>
            <w:tcW w:w="80" w:type="dxa"/>
            <w:vAlign w:val="bottom"/>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4,536</w:t>
            </w:r>
          </w:p>
        </w:tc>
        <w:tc>
          <w:tcPr>
            <w:tcW w:w="100" w:type="dxa"/>
            <w:vAlign w:val="bottom"/>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0.9 %</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7,607</w:t>
            </w:r>
          </w:p>
        </w:tc>
        <w:tc>
          <w:tcPr>
            <w:tcW w:w="80" w:type="dxa"/>
            <w:vAlign w:val="bottom"/>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1.7 %</w:t>
            </w:r>
          </w:p>
        </w:tc>
      </w:tr>
      <w:tr>
        <w:trPr>
          <w:trHeight w:val="211"/>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PORTILLO'S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4,361</w:t>
            </w: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1,592</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10,635</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6,897</w:t>
            </w:r>
          </w:p>
        </w:tc>
        <w:tc>
          <w:tcPr>
            <w:tcW w:w="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r>
      <w:tr>
        <w:trPr>
          <w:trHeight w:val="24"/>
        </w:trPr>
        <w:tc>
          <w:tcPr>
            <w:tcW w:w="3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Revenues, Net</w:t>
      </w:r>
    </w:p>
    <w:p>
      <w:pPr>
        <w:spacing w:after="0" w:line="2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Revenues primarily represent the aggregate sales of food and beverages, net of discounts. Sales taxes collected from customers are excluded from revenues. Revenues in any period are directly influenced by the number of operating weeks in the period, the number of open restaurants, restaurant traffic, our menu prices, third-party delivery platform prices and product mix.</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Revenues for the quarter ended September 24, 2023 were $ 166.8 million compared to $151.1 million for the quarter ended September 25, 2022, an increase of $15.7 million or 10.4%. The increase in revenues was primarily attributed to the opening of one restaurant in the fourth quarter of 2022 and six restaurants during the three quarters ended September 24, 2023 combined with an increase in our same-restaurant sales. New restaurants positively impacted revenues by approximately $11.0 million in the quarter ended September 24, 2023. Same-restaurant sales increased 3.9% during the third quarter ended September 24, 2023, which was attributable to an increase in average check of 7.4%, partially offset by a 3.5% decrease in transactions. The higher average check was driven by an approximate 9.1% increase in certain menu prices partially offset by product mix. For the purpose of calculating same-restaurant sales for September 24, 2023, sales for the 66 restaurants that were open for at least 24 full fiscal periods were included in the Comparable Restaurant Base (as defined in "Selected Operating Data" below).</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Revenues for the three quarters ended September 24, 2023 were $492.0 million compared to $436.2 million for the three quarters ended September 25, 2022, an increase of $55.8 million or 12.8%. The increase in revenues was primarily attributed to the opening of three restaurants in 2022 and six restaurants during the three quarters ended September 24, 2023 combined with an increase in our same-restaurant sales. The new restaurants positively impacted revenues by approximately $31.5 million in the three quarters ended September 24, 2023. Same-restaurant sales increased 6.1% during the three quarters ended September 24, 2023, which was attributable to an increase in average check of 7.1% and partially offset by a 1.0% decrease in transactions. The higher average check was primarily driven by an approximate 9.4% increase in menu prices partially offset by product mix. During mid-January 2023 and at the beginning of May 2023, we increased certain menu prices to reflect an approximate 2.0% and 3.0% price increase, respectively, to continue to combat inflationary cost pressures and progress towards our goal to improve Restaurant-Level Adjusted EBITDA margins for fiscal 2023. For the purpose of calculating same-restaurant sales for September 24, 2023, sales for the 66 restaurants that were open for at least 24 full fiscal periods were included in the Comparable Restaurant Base.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Food, Beverage and Packaging Costs</w:t>
      </w:r>
    </w:p>
    <w:p>
      <w:pPr>
        <w:spacing w:after="0" w:line="27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Food, beverage and packaging costs include the direct costs associated with food and beverages, including paper products and third-party delivery commissions. The components of food, beverage and packaging costs are variable by nature, change with sales volume, are impacted by product mix and are subject to increases or decreases in commodity costs</w:t>
      </w:r>
      <w:r>
        <w:rPr>
          <w:rFonts w:ascii="Arial" w:cs="Arial" w:eastAsia="Arial" w:hAnsi="Arial"/>
          <w:sz w:val="18"/>
          <w:szCs w:val="18"/>
          <w:i w:val="1"/>
          <w:iCs w:val="1"/>
          <w:color w:val="auto"/>
        </w:rPr>
        <w: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Food, beverage and packaging costs for the quarter ended September 24, 2023 was $55.6 million compared to $53.4 million for the quarter ended September 25, 2022, an increase of $2.2 million or 4.1%. This increase was primarily driven by a 3.5% increase in commodity prices and the opening of one restaurant in the fourth quarter of 2022 and six restaurants during the three quarters ended September 24, 2023, partially offset by lower third-party delivery commissions. As a percentage of revenues, net, food, beverage and packaging costs decreased 2.0% during the quarter ended September 24, 2023. The decrease was primarily due to an increase in average check and lower third-party delivery commissions, partially offset by an increase in certain commodity prices.</w:t>
      </w:r>
    </w:p>
    <w:p>
      <w:pPr>
        <w:spacing w:after="0" w:line="2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Food, beverage and packaging costs for the three quarters ended September 24, 2023 was $165.4 million compared to $151.4 million for the three quarters ended September 25, 2022, an increase of $14.0 million or 9.2%. This increase was primarily driven by a 5.8% increase in commodity prices and the opening of three restaurants in 2022 and six restaurants during the three quarters ended September 24, 2023, partially offset by lower third-party delivery commissions. As a percentage of revenues, net, food, beverage and packaging costs decreased 1.1% during the three quarters ended September 24, 2023. The decrease was primarily due to an increase in average check and lower third-party delivery commissions, partially offset by an increase in certain commodity prices.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Labor Expenses</w:t>
      </w:r>
    </w:p>
    <w:p>
      <w:pPr>
        <w:spacing w:after="0" w:line="25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Labor expenses include hourly and management wages, bonuses and equity-based compensation, payroll taxes, workers’ compensation expense, and team member benefits. Factors that influence labor costs include wage inflation and payroll tax legislation, health care costs and the staffing needs of our restaurants</w:t>
      </w:r>
      <w:r>
        <w:rPr>
          <w:rFonts w:ascii="Arial" w:cs="Arial" w:eastAsia="Arial" w:hAnsi="Arial"/>
          <w:sz w:val="18"/>
          <w:szCs w:val="18"/>
          <w:i w:val="1"/>
          <w:iCs w:val="1"/>
          <w:color w:val="auto"/>
        </w:rPr>
        <w:t>.</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Labor expenses for the quarter ended September 24, 2023 were $42.6 million compared to $39.1 million for the quarter ended September 25, 2022, an increase of $3.5 million or 8.8%. This increase was primarily driven by the opening of one restaurant in the fourth quarter of 2022 and six restaurants during the three quarters ended September 24, 2023, and incremental investments to support our team members, including annual rate increases, and higher variable-based compensation. As a percentage of revenues, net, labor decreased 0.4% primarily due to increase in our average check, partially offset by lower transactions, higher labor utilization, and the aforementioned incremental wage rate increases to support our team members.</w:t>
      </w:r>
    </w:p>
    <w:p>
      <w:pPr>
        <w:spacing w:after="0" w:line="2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Labor expenses for the three quarters ended September 24, 2023 were $126.2 million compared to $ 114.4 million for the three quarters ended September 25, 2022, an increase of $11.8 million or 10.4%. This increase was primarily driven by the opening of three restaurants in 2022 and six restaurants during the three quarters ended September 24, 2023, incremental investments to support our team members, including annual rate increases, and higher variable-based compensation. As a percentage of revenues, net, labor decreased 0.6% primarily due to an increase in our average check, partially offset by lower transactions, the aforementioned incremental hourly rate increases to support our team members and higher labor utilization.</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Occupancy Expenses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property insurance and property taxes.</w:t>
      </w:r>
    </w:p>
    <w:p>
      <w:pPr>
        <w:spacing w:after="0" w:line="25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Occupancy expenses for the quarter ended September 24, 2023 were $8.2 million compared to $ 7.6 million for the quarter ended September 25, 2022, an increase of $0.6 million or 7.4%, primarily driven by the opening of one restaurant in the fourth quarter of 2022 and six restaurants during the three quarters ended September 24, 2023. As a percentage of revenues, net, occupancy expenses decreased 0.2% primarily due to an increase in our average check.</w:t>
      </w:r>
    </w:p>
    <w:p>
      <w:pPr>
        <w:spacing w:after="0" w:line="21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Occupancy expenses for the three quarters ended September 24, 2023 were $24.9 million compared to $22.8 million for the three quarters ended September 25, 2022, an increase of $2.1 million or 9.3%, primarily driven by the opening of three restaurants in 2022 and six restaurants during the three quarters ended September 24, 2023. As a percentage of revenues, net, occupancy expenses decreased 0.2% primarily due to an increase in our average check.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Operating Expenses</w:t>
      </w:r>
    </w:p>
    <w:p>
      <w:pPr>
        <w:spacing w:after="0" w:line="25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Other operating expenses consist of direct marketing expenses, utilities and other operating expenses incidental to operating our restaurants, such as credit card fees and repairs and maintenance.</w:t>
      </w: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Other operating expenses for the quarter ended September 24, 2023 were $18.6 million compared to $16.9 million for the quarter ended September 25, 2022, an increase of $1.7 million or 10.0%, primarily due to the opening of one restaurant in the fourth quarter of 2022 and six restaurants during the three quarters ended September 24, 2023 and an increase in credit card fees, utilities, and insurance. As a percentage of revenues, net, operating expenses decreased 0.1% due primarily to an increase in our average check.</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Other operating expenses for the three quarters ended September 24, 2023 were $56.1 million compared to $47.2 million for the three quarters ended September 25, 2022, an increase of $8.9 million or 18.8%, primarily due to an increase in credit card fees, utilities, repair and maintenance expenses, insurance, and operating supplies, and the opening of three restaurants in 2022 and six restaurants during the three quarters ended September 24, 2023. As a percentage of revenues, net, operating expenses increased 0.6% due primarily to the aforementioned increases in expenses, partially offset by an increase in our average check.</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General and Administrative Expenses</w:t>
      </w:r>
    </w:p>
    <w:p>
      <w:pPr>
        <w:spacing w:after="0" w:line="27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equity-based compensation expense. General and administrative expenses are impacted by changes in our team member count and costs related to strategic and growth initiatives.</w:t>
      </w:r>
    </w:p>
    <w:p>
      <w:pPr>
        <w:spacing w:after="0" w:line="2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General and administrative expenses for the quarter ended September 24, 2023 were $18.9 million compared to $18.1 million for the quarter ended September 25, 2022, an increase of $ 0.8 million or 4.6%. This increase was primarily driven by increases in salaries, wages and benefits attributable to annual rate increases and the filling of open positions, partially offset by a decrease in professional fees and insurance expenses.</w:t>
      </w:r>
    </w:p>
    <w:p>
      <w:pPr>
        <w:spacing w:after="0" w:line="2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General and administrative expenses for the three quarters ended September 24, 2023 were $ 57.3 million compared to $49.2 million for the three quarters ended September 25, 2022, an increase of $8.1 million or 16.5%. This increase was primarily driven by increases in salaries, wages and benefits attributable to annual rate increases and the filling of open positions, higher variable-based compensation, higher professional and licensing fees, partially offset by a decrease in insurance expenses.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Pre-Opening Expenses</w:t>
      </w:r>
    </w:p>
    <w:p>
      <w:pPr>
        <w:spacing w:after="0" w:line="2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Pre-opening expenses consist primarily of wages, occupancy expenses, which represent rent expense recognized during the period between the date of possession of the restaurant facility and the restaurant opening date, travel for the opening team and other supporting team members, food, beverage, and the initial stocking of operating supplies.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experience higher pre-opening expenses than our established geographic market areas, such as the Chicagoland area, where we have greater economies of scale and incur lower travel and lodging costs for our training team.</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Pre-opening expenses for the quarter ended September 24, 2023 were $2.4 million compared to $0.8 million for the quarter ended September 25, 2022, an increase of $1.6 million or 204.7%. The increase was due to the timing and geographic location of activities related to our planned restaurant openings for the quarter ended September 24, 2023 as compared to the quarter ended September 25, 2022.</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Pre-opening expenses for the three quarters ended September 24, 2023 were $5.0 million compared to $1.8 million for the three quarters ended September 25, 2022, an increase of $3.3 million or 184.1%. This increase was due to the timing and geographic location of restaurant openings for the three quarters ended September 24, 2023 as compared to the three quarters ended September 25, 2022.</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Depreciation and Amortization</w:t>
      </w:r>
    </w:p>
    <w:p>
      <w:pPr>
        <w:spacing w:after="0" w:line="271"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color w:val="auto"/>
        </w:rPr>
        <w:t>Depreciation and amortization expenses consist of the depreciation of fixed assets, including leasehold improvements, fixtures and equipment and the amortization of definite-lived intangible assets, which are primarily comprised of recipes.</w:t>
      </w: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Depreciation and amortization expense for the quarter ended September 24, 2023 was $6.2 million compared to $5.3 million for the quarter ended September 25, 2022, an increase of $0.9 million or 16.8%. This increase was primarily attributable to incremental depreciation of capital expenditures related to the opening of one restaurant in the fourth quarter of 2022 and six restaurants during the three quarters ended September 24, 2023.</w:t>
      </w:r>
    </w:p>
    <w:p>
      <w:pPr>
        <w:spacing w:after="0" w:line="2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Depreciation and amortization expense for the three quarters ended September 24, 2023 was $17.8 million compared to $15.8 million for the three quarters ended September 25, 2022, an increase of $2.0 million or 12.6%. This increase was primarily attributable to incremental depreciation of capital expenditures related to the opening of three restaurants in 2022 and six restaurants during the three quarters ended September 24, 2023.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Equity Method Investment</w:t>
      </w:r>
    </w:p>
    <w:p>
      <w:pPr>
        <w:spacing w:after="0" w:line="2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income attributable to equity method investment consists of a 50% interest in C&amp;O, which runs a single restaurant located within the Chicagoland market. We account for the investment and financial results in the condensed consolidated financial statements under the equity method of accounting as we have significant influence but do not have control.</w:t>
      </w:r>
    </w:p>
    <w:p>
      <w:pPr>
        <w:spacing w:after="0" w:line="21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Net income attributable to equity method investment for both the quarter ended September 24, 2023 and the quarter ended September 25, 2022 was $0.4 million.</w:t>
      </w:r>
    </w:p>
    <w:p>
      <w:pPr>
        <w:spacing w:after="0" w:line="20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Net income attributable to equity method investment for the three quarters ended September 24, 2023 was $ 1.0 million compared to $0.8 million for the three quarters ended September 25, 2022, an increase of $0.2 million or 25.2%. This increase was primarily driven by increased revenue, which is attributable to an increase in average check, partially offset by a decrease in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Income, Net</w:t>
      </w:r>
    </w:p>
    <w:p>
      <w:pPr>
        <w:spacing w:after="0" w:line="27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Other income, net, includes among other items, income resulting from discounts received for timely filing of sales tax returns, management fee income associated with our investment in C&amp;O, trading gains or losses on our deferred compensation plan and gains or losses on asset disposals.</w:t>
      </w:r>
    </w:p>
    <w:p>
      <w:pPr>
        <w:spacing w:after="0" w:line="21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Other income, net, for the quarter ended September 24, 2023 was $0.3 million compared to $ 0.2 million for the quarter ended September 25, 2022, an increase of $0.05 million or 21.1%. This increase was primarily due to a decrease in loss on sale of assets.</w:t>
      </w:r>
    </w:p>
    <w:p>
      <w:pPr>
        <w:spacing w:after="0" w:line="20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Other income, net, for the three quarters ended September 24, 2023 was $0.6 million compared to $0.3 million for the three quarters ended September 25, 2022, an increase of $0.3 million or 89.2%. This increase was primarily due to an increase in trading gains in the rabbi trust used to fund our deferred compensation plan, partially offset by an increase in loss on sale of assets.</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Expense</w:t>
      </w:r>
    </w:p>
    <w:p>
      <w:pPr>
        <w:spacing w:after="0" w:line="27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Interest expense primarily consists of interest and fees on our credit facilities and the amortization expense for debt discount and deferred issuance costs.</w:t>
      </w:r>
    </w:p>
    <w:p>
      <w:pPr>
        <w:spacing w:after="0" w:line="20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Interest expense for the quarter ended September 24, 2023 was $6.6 million compared to $7.1 million for the quarter ended September 25, 2022, a decrease of $0.5 million or 7.3%. This decrease was primarily driven by the improved lending terms associated with our 2023 Term Loan and 2023 Revolver Facility.</w:t>
      </w:r>
    </w:p>
    <w:p>
      <w:pPr>
        <w:spacing w:after="0" w:line="211"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Interest expense for the three quarters ended September 24, 2023 was $20.5 million compared to $19.3 million for the three quarters ended September 25, 2022, an increase of $1.3 million or 6.5%. This increase was primarily driven by higher effective interest rates through the first three quarters of 2023 compared to the same period in 2022 attributable to the year over year rising interest rate environment, partially offset by the improved lending terms associated with our 2023 Term Loan and 2023 Revolver Facility.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interest rate was 8.50% and 8.84% as of September 24, 2023 and September 25, 2022,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Income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primarily consists of interest earned on our cash and cash equivalents.</w:t>
      </w:r>
    </w:p>
    <w:p>
      <w:pPr>
        <w:spacing w:after="0" w:line="25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Interest income for the quarter and three quarters ended September 24, 2023 was $0.1 million. There was no interest income in the quarter and three quarters ended September 25, 2022.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 Liability Adjustment</w:t>
      </w:r>
    </w:p>
    <w:p>
      <w:pPr>
        <w:spacing w:after="0" w:line="271" w:lineRule="exact"/>
        <w:rPr>
          <w:sz w:val="20"/>
          <w:szCs w:val="20"/>
          <w:color w:val="auto"/>
        </w:rPr>
      </w:pPr>
    </w:p>
    <w:p>
      <w:pPr>
        <w:ind w:right="40"/>
        <w:spacing w:after="0" w:line="306" w:lineRule="auto"/>
        <w:rPr>
          <w:sz w:val="20"/>
          <w:szCs w:val="20"/>
          <w:color w:val="auto"/>
        </w:rPr>
      </w:pPr>
      <w:r>
        <w:rPr>
          <w:rFonts w:ascii="Arial" w:cs="Arial" w:eastAsia="Arial" w:hAnsi="Arial"/>
          <w:sz w:val="17"/>
          <w:szCs w:val="17"/>
          <w:color w:val="auto"/>
        </w:rPr>
        <w:t>We are party to a Tax Receivable Agreement liability with certain members of Portillo's OpCo that provides for the payment by us of 85% of the amount of tax benefits, if any, that Portillo's Inc. actually realizes or in some cases is deemed to realize as a result of certain transactions.</w:t>
      </w:r>
    </w:p>
    <w:p>
      <w:pPr>
        <w:spacing w:after="0" w:line="177" w:lineRule="exact"/>
        <w:rPr>
          <w:sz w:val="20"/>
          <w:szCs w:val="20"/>
          <w:color w:val="auto"/>
        </w:rPr>
      </w:pPr>
    </w:p>
    <w:p>
      <w:pPr>
        <w:jc w:val="both"/>
        <w:ind w:right="260"/>
        <w:spacing w:after="0" w:line="258" w:lineRule="auto"/>
        <w:rPr>
          <w:sz w:val="20"/>
          <w:szCs w:val="20"/>
          <w:color w:val="auto"/>
        </w:rPr>
      </w:pPr>
      <w:r>
        <w:rPr>
          <w:rFonts w:ascii="Arial" w:cs="Arial" w:eastAsia="Arial" w:hAnsi="Arial"/>
          <w:sz w:val="18"/>
          <w:szCs w:val="18"/>
          <w:color w:val="auto"/>
        </w:rPr>
        <w:t>The tax receivable agreement liability adjustment was $0.5 million for the quarter ended September 24, 2023 and $1.7 million for the three quarters ended September 24, 2023 related to a remeasurement primarily due to activity under equity-based compensation plans. The tax receivable agreement liability adjustment, was $0.7 million and $2.5 million for the quarter and three quarters ended September 25, 2022,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Loss on Debt Extinguishment</w:t>
      </w:r>
    </w:p>
    <w:p>
      <w:pPr>
        <w:spacing w:after="0" w:line="2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Loss on debt extinguishment for the three quarters ended September 24, 2023 was $3.5 million due to the write-off of debt discount and deferred issuance costs of associated with the payoff of the 2014 Credit Agreement as described in Note 8. Debt. There was no loss on debt extinguishment for the quarter ended September 24, 2023 and the quarter and three quarters ended September 25, 2022.</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w:t>
      </w:r>
    </w:p>
    <w:p>
      <w:pPr>
        <w:spacing w:after="0" w:line="27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Portillo's OpCo is treated as a partnership for U.S. federal, as well as state and local income tax purposes and is not subject to taxes. Rather, any taxable income or loss generated by Portillo's OpCo is allocated to its members in relation to their respective ownership percentage of Portillo's OpCo. We are subject to U.S. federal, as well as state and local income taxes with respect to our allocable share of any taxable income or loss of Portillo's OpCo, as well as any stand-alone income or loss generated by Portillo's Inc.</w:t>
      </w:r>
    </w:p>
    <w:p>
      <w:pPr>
        <w:spacing w:after="0" w:line="2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Income tax expense for the quarter ended September 24, 2023 was $ 2.6 million compared to $1.0 million for the quarter ended September 25, 2022, an increase of $1.6 million or 160.6%. Our effective income tax rate for the quarter ended September 24, 2023 was 28.6%, compared to 23.9% for the quarter ended September 25, 2022. The increase in our effective income tax rate for the quarter ended September 24, 2023 compared to the quarter ended September 25, 2022 was primarily driven by an increase in the Company's ownership interest in Portillo's OpCo, which increases its share of taxable income (loss) of Portillo's OpCo.</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Income tax expense for the three quarters ended September 24, 2023 was $ 3.6 million compared to income tax expense of $ 3.5 million for the three quarters ended September 25, 2022, an increase of $0.1 million or 2.7%. Our effective income tax rate for the three quarters ended September 24, 2023 was 19.2%, compared to 19.5% for the three quarters ended September 25, 2022. The decrease in our effective income tax rate for the three quarters ended September 24, 2023 compared to the three quarters ended September 25, 2022 was primarily driven by the recording of net operating loss carryforwards.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Non-controlling Interests</w:t>
      </w:r>
    </w:p>
    <w:p>
      <w:pPr>
        <w:spacing w:after="0" w:line="2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the sole managing member of Portillo's OpCo. We manage and operate the business and control the strategic decisions and day-to-day operations of Portillo’s OpCo and we also have a substantial financial interest in Portillo’s OpCo. Accordingly, we consolidate the financial results of Portillo’s OpCo, and a portion of our net income is allocated to non-controlling interests to reflect the entitlement of the pre-IPO LLC Members who retained their equity ownership in Portillo's OpCo (the "pre-IPO LLC Members"). The weighted average ownership percentages for the applicable reporting periods are used to attribute net income (loss) to Portillo's Inc. and the non-controlling interest holders.</w:t>
      </w:r>
    </w:p>
    <w:p>
      <w:pPr>
        <w:spacing w:after="0" w:line="21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income attributable to non-controlling interests for the quarter ended September 24, 2023 was $ 2.2 million, compared to net income attributable to non-controlling interests of $1.6 million for the quarter ended September 25, 2022, an increase of $0.6 million or 36.1%. The increase in net income attributable to non-controlling interests for the quarter ended September 24, 2023 was primarily due to an increase in net income compared to the quarter ended September 25, 2022, partially offset by a decrease in the non-controlling interest holders' weighted average ownership, from 45.9% for the quarter ended September 25, 2022 to 24.1% for the quarter ended September 24, 2023.</w:t>
      </w:r>
    </w:p>
    <w:p>
      <w:pPr>
        <w:spacing w:after="0" w:line="21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income attributable to non-controlling interests for the three quarters ended September 24, 2023 was $4.5 million, compared to net income attributable to non-controlling interest of $7.6 million for the three quarters ended September 25, 2022, a decrease of $3.1 million or 40.4%. The decrease in net income attributable to non-controlling interests for the three quarters ended September 24, 2023 was primarily due to a decrease in the non-controlling interest holders' weighted average ownership, from 48.5% for the three quarters ended September 25, 2022 to 26.6% for the three quarters ended September 24, 2023, partially offset by an increase in net income for the three quarters ended September 24, 2023 compared to the three quarters ended September 25, 2022.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Key Performance Indicators and Non-GAAP Financial Measures</w:t>
      </w:r>
    </w:p>
    <w:p>
      <w:pPr>
        <w:spacing w:after="0" w:line="2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the GAAP measures presented in our financial statements, we use the following key performance indicators and non-GAAP financial measures to evaluate our business, measure our performance, develop financial forecasts and make strategic decisions. These key measures include new restaurant openings, average unit volume ("AUV"), same-restaurant sales, Adjusted EBITDA, Adjusted EBITDA Margin, Restaurant-Level Adjusted EBITDA and Restaurant-Level Adjusted EBITDA Margin. The Company includes these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Quarter 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Quarters Ended</w:t>
            </w:r>
          </w:p>
        </w:tc>
        <w:tc>
          <w:tcPr>
            <w:tcW w:w="840" w:type="dxa"/>
            <w:vAlign w:val="bottom"/>
          </w:tcPr>
          <w:p>
            <w:pPr>
              <w:spacing w:after="0"/>
              <w:rPr>
                <w:sz w:val="19"/>
                <w:szCs w:val="19"/>
                <w:color w:val="auto"/>
              </w:rPr>
            </w:pPr>
          </w:p>
        </w:tc>
      </w:tr>
      <w:tr>
        <w:trPr>
          <w:trHeight w:val="247"/>
        </w:trPr>
        <w:tc>
          <w:tcPr>
            <w:tcW w:w="4240" w:type="dxa"/>
            <w:vAlign w:val="bottom"/>
          </w:tcPr>
          <w:p>
            <w:pPr>
              <w:spacing w:after="0"/>
              <w:rPr>
                <w:sz w:val="21"/>
                <w:szCs w:val="21"/>
                <w:color w:val="auto"/>
              </w:rPr>
            </w:pPr>
          </w:p>
        </w:tc>
        <w:tc>
          <w:tcPr>
            <w:tcW w:w="17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24, 2023</w:t>
            </w:r>
          </w:p>
        </w:tc>
        <w:tc>
          <w:tcPr>
            <w:tcW w:w="17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25, 2022</w:t>
            </w: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24, 2023</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25, 2022</w:t>
            </w:r>
          </w:p>
        </w:tc>
      </w:tr>
      <w:tr>
        <w:trPr>
          <w:trHeight w:val="240"/>
        </w:trPr>
        <w:tc>
          <w:tcPr>
            <w:tcW w:w="4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Restaurants (a)</w:t>
            </w:r>
          </w:p>
        </w:tc>
        <w:tc>
          <w:tcPr>
            <w:tcW w:w="540" w:type="dxa"/>
            <w:vAlign w:val="bottom"/>
            <w:tcBorders>
              <w:top w:val="single" w:sz="8" w:color="auto"/>
            </w:tcBorders>
            <w:shd w:val="clear" w:color="auto" w:fill="DBDBDB"/>
          </w:tcPr>
          <w:p>
            <w:pPr>
              <w:spacing w:after="0"/>
              <w:rPr>
                <w:sz w:val="20"/>
                <w:szCs w:val="20"/>
                <w:color w:val="auto"/>
              </w:rPr>
            </w:pPr>
          </w:p>
        </w:tc>
        <w:tc>
          <w:tcPr>
            <w:tcW w:w="1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DBDBDB"/>
            </w:tcBorders>
            <w:shd w:val="clear" w:color="auto" w:fill="DBDBDB"/>
          </w:tcPr>
          <w:p>
            <w:pPr>
              <w:spacing w:after="0"/>
              <w:rPr>
                <w:sz w:val="20"/>
                <w:szCs w:val="20"/>
                <w:color w:val="auto"/>
              </w:rPr>
            </w:pPr>
          </w:p>
        </w:tc>
        <w:tc>
          <w:tcPr>
            <w:tcW w:w="740" w:type="dxa"/>
            <w:vAlign w:val="bottom"/>
            <w:tcBorders>
              <w:top w:val="single" w:sz="8" w:color="auto"/>
            </w:tcBorders>
            <w:shd w:val="clear" w:color="auto" w:fill="DBDBDB"/>
          </w:tcPr>
          <w:p>
            <w:pPr>
              <w:spacing w:after="0"/>
              <w:rPr>
                <w:sz w:val="20"/>
                <w:szCs w:val="20"/>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DBDBDB"/>
            </w:tcBorders>
            <w:shd w:val="clear" w:color="auto" w:fill="DBDBDB"/>
          </w:tcPr>
          <w:p>
            <w:pPr>
              <w:spacing w:after="0"/>
              <w:rPr>
                <w:sz w:val="20"/>
                <w:szCs w:val="20"/>
                <w:color w:val="auto"/>
              </w:rPr>
            </w:pPr>
          </w:p>
        </w:tc>
        <w:tc>
          <w:tcPr>
            <w:tcW w:w="480" w:type="dxa"/>
            <w:vAlign w:val="bottom"/>
            <w:tcBorders>
              <w:top w:val="single" w:sz="8" w:color="auto"/>
            </w:tcBorders>
            <w:shd w:val="clear" w:color="auto" w:fill="DBDBDB"/>
          </w:tcPr>
          <w:p>
            <w:pPr>
              <w:spacing w:after="0"/>
              <w:rPr>
                <w:sz w:val="20"/>
                <w:szCs w:val="20"/>
                <w:color w:val="auto"/>
              </w:rPr>
            </w:pP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78</w:t>
            </w:r>
          </w:p>
        </w:tc>
        <w:tc>
          <w:tcPr>
            <w:tcW w:w="80" w:type="dxa"/>
            <w:vAlign w:val="bottom"/>
            <w:tcBorders>
              <w:top w:val="single" w:sz="8" w:color="DBDBDB"/>
            </w:tcBorders>
            <w:shd w:val="clear" w:color="auto" w:fill="DBDBDB"/>
          </w:tcPr>
          <w:p>
            <w:pPr>
              <w:spacing w:after="0"/>
              <w:rPr>
                <w:sz w:val="20"/>
                <w:szCs w:val="20"/>
                <w:color w:val="auto"/>
              </w:rPr>
            </w:pPr>
          </w:p>
        </w:tc>
        <w:tc>
          <w:tcPr>
            <w:tcW w:w="840" w:type="dxa"/>
            <w:vAlign w:val="bottom"/>
            <w:tcBorders>
              <w:top w:val="single" w:sz="8" w:color="auto"/>
            </w:tcBorders>
            <w:shd w:val="clear" w:color="auto" w:fill="DBDBDB"/>
          </w:tcPr>
          <w:p>
            <w:pPr>
              <w:spacing w:after="0"/>
              <w:rPr>
                <w:sz w:val="20"/>
                <w:szCs w:val="20"/>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w:t>
            </w:r>
          </w:p>
        </w:tc>
      </w:tr>
      <w:tr>
        <w:trPr>
          <w:trHeight w:val="233"/>
        </w:trPr>
        <w:tc>
          <w:tcPr>
            <w:tcW w:w="4240" w:type="dxa"/>
            <w:vAlign w:val="bottom"/>
          </w:tcPr>
          <w:p>
            <w:pPr>
              <w:ind w:left="20"/>
              <w:spacing w:after="0"/>
              <w:rPr>
                <w:sz w:val="20"/>
                <w:szCs w:val="20"/>
                <w:color w:val="auto"/>
              </w:rPr>
            </w:pPr>
            <w:r>
              <w:rPr>
                <w:rFonts w:ascii="Arial" w:cs="Arial" w:eastAsia="Arial" w:hAnsi="Arial"/>
                <w:sz w:val="16"/>
                <w:szCs w:val="16"/>
                <w:color w:val="auto"/>
              </w:rPr>
              <w:t>AUV (in millions) (a)</w:t>
            </w:r>
          </w:p>
        </w:tc>
        <w:tc>
          <w:tcPr>
            <w:tcW w:w="5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7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20"/>
                <w:szCs w:val="20"/>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8.4</w:t>
            </w:r>
          </w:p>
        </w:tc>
      </w:tr>
      <w:tr>
        <w:trPr>
          <w:trHeight w:val="253"/>
        </w:trPr>
        <w:tc>
          <w:tcPr>
            <w:tcW w:w="4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Change in same-restaurant sales (b)</w:t>
            </w:r>
          </w:p>
        </w:tc>
        <w:tc>
          <w:tcPr>
            <w:tcW w:w="54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6.1 %</w:t>
            </w:r>
          </w:p>
        </w:tc>
        <w:tc>
          <w:tcPr>
            <w:tcW w:w="8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5.2 %</w:t>
            </w:r>
          </w:p>
        </w:tc>
      </w:tr>
      <w:tr>
        <w:trPr>
          <w:trHeight w:val="233"/>
        </w:trPr>
        <w:tc>
          <w:tcPr>
            <w:tcW w:w="4240" w:type="dxa"/>
            <w:vAlign w:val="bottom"/>
          </w:tcPr>
          <w:p>
            <w:pPr>
              <w:ind w:left="20"/>
              <w:spacing w:after="0"/>
              <w:rPr>
                <w:sz w:val="20"/>
                <w:szCs w:val="20"/>
                <w:color w:val="auto"/>
              </w:rPr>
            </w:pPr>
            <w:r>
              <w:rPr>
                <w:rFonts w:ascii="Arial" w:cs="Arial" w:eastAsia="Arial" w:hAnsi="Arial"/>
                <w:sz w:val="16"/>
                <w:szCs w:val="16"/>
                <w:color w:val="auto"/>
              </w:rPr>
              <w:t>Adjusted EBITDA (in thousands) (b)</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27,285</w:t>
            </w:r>
          </w:p>
        </w:tc>
        <w:tc>
          <w:tcPr>
            <w:tcW w:w="100" w:type="dxa"/>
            <w:vAlign w:val="bottom"/>
          </w:tcPr>
          <w:p>
            <w:pPr>
              <w:spacing w:after="0"/>
              <w:rPr>
                <w:sz w:val="20"/>
                <w:szCs w:val="20"/>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21,620</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76,140</w:t>
            </w:r>
          </w:p>
        </w:tc>
        <w:tc>
          <w:tcPr>
            <w:tcW w:w="80" w:type="dxa"/>
            <w:vAlign w:val="bottom"/>
          </w:tcPr>
          <w:p>
            <w:pPr>
              <w:spacing w:after="0"/>
              <w:rPr>
                <w:sz w:val="20"/>
                <w:szCs w:val="20"/>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66,864</w:t>
            </w:r>
          </w:p>
        </w:tc>
      </w:tr>
      <w:tr>
        <w:trPr>
          <w:trHeight w:val="253"/>
        </w:trPr>
        <w:tc>
          <w:tcPr>
            <w:tcW w:w="4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Margin (b)</w:t>
            </w:r>
          </w:p>
        </w:tc>
        <w:tc>
          <w:tcPr>
            <w:tcW w:w="54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16.4 %</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14.3 %</w:t>
            </w:r>
          </w:p>
        </w:tc>
        <w:tc>
          <w:tcPr>
            <w:tcW w:w="10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15.5 %</w:t>
            </w:r>
          </w:p>
        </w:tc>
        <w:tc>
          <w:tcPr>
            <w:tcW w:w="8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15.3 %</w:t>
            </w:r>
          </w:p>
        </w:tc>
      </w:tr>
      <w:tr>
        <w:trPr>
          <w:trHeight w:val="233"/>
        </w:trPr>
        <w:tc>
          <w:tcPr>
            <w:tcW w:w="4240" w:type="dxa"/>
            <w:vAlign w:val="bottom"/>
          </w:tcPr>
          <w:p>
            <w:pPr>
              <w:ind w:left="20"/>
              <w:spacing w:after="0"/>
              <w:rPr>
                <w:sz w:val="20"/>
                <w:szCs w:val="20"/>
                <w:color w:val="auto"/>
              </w:rPr>
            </w:pPr>
            <w:r>
              <w:rPr>
                <w:rFonts w:ascii="Arial" w:cs="Arial" w:eastAsia="Arial" w:hAnsi="Arial"/>
                <w:sz w:val="16"/>
                <w:szCs w:val="16"/>
                <w:color w:val="auto"/>
              </w:rPr>
              <w:t>Restaurant-Level Adjusted EBITDA (in thousands) (b)</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41,885</w:t>
            </w:r>
          </w:p>
        </w:tc>
        <w:tc>
          <w:tcPr>
            <w:tcW w:w="100" w:type="dxa"/>
            <w:vAlign w:val="bottom"/>
          </w:tcPr>
          <w:p>
            <w:pPr>
              <w:spacing w:after="0"/>
              <w:rPr>
                <w:sz w:val="20"/>
                <w:szCs w:val="20"/>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34,088</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119,435</w:t>
            </w:r>
          </w:p>
        </w:tc>
        <w:tc>
          <w:tcPr>
            <w:tcW w:w="80" w:type="dxa"/>
            <w:vAlign w:val="bottom"/>
          </w:tcPr>
          <w:p>
            <w:pPr>
              <w:spacing w:after="0"/>
              <w:rPr>
                <w:sz w:val="20"/>
                <w:szCs w:val="20"/>
                <w:color w:val="auto"/>
              </w:rPr>
            </w:pPr>
          </w:p>
        </w:tc>
        <w:tc>
          <w:tcPr>
            <w:tcW w:w="8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100,457</w:t>
            </w:r>
          </w:p>
        </w:tc>
      </w:tr>
      <w:tr>
        <w:trPr>
          <w:trHeight w:val="253"/>
        </w:trPr>
        <w:tc>
          <w:tcPr>
            <w:tcW w:w="4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 (b)</w:t>
            </w:r>
          </w:p>
        </w:tc>
        <w:tc>
          <w:tcPr>
            <w:tcW w:w="540" w:type="dxa"/>
            <w:vAlign w:val="bottom"/>
            <w:shd w:val="clear" w:color="auto" w:fill="DBDBDB"/>
          </w:tcPr>
          <w:p>
            <w:pPr>
              <w:spacing w:after="0"/>
              <w:rPr>
                <w:sz w:val="21"/>
                <w:szCs w:val="21"/>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25.1 %</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22.6 %</w:t>
            </w:r>
          </w:p>
        </w:tc>
        <w:tc>
          <w:tcPr>
            <w:tcW w:w="10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24.3 %</w:t>
            </w:r>
          </w:p>
        </w:tc>
        <w:tc>
          <w:tcPr>
            <w:tcW w:w="8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23.0 %</w:t>
            </w:r>
          </w:p>
        </w:tc>
      </w:tr>
    </w:tbl>
    <w:p>
      <w:pPr>
        <w:spacing w:after="0" w:line="71" w:lineRule="exact"/>
        <w:rPr>
          <w:sz w:val="20"/>
          <w:szCs w:val="20"/>
          <w:color w:val="auto"/>
        </w:rPr>
      </w:pPr>
    </w:p>
    <w:p>
      <w:pPr>
        <w:ind w:firstLine="8"/>
        <w:spacing w:after="0" w:line="26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a restaurant that is owned by C&amp;O, of which Portillo’s owns 50% of the equity. AUVs for the quarters ended September 24, 2023 and September 25, 2022 represent AUVs for the twelve months ended September 24, 2023 and September 25, 2022, respectively. Total restaurants indicated are as of a point in time.</w:t>
      </w: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Excludes a restaurant that is owned by C&amp;O of which Portillo’s owns 50% of the equity.</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 in Same-Restaurant Sales</w:t>
      </w:r>
    </w:p>
    <w:p>
      <w:pPr>
        <w:spacing w:after="0" w:line="2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change in same-restaurant sales is the percentage change in year-over-year revenue (excluding gift card breakage) for the comparable restaurant base, which is defined as the number of restaurants open for at least 24 full fiscal periods (the “Comparable Restaurant Base”). For the three quarters ended September 24, 2023 and September 25, 2022, there were 66 and 61 restaurants in our Comparable Restaurant Base, respectively. The Comparable Restaurant Base excludes a restaurant that is owned by C&amp;O, of which Portillo’s owns 50% of the equity.</w:t>
      </w: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change in same-restaurant sales growth is the result of a change in restaurant transactions, average guest check, or a combination of the two. We gather daily sales data and regularly analyze the guest transaction counts and the mix of menu items sold to strategically evaluate menu pricing and demand. Measuring our same-restaurant sales growth allows management to evaluate the performance of our existing restaurant base. We believe this measure provides a consistent comparison of restaurant sales results and trends across periods within our core, established restaurant base, unaffected by results of restaurant openings and enables investors to better understand and evaluate the Company’s historical and prospective operating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Average Unit Volume ("AUV")</w:t>
      </w:r>
    </w:p>
    <w:p>
      <w:pPr>
        <w:spacing w:after="0" w:line="257"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AUV is the total revenue (excluding gift card breakage) recognized in the Comparable Restaurant Base, including C&amp;O, divided by the number of restaurants in the Comparable Restaurant Base, including C&amp;O, by period.</w:t>
      </w:r>
    </w:p>
    <w:p>
      <w:pPr>
        <w:spacing w:after="0" w:line="20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This key performance indicator allows management to assess changes in consumer spending patterns at our restaurants and the overall performance of our restaurant base.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Non-GAAP Financial Measures</w:t>
      </w:r>
    </w:p>
    <w:p>
      <w:pPr>
        <w:spacing w:after="0" w:line="2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supplement the condensed consolidated financial statements, which are prepared and presented in accordance with GAAP, we use the following non-GAAP financial measures: Adjusted EBITDA and Adjusted EBITDA Margin, and Restaurant-Level Adjusted EBITDA and Restaurant-Level Adjusted EBITDA Margin. Accordingly, these measures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stockholders because of corporate-level expenses excluded from such measures. These measures are supplemental 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Adjusted EBITDA and Adjusted EBITDA Margin</w:t>
      </w:r>
    </w:p>
    <w:p>
      <w:pPr>
        <w:spacing w:after="0" w:line="25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Adjusted EBITDA represents net income before depreciation and amortization, interest expense, interest income and income taxes, adjusted for the impact of certain non-cash and other items that we do not consider in our evaluation of ongoing core operating performance as identified in the reconciliation of net income, the most directly comparable GAAP measure to Adjusted EBITDA. Adjusted EBITDA Margin represents Adjusted EBITDA as a percentage of revenues, net.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use Adjusted EBITDA and Adjusted EBITDA Margin (i) to evaluate our operating results and the effectiveness of our business strategies,</w:t>
      </w:r>
    </w:p>
    <w:p>
      <w:pPr>
        <w:spacing w:after="0" w:line="21" w:lineRule="exact"/>
        <w:rPr>
          <w:sz w:val="20"/>
          <w:szCs w:val="20"/>
          <w:color w:val="auto"/>
        </w:rPr>
      </w:pPr>
    </w:p>
    <w:p>
      <w:pPr>
        <w:ind w:right="880" w:firstLine="8"/>
        <w:spacing w:after="0" w:line="261"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internally as benchmarks to compare our performance to that of our competitors and (iii) as factors in evaluating management’s performance when determining incentive compensation.</w:t>
      </w:r>
    </w:p>
    <w:p>
      <w:pPr>
        <w:spacing w:after="0" w:line="21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We believe that Adjusted EBITDA and Adjusted EBITDA Margin are important measures of operating performance because they eliminate the impact of expenses that do not relate to our core operating performance.</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to Adjusted EBITDA and Adjusted EBITDA margin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Quarter Ended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Three Quarters Ended</w:t>
            </w:r>
          </w:p>
        </w:tc>
        <w:tc>
          <w:tcPr>
            <w:tcW w:w="800" w:type="dxa"/>
            <w:vAlign w:val="bottom"/>
          </w:tcPr>
          <w:p>
            <w:pPr>
              <w:spacing w:after="0"/>
              <w:rPr>
                <w:sz w:val="19"/>
                <w:szCs w:val="19"/>
                <w:color w:val="auto"/>
              </w:rPr>
            </w:pPr>
          </w:p>
        </w:tc>
      </w:tr>
      <w:tr>
        <w:trPr>
          <w:trHeight w:val="247"/>
        </w:trPr>
        <w:tc>
          <w:tcPr>
            <w:tcW w:w="4200" w:type="dxa"/>
            <w:vAlign w:val="bottom"/>
          </w:tcPr>
          <w:p>
            <w:pPr>
              <w:spacing w:after="0"/>
              <w:rPr>
                <w:sz w:val="21"/>
                <w:szCs w:val="21"/>
                <w:color w:val="auto"/>
              </w:rPr>
            </w:pPr>
          </w:p>
        </w:tc>
        <w:tc>
          <w:tcPr>
            <w:tcW w:w="17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24, 2023</w:t>
            </w:r>
          </w:p>
        </w:tc>
        <w:tc>
          <w:tcPr>
            <w:tcW w:w="17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25, 2022</w:t>
            </w:r>
          </w:p>
        </w:tc>
        <w:tc>
          <w:tcPr>
            <w:tcW w:w="18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24, 2023</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25, 2022</w:t>
            </w:r>
          </w:p>
        </w:tc>
      </w:tr>
      <w:tr>
        <w:trPr>
          <w:trHeight w:val="240"/>
        </w:trPr>
        <w:tc>
          <w:tcPr>
            <w:tcW w:w="42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540" w:type="dxa"/>
            <w:vAlign w:val="bottom"/>
            <w:tcBorders>
              <w:top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6,546</w:t>
            </w:r>
          </w:p>
        </w:tc>
        <w:tc>
          <w:tcPr>
            <w:tcW w:w="120" w:type="dxa"/>
            <w:vAlign w:val="bottom"/>
            <w:tcBorders>
              <w:top w:val="single" w:sz="8" w:color="DBDBDB"/>
            </w:tcBorders>
            <w:shd w:val="clear" w:color="auto" w:fill="DBDBDB"/>
          </w:tcPr>
          <w:p>
            <w:pPr>
              <w:spacing w:after="0"/>
              <w:rPr>
                <w:sz w:val="20"/>
                <w:szCs w:val="20"/>
                <w:color w:val="auto"/>
              </w:rPr>
            </w:pPr>
          </w:p>
        </w:tc>
        <w:tc>
          <w:tcPr>
            <w:tcW w:w="740" w:type="dxa"/>
            <w:vAlign w:val="bottom"/>
            <w:tcBorders>
              <w:top w:val="single" w:sz="8" w:color="auto"/>
            </w:tcBorders>
            <w:shd w:val="clear" w:color="auto" w:fill="DBDBDB"/>
          </w:tcPr>
          <w:p>
            <w:pPr>
              <w:jc w:val="right"/>
              <w:ind w:right="5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3,198</w:t>
            </w:r>
          </w:p>
        </w:tc>
        <w:tc>
          <w:tcPr>
            <w:tcW w:w="120" w:type="dxa"/>
            <w:vAlign w:val="bottom"/>
            <w:tcBorders>
              <w:top w:val="single" w:sz="8" w:color="DBDBDB"/>
            </w:tcBorders>
            <w:shd w:val="clear" w:color="auto" w:fill="DBDBDB"/>
          </w:tcPr>
          <w:p>
            <w:pPr>
              <w:spacing w:after="0"/>
              <w:rPr>
                <w:sz w:val="20"/>
                <w:szCs w:val="20"/>
                <w:color w:val="auto"/>
              </w:rPr>
            </w:pPr>
          </w:p>
        </w:tc>
        <w:tc>
          <w:tcPr>
            <w:tcW w:w="500" w:type="dxa"/>
            <w:vAlign w:val="bottom"/>
            <w:tcBorders>
              <w:top w:val="single" w:sz="8" w:color="auto"/>
            </w:tcBorders>
            <w:shd w:val="clear" w:color="auto" w:fill="DBDBDB"/>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15,171</w:t>
            </w:r>
          </w:p>
        </w:tc>
        <w:tc>
          <w:tcPr>
            <w:tcW w:w="120" w:type="dxa"/>
            <w:vAlign w:val="bottom"/>
            <w:tcBorders>
              <w:top w:val="single" w:sz="8" w:color="DBDBDB"/>
            </w:tcBorders>
            <w:shd w:val="clear" w:color="auto" w:fill="DBDBDB"/>
          </w:tcPr>
          <w:p>
            <w:pPr>
              <w:spacing w:after="0"/>
              <w:rPr>
                <w:sz w:val="20"/>
                <w:szCs w:val="20"/>
                <w:color w:val="auto"/>
              </w:rPr>
            </w:pPr>
          </w:p>
        </w:tc>
        <w:tc>
          <w:tcPr>
            <w:tcW w:w="880" w:type="dxa"/>
            <w:vAlign w:val="bottom"/>
            <w:tcBorders>
              <w:top w:val="single" w:sz="8" w:color="auto"/>
            </w:tcBorders>
            <w:shd w:val="clear" w:color="auto" w:fill="DBDBDB"/>
          </w:tcPr>
          <w:p>
            <w:pPr>
              <w:jc w:val="right"/>
              <w:ind w:right="69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14,504</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6,178</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5,289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17,788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15,803</w:t>
            </w:r>
          </w:p>
        </w:tc>
      </w:tr>
      <w:tr>
        <w:trPr>
          <w:trHeight w:val="253"/>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expense</w:t>
            </w: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6,573</w:t>
            </w:r>
          </w:p>
        </w:tc>
        <w:tc>
          <w:tcPr>
            <w:tcW w:w="12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7,090</w:t>
            </w: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20,539</w:t>
            </w:r>
          </w:p>
        </w:tc>
        <w:tc>
          <w:tcPr>
            <w:tcW w:w="12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19,286</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54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53"/>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Loss on debt extinguishment</w:t>
            </w:r>
          </w:p>
        </w:tc>
        <w:tc>
          <w:tcPr>
            <w:tcW w:w="540" w:type="dxa"/>
            <w:vAlign w:val="bottom"/>
            <w:shd w:val="clear" w:color="auto" w:fill="DBDBDB"/>
          </w:tcPr>
          <w:p>
            <w:pPr>
              <w:spacing w:after="0"/>
              <w:rPr>
                <w:sz w:val="21"/>
                <w:szCs w:val="21"/>
                <w:color w:val="auto"/>
              </w:rPr>
            </w:pPr>
          </w:p>
        </w:tc>
        <w:tc>
          <w:tcPr>
            <w:tcW w:w="1240" w:type="dxa"/>
            <w:vAlign w:val="bottom"/>
            <w:gridSpan w:val="2"/>
            <w:shd w:val="clear" w:color="auto" w:fill="DBDBDB"/>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shd w:val="clear" w:color="auto" w:fill="DBDBDB"/>
          </w:tcPr>
          <w:p>
            <w:pPr>
              <w:spacing w:after="0"/>
              <w:rPr>
                <w:sz w:val="21"/>
                <w:szCs w:val="21"/>
                <w:color w:val="auto"/>
              </w:rPr>
            </w:pPr>
          </w:p>
        </w:tc>
        <w:tc>
          <w:tcPr>
            <w:tcW w:w="1040" w:type="dxa"/>
            <w:vAlign w:val="bottom"/>
            <w:gridSpan w:val="2"/>
            <w:shd w:val="clear" w:color="auto" w:fill="DBDBDB"/>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3,465</w:t>
            </w:r>
          </w:p>
        </w:tc>
        <w:tc>
          <w:tcPr>
            <w:tcW w:w="12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Income tax expense</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2,622</w:t>
            </w:r>
          </w:p>
        </w:tc>
        <w:tc>
          <w:tcPr>
            <w:tcW w:w="120" w:type="dxa"/>
            <w:vAlign w:val="bottom"/>
            <w:tcBorders>
              <w:bottom w:val="single" w:sz="8" w:color="DBDBDB"/>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1,006</w:t>
            </w:r>
          </w:p>
        </w:tc>
        <w:tc>
          <w:tcPr>
            <w:tcW w:w="12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3,605</w:t>
            </w:r>
          </w:p>
        </w:tc>
        <w:tc>
          <w:tcPr>
            <w:tcW w:w="120" w:type="dxa"/>
            <w:vAlign w:val="bottom"/>
            <w:tcBorders>
              <w:bottom w:val="single" w:sz="8" w:color="DBDBDB"/>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3,511</w:t>
            </w:r>
          </w:p>
        </w:tc>
      </w:tr>
      <w:tr>
        <w:trPr>
          <w:trHeight w:val="243"/>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EBITDA</w:t>
            </w: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21,803</w:t>
            </w:r>
          </w:p>
        </w:tc>
        <w:tc>
          <w:tcPr>
            <w:tcW w:w="12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16,583</w:t>
            </w: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60,452</w:t>
            </w:r>
          </w:p>
        </w:tc>
        <w:tc>
          <w:tcPr>
            <w:tcW w:w="12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53,104</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Deferred rent (1)</w:t>
            </w:r>
          </w:p>
        </w:tc>
        <w:tc>
          <w:tcPr>
            <w:tcW w:w="5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1,053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3,781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2,999</w:t>
            </w:r>
          </w:p>
        </w:tc>
      </w:tr>
      <w:tr>
        <w:trPr>
          <w:trHeight w:val="253"/>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Equity-based compensation</w:t>
            </w: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4,324</w:t>
            </w:r>
          </w:p>
        </w:tc>
        <w:tc>
          <w:tcPr>
            <w:tcW w:w="12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3,698</w:t>
            </w: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12,044</w:t>
            </w:r>
          </w:p>
        </w:tc>
        <w:tc>
          <w:tcPr>
            <w:tcW w:w="12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11,347</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ERP implementation costs (2)</w:t>
            </w:r>
          </w:p>
        </w:tc>
        <w:tc>
          <w:tcPr>
            <w:tcW w:w="5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53"/>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loss (3)</w:t>
            </w:r>
          </w:p>
        </w:tc>
        <w:tc>
          <w:tcPr>
            <w:tcW w:w="540" w:type="dxa"/>
            <w:vAlign w:val="bottom"/>
            <w:shd w:val="clear" w:color="auto" w:fill="DBDBDB"/>
          </w:tcPr>
          <w:p>
            <w:pPr>
              <w:spacing w:after="0"/>
              <w:rPr>
                <w:sz w:val="21"/>
                <w:szCs w:val="21"/>
                <w:color w:val="auto"/>
              </w:rPr>
            </w:pPr>
          </w:p>
        </w:tc>
        <w:tc>
          <w:tcPr>
            <w:tcW w:w="11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511</w:t>
            </w:r>
          </w:p>
        </w:tc>
        <w:tc>
          <w:tcPr>
            <w:tcW w:w="12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239</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Transaction-related fees &amp; expenses (4)</w:t>
            </w:r>
          </w:p>
        </w:tc>
        <w:tc>
          <w:tcPr>
            <w:tcW w:w="5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1,637</w:t>
            </w:r>
          </w:p>
        </w:tc>
      </w:tr>
      <w:tr>
        <w:trPr>
          <w:trHeight w:val="246"/>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Tax Receivable Agreement liability adjustment (5)</w:t>
            </w: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(528)</w:t>
            </w:r>
          </w:p>
        </w:tc>
        <w:tc>
          <w:tcPr>
            <w:tcW w:w="120" w:type="dxa"/>
            <w:vAlign w:val="bottom"/>
            <w:shd w:val="clear" w:color="auto" w:fill="DBDBDB"/>
          </w:tcPr>
          <w:p>
            <w:pPr>
              <w:spacing w:after="0"/>
              <w:rPr>
                <w:sz w:val="21"/>
                <w:szCs w:val="21"/>
                <w:color w:val="auto"/>
              </w:rPr>
            </w:pPr>
          </w:p>
        </w:tc>
        <w:tc>
          <w:tcPr>
            <w:tcW w:w="740" w:type="dxa"/>
            <w:vAlign w:val="bottom"/>
            <w:tcBorders>
              <w:bottom w:val="single" w:sz="8" w:color="auto"/>
            </w:tcBorders>
            <w:shd w:val="clear" w:color="auto" w:fill="DBDBDB"/>
          </w:tcPr>
          <w:p>
            <w:pPr>
              <w:spacing w:after="0"/>
              <w:rPr>
                <w:sz w:val="21"/>
                <w:szCs w:val="21"/>
                <w:color w:val="auto"/>
              </w:rPr>
            </w:pPr>
          </w:p>
        </w:tc>
        <w:tc>
          <w:tcPr>
            <w:tcW w:w="92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(1,691)</w:t>
            </w:r>
          </w:p>
        </w:tc>
        <w:tc>
          <w:tcPr>
            <w:tcW w:w="120" w:type="dxa"/>
            <w:vAlign w:val="bottom"/>
            <w:shd w:val="clear" w:color="auto" w:fill="DBDBDB"/>
          </w:tcPr>
          <w:p>
            <w:pPr>
              <w:spacing w:after="0"/>
              <w:rPr>
                <w:sz w:val="21"/>
                <w:szCs w:val="21"/>
                <w:color w:val="auto"/>
              </w:rPr>
            </w:pPr>
          </w:p>
        </w:tc>
        <w:tc>
          <w:tcPr>
            <w:tcW w:w="880" w:type="dxa"/>
            <w:vAlign w:val="bottom"/>
            <w:tcBorders>
              <w:bottom w:val="single" w:sz="8" w:color="auto"/>
            </w:tcBorders>
            <w:shd w:val="clear" w:color="auto" w:fill="DBDBDB"/>
          </w:tcPr>
          <w:p>
            <w:pPr>
              <w:spacing w:after="0"/>
              <w:rPr>
                <w:sz w:val="21"/>
                <w:szCs w:val="21"/>
                <w:color w:val="auto"/>
              </w:rPr>
            </w:pPr>
          </w:p>
        </w:tc>
        <w:tc>
          <w:tcPr>
            <w:tcW w:w="8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(2,462)</w:t>
            </w:r>
          </w:p>
        </w:tc>
      </w:tr>
      <w:tr>
        <w:trPr>
          <w:trHeight w:val="237"/>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Adjusted EBITDA</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27,285</w:t>
            </w:r>
          </w:p>
        </w:tc>
        <w:tc>
          <w:tcPr>
            <w:tcW w:w="120" w:type="dxa"/>
            <w:vAlign w:val="bottom"/>
            <w:tcBorders>
              <w:bottom w:val="single" w:sz="8" w:color="DBDBDB"/>
            </w:tcBorders>
          </w:tcPr>
          <w:p>
            <w:pPr>
              <w:spacing w:after="0"/>
              <w:rPr>
                <w:sz w:val="20"/>
                <w:szCs w:val="20"/>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21,620</w:t>
            </w:r>
          </w:p>
        </w:tc>
        <w:tc>
          <w:tcPr>
            <w:tcW w:w="12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76,140</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66,864</w:t>
            </w:r>
          </w:p>
        </w:tc>
      </w:tr>
      <w:tr>
        <w:trPr>
          <w:trHeight w:val="268"/>
        </w:trPr>
        <w:tc>
          <w:tcPr>
            <w:tcW w:w="4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EBITDA Margin (6)</w:t>
            </w:r>
          </w:p>
        </w:tc>
        <w:tc>
          <w:tcPr>
            <w:tcW w:w="540" w:type="dxa"/>
            <w:vAlign w:val="bottom"/>
            <w:tcBorders>
              <w:bottom w:val="single" w:sz="8" w:color="auto"/>
            </w:tcBorders>
            <w:shd w:val="clear" w:color="auto" w:fill="DBDBDB"/>
          </w:tcPr>
          <w:p>
            <w:pPr>
              <w:spacing w:after="0"/>
              <w:rPr>
                <w:sz w:val="22"/>
                <w:szCs w:val="22"/>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16.4 %</w:t>
            </w:r>
          </w:p>
        </w:tc>
        <w:tc>
          <w:tcPr>
            <w:tcW w:w="120" w:type="dxa"/>
            <w:vAlign w:val="bottom"/>
            <w:tcBorders>
              <w:bottom w:val="single" w:sz="8" w:color="DBDBDB"/>
            </w:tcBorders>
            <w:shd w:val="clear" w:color="auto" w:fill="DBDBDB"/>
          </w:tcPr>
          <w:p>
            <w:pPr>
              <w:spacing w:after="0"/>
              <w:rPr>
                <w:sz w:val="22"/>
                <w:szCs w:val="22"/>
                <w:color w:val="auto"/>
              </w:rPr>
            </w:pPr>
          </w:p>
        </w:tc>
        <w:tc>
          <w:tcPr>
            <w:tcW w:w="740" w:type="dxa"/>
            <w:vAlign w:val="bottom"/>
            <w:tcBorders>
              <w:bottom w:val="single" w:sz="8" w:color="auto"/>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Borders>
              <w:bottom w:val="single" w:sz="8" w:color="DBDBDB"/>
            </w:tcBorders>
            <w:shd w:val="clear" w:color="auto" w:fill="DBDBDB"/>
          </w:tcPr>
          <w:p>
            <w:pPr>
              <w:spacing w:after="0"/>
              <w:rPr>
                <w:sz w:val="22"/>
                <w:szCs w:val="22"/>
                <w:color w:val="auto"/>
              </w:rPr>
            </w:pPr>
          </w:p>
        </w:tc>
        <w:tc>
          <w:tcPr>
            <w:tcW w:w="500" w:type="dxa"/>
            <w:vAlign w:val="bottom"/>
            <w:tcBorders>
              <w:bottom w:val="single" w:sz="8" w:color="auto"/>
            </w:tcBorders>
            <w:shd w:val="clear" w:color="auto" w:fill="DBDBDB"/>
          </w:tcPr>
          <w:p>
            <w:pPr>
              <w:spacing w:after="0"/>
              <w:rPr>
                <w:sz w:val="22"/>
                <w:szCs w:val="22"/>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15.5 %</w:t>
            </w:r>
          </w:p>
        </w:tc>
        <w:tc>
          <w:tcPr>
            <w:tcW w:w="120" w:type="dxa"/>
            <w:vAlign w:val="bottom"/>
            <w:tcBorders>
              <w:bottom w:val="single" w:sz="8" w:color="DBDBDB"/>
            </w:tcBorders>
            <w:shd w:val="clear" w:color="auto" w:fill="DBDBDB"/>
          </w:tcPr>
          <w:p>
            <w:pPr>
              <w:spacing w:after="0"/>
              <w:rPr>
                <w:sz w:val="22"/>
                <w:szCs w:val="22"/>
                <w:color w:val="auto"/>
              </w:rPr>
            </w:pPr>
          </w:p>
        </w:tc>
        <w:tc>
          <w:tcPr>
            <w:tcW w:w="880" w:type="dxa"/>
            <w:vAlign w:val="bottom"/>
            <w:tcBorders>
              <w:bottom w:val="single" w:sz="8" w:color="auto"/>
            </w:tcBorders>
            <w:shd w:val="clear" w:color="auto" w:fill="DBDBDB"/>
          </w:tcPr>
          <w:p>
            <w:pPr>
              <w:spacing w:after="0"/>
              <w:rPr>
                <w:sz w:val="22"/>
                <w:szCs w:val="22"/>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15.3 %</w:t>
            </w:r>
          </w:p>
        </w:tc>
      </w:tr>
      <w:tr>
        <w:trPr>
          <w:trHeight w:val="20"/>
        </w:trPr>
        <w:tc>
          <w:tcPr>
            <w:tcW w:w="42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difference between cash rent payments and the recognition of straight-line rent expense recognized over the lease term.</w:t>
      </w:r>
    </w:p>
    <w:p>
      <w:pPr>
        <w:spacing w:after="0" w:line="17"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non-capitalized third party consulting and software licensing costs incurred in connection with the implementation of a new ERP system.</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loss on disposal of property and equipment.</w:t>
      </w:r>
    </w:p>
    <w:p>
      <w:pPr>
        <w:spacing w:after="0" w:line="5" w:lineRule="exact"/>
        <w:rPr>
          <w:rFonts w:ascii="Arial" w:cs="Arial" w:eastAsia="Arial" w:hAnsi="Arial"/>
          <w:sz w:val="16"/>
          <w:szCs w:val="16"/>
          <w:color w:val="auto"/>
        </w:rPr>
      </w:pPr>
    </w:p>
    <w:p>
      <w:pPr>
        <w:ind w:right="720" w:firstLine="8"/>
        <w:spacing w:after="0" w:line="237" w:lineRule="auto"/>
        <w:tabs>
          <w:tab w:leader="none" w:pos="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exclusion of certain expenses that management believes are not indicative of ongoing operations, consisting primarily of certain professional fees.</w:t>
      </w:r>
    </w:p>
    <w:p>
      <w:pPr>
        <w:spacing w:after="0" w:line="1" w:lineRule="exact"/>
        <w:rPr>
          <w:rFonts w:ascii="Arial" w:cs="Arial" w:eastAsia="Arial" w:hAnsi="Arial"/>
          <w:sz w:val="16"/>
          <w:szCs w:val="16"/>
          <w:color w:val="auto"/>
        </w:rPr>
      </w:pPr>
    </w:p>
    <w:p>
      <w:pPr>
        <w:ind w:left="260" w:hanging="252"/>
        <w:spacing w:after="0" w:line="228"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remeasurement of the Tax Receivable Agreement liability.</w:t>
      </w: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Margin is defined as Adjusted EBITDA divided by Revenues, net.</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Restaurant-Level Adjusted EBITDA and Restaurant-Level Adjusted EBITDA Margin</w:t>
      </w:r>
    </w:p>
    <w:p>
      <w:pPr>
        <w:spacing w:after="0" w:line="19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Restaurant-Level Adjusted EBITDA is defined as revenue, less restaurant operating expenses, which include food, beverage and packaging costs,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revenues, net.</w:t>
      </w:r>
    </w:p>
    <w:p>
      <w:pPr>
        <w:spacing w:after="0" w:line="21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We believe that Restaurant-Level Adjusted EBITDA and Restaurant-Level Adjusted EBITDA Margin are important measures to evaluate the performance and profitability of our restaurants, individually and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following table reconciles operating income to Restaurant-Level Adjusted EBITDA and Restaurant-Level Adjusted EBITDA Margin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Quarter 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Quarters Ended</w:t>
            </w:r>
          </w:p>
        </w:tc>
        <w:tc>
          <w:tcPr>
            <w:tcW w:w="840" w:type="dxa"/>
            <w:vAlign w:val="bottom"/>
          </w:tcPr>
          <w:p>
            <w:pPr>
              <w:spacing w:after="0"/>
              <w:rPr>
                <w:sz w:val="19"/>
                <w:szCs w:val="19"/>
                <w:color w:val="auto"/>
              </w:rPr>
            </w:pPr>
          </w:p>
        </w:tc>
      </w:tr>
      <w:tr>
        <w:trPr>
          <w:trHeight w:val="247"/>
        </w:trPr>
        <w:tc>
          <w:tcPr>
            <w:tcW w:w="4200" w:type="dxa"/>
            <w:vAlign w:val="bottom"/>
          </w:tcPr>
          <w:p>
            <w:pPr>
              <w:spacing w:after="0"/>
              <w:rPr>
                <w:sz w:val="21"/>
                <w:szCs w:val="21"/>
                <w:color w:val="auto"/>
              </w:rPr>
            </w:pPr>
          </w:p>
        </w:tc>
        <w:tc>
          <w:tcPr>
            <w:tcW w:w="180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24, 2023</w:t>
            </w:r>
          </w:p>
        </w:tc>
        <w:tc>
          <w:tcPr>
            <w:tcW w:w="17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25, 2022</w:t>
            </w: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24, 2023</w:t>
            </w:r>
          </w:p>
        </w:tc>
        <w:tc>
          <w:tcPr>
            <w:tcW w:w="17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September 25, 2022</w:t>
            </w:r>
          </w:p>
        </w:tc>
      </w:tr>
      <w:tr>
        <w:trPr>
          <w:trHeight w:val="240"/>
        </w:trPr>
        <w:tc>
          <w:tcPr>
            <w:tcW w:w="42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Operating income</w:t>
            </w:r>
          </w:p>
        </w:tc>
        <w:tc>
          <w:tcPr>
            <w:tcW w:w="560" w:type="dxa"/>
            <w:vAlign w:val="bottom"/>
            <w:tcBorders>
              <w:top w:val="single" w:sz="8" w:color="auto"/>
            </w:tcBorders>
            <w:shd w:val="clear" w:color="auto" w:fill="DBDBDB"/>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15,097</w:t>
            </w:r>
          </w:p>
        </w:tc>
        <w:tc>
          <w:tcPr>
            <w:tcW w:w="100" w:type="dxa"/>
            <w:vAlign w:val="bottom"/>
            <w:tcBorders>
              <w:top w:val="single" w:sz="8" w:color="DBDBDB"/>
            </w:tcBorders>
            <w:shd w:val="clear" w:color="auto" w:fill="DBDBDB"/>
          </w:tcPr>
          <w:p>
            <w:pPr>
              <w:spacing w:after="0"/>
              <w:rPr>
                <w:sz w:val="20"/>
                <w:szCs w:val="20"/>
                <w:color w:val="auto"/>
              </w:rPr>
            </w:pPr>
          </w:p>
        </w:tc>
        <w:tc>
          <w:tcPr>
            <w:tcW w:w="740" w:type="dxa"/>
            <w:vAlign w:val="bottom"/>
            <w:tcBorders>
              <w:top w:val="single" w:sz="8" w:color="auto"/>
            </w:tcBorders>
            <w:shd w:val="clear" w:color="auto" w:fill="DBDBDB"/>
          </w:tcPr>
          <w:p>
            <w:pPr>
              <w:jc w:val="right"/>
              <w:ind w:right="5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10,586</w:t>
            </w:r>
          </w:p>
        </w:tc>
        <w:tc>
          <w:tcPr>
            <w:tcW w:w="100" w:type="dxa"/>
            <w:vAlign w:val="bottom"/>
            <w:tcBorders>
              <w:top w:val="single" w:sz="8" w:color="DBDBDB"/>
            </w:tcBorders>
            <w:shd w:val="clear" w:color="auto" w:fill="DBDBDB"/>
          </w:tcPr>
          <w:p>
            <w:pPr>
              <w:spacing w:after="0"/>
              <w:rPr>
                <w:sz w:val="20"/>
                <w:szCs w:val="20"/>
                <w:color w:val="auto"/>
              </w:rPr>
            </w:pPr>
          </w:p>
        </w:tc>
        <w:tc>
          <w:tcPr>
            <w:tcW w:w="500" w:type="dxa"/>
            <w:vAlign w:val="bottom"/>
            <w:tcBorders>
              <w:top w:val="single" w:sz="8" w:color="auto"/>
            </w:tcBorders>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40,973</w:t>
            </w:r>
          </w:p>
        </w:tc>
        <w:tc>
          <w:tcPr>
            <w:tcW w:w="100" w:type="dxa"/>
            <w:vAlign w:val="bottom"/>
            <w:tcBorders>
              <w:top w:val="single" w:sz="8" w:color="DBDBDB"/>
            </w:tcBorders>
            <w:shd w:val="clear" w:color="auto" w:fill="DBDBDB"/>
          </w:tcPr>
          <w:p>
            <w:pPr>
              <w:spacing w:after="0"/>
              <w:rPr>
                <w:sz w:val="20"/>
                <w:szCs w:val="20"/>
                <w:color w:val="auto"/>
              </w:rPr>
            </w:pPr>
          </w:p>
        </w:tc>
        <w:tc>
          <w:tcPr>
            <w:tcW w:w="860" w:type="dxa"/>
            <w:vAlign w:val="bottom"/>
            <w:tcBorders>
              <w:top w:val="single" w:sz="8" w:color="auto"/>
            </w:tcBorders>
            <w:shd w:val="clear" w:color="auto" w:fill="DBDBDB"/>
          </w:tcPr>
          <w:p>
            <w:pPr>
              <w:jc w:val="right"/>
              <w:ind w:right="6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34,839</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Plus:</w:t>
            </w: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3"/>
        </w:trPr>
        <w:tc>
          <w:tcPr>
            <w:tcW w:w="42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General and administrative expenses</w:t>
            </w:r>
          </w:p>
        </w:tc>
        <w:tc>
          <w:tcPr>
            <w:tcW w:w="560" w:type="dxa"/>
            <w:vAlign w:val="bottom"/>
            <w:shd w:val="clear" w:color="auto" w:fill="DBDBDB"/>
          </w:tcPr>
          <w:p>
            <w:pPr>
              <w:spacing w:after="0"/>
              <w:rPr>
                <w:sz w:val="21"/>
                <w:szCs w:val="21"/>
                <w:color w:val="auto"/>
              </w:rPr>
            </w:pPr>
          </w:p>
        </w:tc>
        <w:tc>
          <w:tcPr>
            <w:tcW w:w="11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18,898</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18,059</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57,285</w:t>
            </w:r>
          </w:p>
        </w:tc>
        <w:tc>
          <w:tcPr>
            <w:tcW w:w="10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8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49,185</w:t>
            </w:r>
          </w:p>
        </w:tc>
      </w:tr>
      <w:tr>
        <w:trPr>
          <w:trHeight w:val="233"/>
        </w:trPr>
        <w:tc>
          <w:tcPr>
            <w:tcW w:w="4200" w:type="dxa"/>
            <w:vAlign w:val="bottom"/>
          </w:tcPr>
          <w:p>
            <w:pPr>
              <w:ind w:left="140"/>
              <w:spacing w:after="0"/>
              <w:rPr>
                <w:sz w:val="20"/>
                <w:szCs w:val="20"/>
                <w:color w:val="auto"/>
              </w:rPr>
            </w:pPr>
            <w:r>
              <w:rPr>
                <w:rFonts w:ascii="Arial" w:cs="Arial" w:eastAsia="Arial" w:hAnsi="Arial"/>
                <w:sz w:val="16"/>
                <w:szCs w:val="16"/>
                <w:color w:val="auto"/>
              </w:rPr>
              <w:t>Pre-opening expenses</w:t>
            </w:r>
          </w:p>
        </w:tc>
        <w:tc>
          <w:tcPr>
            <w:tcW w:w="56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2,410</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5,029</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1,770</w:t>
            </w:r>
          </w:p>
        </w:tc>
      </w:tr>
      <w:tr>
        <w:trPr>
          <w:trHeight w:val="253"/>
        </w:trPr>
        <w:tc>
          <w:tcPr>
            <w:tcW w:w="42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Depreciation and amortization</w:t>
            </w:r>
          </w:p>
        </w:tc>
        <w:tc>
          <w:tcPr>
            <w:tcW w:w="560" w:type="dxa"/>
            <w:vAlign w:val="bottom"/>
            <w:shd w:val="clear" w:color="auto" w:fill="DBDBDB"/>
          </w:tcPr>
          <w:p>
            <w:pPr>
              <w:spacing w:after="0"/>
              <w:rPr>
                <w:sz w:val="21"/>
                <w:szCs w:val="21"/>
                <w:color w:val="auto"/>
              </w:rPr>
            </w:pPr>
          </w:p>
        </w:tc>
        <w:tc>
          <w:tcPr>
            <w:tcW w:w="11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6,178</w:t>
            </w:r>
          </w:p>
        </w:tc>
        <w:tc>
          <w:tcPr>
            <w:tcW w:w="100" w:type="dxa"/>
            <w:vAlign w:val="bottom"/>
            <w:shd w:val="clear" w:color="auto" w:fill="DBDBDB"/>
          </w:tcPr>
          <w:p>
            <w:pPr>
              <w:spacing w:after="0"/>
              <w:rPr>
                <w:sz w:val="21"/>
                <w:szCs w:val="21"/>
                <w:color w:val="auto"/>
              </w:rPr>
            </w:pPr>
          </w:p>
        </w:tc>
        <w:tc>
          <w:tcPr>
            <w:tcW w:w="740" w:type="dxa"/>
            <w:vAlign w:val="bottom"/>
            <w:shd w:val="clear" w:color="auto" w:fill="DBDBDB"/>
          </w:tcPr>
          <w:p>
            <w:pPr>
              <w:spacing w:after="0"/>
              <w:rPr>
                <w:sz w:val="21"/>
                <w:szCs w:val="21"/>
                <w:color w:val="auto"/>
              </w:rPr>
            </w:pPr>
          </w:p>
        </w:tc>
        <w:tc>
          <w:tcPr>
            <w:tcW w:w="9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5,289</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6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17,788</w:t>
            </w:r>
          </w:p>
        </w:tc>
        <w:tc>
          <w:tcPr>
            <w:tcW w:w="10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8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15,803</w:t>
            </w:r>
          </w:p>
        </w:tc>
      </w:tr>
      <w:tr>
        <w:trPr>
          <w:trHeight w:val="233"/>
        </w:trPr>
        <w:tc>
          <w:tcPr>
            <w:tcW w:w="4200" w:type="dxa"/>
            <w:vAlign w:val="bottom"/>
          </w:tcPr>
          <w:p>
            <w:pPr>
              <w:ind w:left="140"/>
              <w:spacing w:after="0"/>
              <w:rPr>
                <w:sz w:val="20"/>
                <w:szCs w:val="20"/>
                <w:color w:val="auto"/>
              </w:rPr>
            </w:pPr>
            <w:r>
              <w:rPr>
                <w:rFonts w:ascii="Arial" w:cs="Arial" w:eastAsia="Arial" w:hAnsi="Arial"/>
                <w:sz w:val="16"/>
                <w:szCs w:val="16"/>
                <w:color w:val="auto"/>
              </w:rPr>
              <w:t>Net income attributable to equity method investment</w:t>
            </w:r>
          </w:p>
        </w:tc>
        <w:tc>
          <w:tcPr>
            <w:tcW w:w="56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(807)</w:t>
            </w:r>
          </w:p>
        </w:tc>
      </w:tr>
      <w:tr>
        <w:trPr>
          <w:trHeight w:val="246"/>
        </w:trPr>
        <w:tc>
          <w:tcPr>
            <w:tcW w:w="42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income, net</w:t>
            </w:r>
          </w:p>
        </w:tc>
        <w:tc>
          <w:tcPr>
            <w:tcW w:w="56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DBDBDB"/>
          </w:tcPr>
          <w:p>
            <w:pPr>
              <w:spacing w:after="0"/>
              <w:rPr>
                <w:sz w:val="21"/>
                <w:szCs w:val="21"/>
                <w:color w:val="auto"/>
              </w:rPr>
            </w:pPr>
          </w:p>
        </w:tc>
        <w:tc>
          <w:tcPr>
            <w:tcW w:w="74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DBDBDB"/>
          </w:tcPr>
          <w:p>
            <w:pPr>
              <w:spacing w:after="0"/>
              <w:rPr>
                <w:sz w:val="21"/>
                <w:szCs w:val="21"/>
                <w:color w:val="auto"/>
              </w:rPr>
            </w:pPr>
          </w:p>
        </w:tc>
        <w:tc>
          <w:tcPr>
            <w:tcW w:w="860" w:type="dxa"/>
            <w:vAlign w:val="bottom"/>
            <w:tcBorders>
              <w:bottom w:val="single" w:sz="8" w:color="auto"/>
            </w:tcBorders>
            <w:shd w:val="clear" w:color="auto" w:fill="DBDBDB"/>
          </w:tcPr>
          <w:p>
            <w:pPr>
              <w:spacing w:after="0"/>
              <w:rPr>
                <w:sz w:val="21"/>
                <w:szCs w:val="21"/>
                <w:color w:val="auto"/>
              </w:rPr>
            </w:pPr>
          </w:p>
        </w:tc>
        <w:tc>
          <w:tcPr>
            <w:tcW w:w="84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(333)</w:t>
            </w:r>
          </w:p>
        </w:tc>
      </w:tr>
      <w:tr>
        <w:trPr>
          <w:trHeight w:val="237"/>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Restaurant-Level Adjusted EBITDA</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41,885</w:t>
            </w:r>
          </w:p>
        </w:tc>
        <w:tc>
          <w:tcPr>
            <w:tcW w:w="100" w:type="dxa"/>
            <w:vAlign w:val="bottom"/>
            <w:tcBorders>
              <w:bottom w:val="single" w:sz="8" w:color="DBDBDB"/>
            </w:tcBorders>
          </w:tcPr>
          <w:p>
            <w:pPr>
              <w:spacing w:after="0"/>
              <w:rPr>
                <w:sz w:val="20"/>
                <w:szCs w:val="20"/>
                <w:color w:val="auto"/>
              </w:rPr>
            </w:pP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34,088</w:t>
            </w:r>
          </w:p>
        </w:tc>
        <w:tc>
          <w:tcPr>
            <w:tcW w:w="10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119,435</w:t>
            </w:r>
          </w:p>
        </w:tc>
        <w:tc>
          <w:tcPr>
            <w:tcW w:w="100" w:type="dxa"/>
            <w:vAlign w:val="bottom"/>
            <w:tcBorders>
              <w:bottom w:val="single" w:sz="8" w:color="DBDBDB"/>
            </w:tcBorders>
          </w:tcPr>
          <w:p>
            <w:pPr>
              <w:spacing w:after="0"/>
              <w:rPr>
                <w:sz w:val="20"/>
                <w:szCs w:val="20"/>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100,457</w:t>
            </w:r>
          </w:p>
        </w:tc>
      </w:tr>
      <w:tr>
        <w:trPr>
          <w:trHeight w:val="268"/>
        </w:trPr>
        <w:tc>
          <w:tcPr>
            <w:tcW w:w="4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 (1)</w:t>
            </w:r>
          </w:p>
        </w:tc>
        <w:tc>
          <w:tcPr>
            <w:tcW w:w="56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25.1 %</w:t>
            </w:r>
          </w:p>
        </w:tc>
        <w:tc>
          <w:tcPr>
            <w:tcW w:w="100" w:type="dxa"/>
            <w:vAlign w:val="bottom"/>
            <w:tcBorders>
              <w:bottom w:val="single" w:sz="8" w:color="DBDBDB"/>
            </w:tcBorders>
            <w:shd w:val="clear" w:color="auto" w:fill="DBDBDB"/>
          </w:tcPr>
          <w:p>
            <w:pPr>
              <w:spacing w:after="0"/>
              <w:rPr>
                <w:sz w:val="22"/>
                <w:szCs w:val="22"/>
                <w:color w:val="auto"/>
              </w:rPr>
            </w:pPr>
          </w:p>
        </w:tc>
        <w:tc>
          <w:tcPr>
            <w:tcW w:w="740" w:type="dxa"/>
            <w:vAlign w:val="bottom"/>
            <w:tcBorders>
              <w:bottom w:val="single" w:sz="8" w:color="auto"/>
            </w:tcBorders>
            <w:shd w:val="clear" w:color="auto" w:fill="DBDBDB"/>
          </w:tcPr>
          <w:p>
            <w:pPr>
              <w:spacing w:after="0"/>
              <w:rPr>
                <w:sz w:val="22"/>
                <w:szCs w:val="22"/>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22.6 %</w:t>
            </w:r>
          </w:p>
        </w:tc>
        <w:tc>
          <w:tcPr>
            <w:tcW w:w="100" w:type="dxa"/>
            <w:vAlign w:val="bottom"/>
            <w:tcBorders>
              <w:bottom w:val="single" w:sz="8" w:color="DBDBDB"/>
            </w:tcBorders>
            <w:shd w:val="clear" w:color="auto" w:fill="DBDBDB"/>
          </w:tcPr>
          <w:p>
            <w:pPr>
              <w:spacing w:after="0"/>
              <w:rPr>
                <w:sz w:val="22"/>
                <w:szCs w:val="22"/>
                <w:color w:val="auto"/>
              </w:rPr>
            </w:pPr>
          </w:p>
        </w:tc>
        <w:tc>
          <w:tcPr>
            <w:tcW w:w="500" w:type="dxa"/>
            <w:vAlign w:val="bottom"/>
            <w:tcBorders>
              <w:bottom w:val="single" w:sz="8" w:color="auto"/>
            </w:tcBorders>
            <w:shd w:val="clear" w:color="auto" w:fill="DBDBDB"/>
          </w:tcPr>
          <w:p>
            <w:pPr>
              <w:spacing w:after="0"/>
              <w:rPr>
                <w:sz w:val="22"/>
                <w:szCs w:val="22"/>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24.3 %</w:t>
            </w:r>
          </w:p>
        </w:tc>
        <w:tc>
          <w:tcPr>
            <w:tcW w:w="100" w:type="dxa"/>
            <w:vAlign w:val="bottom"/>
            <w:tcBorders>
              <w:bottom w:val="single" w:sz="8" w:color="DBDBDB"/>
            </w:tcBorders>
            <w:shd w:val="clear" w:color="auto" w:fill="DBDBDB"/>
          </w:tcPr>
          <w:p>
            <w:pPr>
              <w:spacing w:after="0"/>
              <w:rPr>
                <w:sz w:val="22"/>
                <w:szCs w:val="22"/>
                <w:color w:val="auto"/>
              </w:rPr>
            </w:pPr>
          </w:p>
        </w:tc>
        <w:tc>
          <w:tcPr>
            <w:tcW w:w="860" w:type="dxa"/>
            <w:vAlign w:val="bottom"/>
            <w:tcBorders>
              <w:bottom w:val="single" w:sz="8" w:color="auto"/>
            </w:tcBorders>
            <w:shd w:val="clear" w:color="auto" w:fill="DBDBDB"/>
          </w:tcPr>
          <w:p>
            <w:pPr>
              <w:spacing w:after="0"/>
              <w:rPr>
                <w:sz w:val="22"/>
                <w:szCs w:val="22"/>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23.0 %</w:t>
            </w:r>
          </w:p>
        </w:tc>
      </w:tr>
      <w:tr>
        <w:trPr>
          <w:trHeight w:val="20"/>
        </w:trPr>
        <w:tc>
          <w:tcPr>
            <w:tcW w:w="42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 Restaurant-Level Adjusted EBITDA Margin is defined as Adjusted EBITDA divided by Revenues, net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Liquidity and Capital Resources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sources of liquidity are cash from operations, cash and cash equivalents on hand, and availability under our 2023 Revolver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Facility. As of September 24, 2023, we maintained a cash and cash equivalents and restricted cash balance of $12.9 million and had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$95.7 million of availability under our 2023 Revolver Facility, after giving effect to $4.3 million in outstanding letters of credit. Subsequent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quarter-end, on September 29, 2023, the Company borrowed $7.0 million under the 2023 Revolver Facility. As a result, as of September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 2023, the outstanding balance of the 2023 Revolver Facility upon borrowing is $7.0 million and $88.7 million is available to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2023 Revolver Facility.</w:t>
      </w:r>
    </w:p>
    <w:p>
      <w:pPr>
        <w:spacing w:after="0" w:line="2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w:t>
      </w:r>
    </w:p>
    <w:p>
      <w:pPr>
        <w:spacing w:after="0" w:line="21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Based upon current levels of operations and anticipated growth, we expect that cash flows from operations will be sufficient to meet our needs for at least the next twelve months, and the foreseeable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 8. Debt for a discussion of the 2023 Credit Agreement, effective February 2, 2023.</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w:t>
      </w:r>
    </w:p>
    <w:p>
      <w:pPr>
        <w:spacing w:after="0" w:line="2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first quarter of 2023, the Company completed a secondary offering of 8,000,000 shares of the Company's Class A common stock at an offering price of $21.05 per share. On April 5, 2023, the Underwriter exercised its overallotment option in part, to purchase an additional 620,493 shares of the Company's Class A common stock at an offering price of $21.05 per share (collectively the “Q1 Secondary Offering and Overallotment Option”). We used all of the net proceeds from the Q1 Secondary Offering and Overallotment Option to purchase LLC Units and corresponding shares of Class B common stock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The proceeds from the Q1 Secondary Offering and Overallotment Option were used to (i) purchase 2,269,776 existing shares of Class A common stock from the shareholders of the Blocker Companies and (ii) redeem 6,350,717 LLC Units held by the pre-IPO LLC Members. In connection with the redemption, 6,350,717 shares of Class B common stock were surrendered by the pre-IPO LLC Members and canceled and the Company received 6,350,717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 There was no secondary offering completed in the third quarter of 2023.</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IPO, we entered into a Tax Receivable Agreement ("TRA") with certain of our pre-IPO LLC Members, pursuant to which we will generally be required to pay 85% of the amount of cash savings, if any, in U.S. federal, state, and local income tax that we actually realize or are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redemptions or exchanges of LLC Units by pre-IPO LLC Members for Class A common stock and (iv) certain other tax benefits related to entering into the TRA, including payments made under the TRA.</w:t>
      </w:r>
    </w:p>
    <w:p>
      <w:pPr>
        <w:spacing w:after="0" w:line="2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September 24, 2023, we estimate that our obligation for future payments under the TRA totaled $ 301.5 million.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 payments that we are required to make will generally reduce the amount of overall cash flow that might have otherwise been available to us, but we expect the cash tax savings we will realize to fund the required payments. Assuming no material changes in relevant tax law and that we earn sufficient taxable income to realize all tax benefits that are subject to the TRA, we estimate that the tax savings associated with all tax attributes described above would aggregate to approximately $354.7 million as of September 24, 2023. Under this scenario, we would be required to pay the TRA Parties approximately 85% of such amount, or $301.5 million, primarily over the next 15 years, substantially declining in year 16 through year 47. In the three quarters ended September 24, 2023, we made a TRA payment of $ 0.8 million relating to tax year 2021. We made no TRA payments in the quarter ended September 24, 2023. We expect a payment of $6.5 million relating to tax year 2022 to be paid within the next 12 months.</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Summary of Cash Flows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cash flows from operating, investing and financing activities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2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Three Quarters Ended</w:t>
            </w:r>
          </w:p>
        </w:tc>
      </w:tr>
      <w:tr>
        <w:trPr>
          <w:trHeight w:val="247"/>
        </w:trPr>
        <w:tc>
          <w:tcPr>
            <w:tcW w:w="7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24, 2023</w:t>
            </w:r>
          </w:p>
        </w:tc>
        <w:tc>
          <w:tcPr>
            <w:tcW w:w="180" w:type="dxa"/>
            <w:vAlign w:val="bottom"/>
          </w:tcPr>
          <w:p>
            <w:pPr>
              <w:spacing w:after="0"/>
              <w:rPr>
                <w:sz w:val="21"/>
                <w:szCs w:val="21"/>
                <w:color w:val="auto"/>
              </w:rPr>
            </w:pPr>
          </w:p>
        </w:tc>
        <w:tc>
          <w:tcPr>
            <w:tcW w:w="182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25, 2022</w:t>
            </w:r>
          </w:p>
        </w:tc>
      </w:tr>
      <w:tr>
        <w:trPr>
          <w:trHeight w:val="240"/>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DBDBDB"/>
          </w:tcPr>
          <w:p>
            <w:pPr>
              <w:jc w:val="center"/>
              <w:ind w:left="1119"/>
              <w:spacing w:after="0"/>
              <w:rPr>
                <w:sz w:val="20"/>
                <w:szCs w:val="20"/>
                <w:color w:val="auto"/>
              </w:rPr>
            </w:pPr>
            <w:r>
              <w:rPr>
                <w:rFonts w:ascii="Arial" w:cs="Arial" w:eastAsia="Arial" w:hAnsi="Arial"/>
                <w:sz w:val="16"/>
                <w:szCs w:val="16"/>
                <w:color w:val="auto"/>
              </w:rPr>
              <w:t>53,570</w:t>
            </w:r>
          </w:p>
        </w:tc>
        <w:tc>
          <w:tcPr>
            <w:tcW w:w="100" w:type="dxa"/>
            <w:vAlign w:val="bottom"/>
            <w:tcBorders>
              <w:top w:val="single" w:sz="8" w:color="DBDBDB"/>
            </w:tcBorders>
            <w:shd w:val="clear" w:color="auto" w:fill="DBDBDB"/>
          </w:tcPr>
          <w:p>
            <w:pPr>
              <w:spacing w:after="0"/>
              <w:rPr>
                <w:sz w:val="20"/>
                <w:szCs w:val="20"/>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38,969</w:t>
            </w:r>
          </w:p>
        </w:tc>
      </w:tr>
      <w:tr>
        <w:trPr>
          <w:trHeight w:val="233"/>
        </w:trPr>
        <w:tc>
          <w:tcPr>
            <w:tcW w:w="71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20"/>
                <w:szCs w:val="20"/>
                <w:color w:val="auto"/>
              </w:rPr>
            </w:pPr>
          </w:p>
        </w:tc>
        <w:tc>
          <w:tcPr>
            <w:tcW w:w="1820" w:type="dxa"/>
            <w:vAlign w:val="bottom"/>
          </w:tcPr>
          <w:p>
            <w:pPr>
              <w:jc w:val="center"/>
              <w:ind w:left="1099"/>
              <w:spacing w:after="0"/>
              <w:rPr>
                <w:sz w:val="20"/>
                <w:szCs w:val="20"/>
                <w:color w:val="auto"/>
              </w:rPr>
            </w:pPr>
            <w:r>
              <w:rPr>
                <w:rFonts w:ascii="Arial" w:cs="Arial" w:eastAsia="Arial" w:hAnsi="Arial"/>
                <w:sz w:val="16"/>
                <w:szCs w:val="16"/>
                <w:color w:val="auto"/>
              </w:rPr>
              <w:t>(57,579)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(29,968)</w:t>
            </w:r>
          </w:p>
        </w:tc>
      </w:tr>
      <w:tr>
        <w:trPr>
          <w:trHeight w:val="246"/>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shd w:val="clear" w:color="auto" w:fill="DBDBDB"/>
          </w:tcPr>
          <w:p>
            <w:pPr>
              <w:spacing w:after="0"/>
              <w:rPr>
                <w:sz w:val="21"/>
                <w:szCs w:val="21"/>
                <w:color w:val="auto"/>
              </w:rPr>
            </w:pPr>
          </w:p>
        </w:tc>
        <w:tc>
          <w:tcPr>
            <w:tcW w:w="1820" w:type="dxa"/>
            <w:vAlign w:val="bottom"/>
            <w:tcBorders>
              <w:bottom w:val="single" w:sz="8" w:color="auto"/>
            </w:tcBorders>
            <w:shd w:val="clear" w:color="auto" w:fill="DBDBDB"/>
          </w:tcPr>
          <w:p>
            <w:pPr>
              <w:jc w:val="center"/>
              <w:ind w:left="1099"/>
              <w:spacing w:after="0"/>
              <w:rPr>
                <w:sz w:val="20"/>
                <w:szCs w:val="20"/>
                <w:color w:val="auto"/>
              </w:rPr>
            </w:pPr>
            <w:r>
              <w:rPr>
                <w:rFonts w:ascii="Arial" w:cs="Arial" w:eastAsia="Arial" w:hAnsi="Arial"/>
                <w:sz w:val="16"/>
                <w:szCs w:val="16"/>
                <w:color w:val="auto"/>
              </w:rPr>
              <w:t>(27,471)</w:t>
            </w:r>
          </w:p>
        </w:tc>
        <w:tc>
          <w:tcPr>
            <w:tcW w:w="10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(1,542)</w:t>
            </w:r>
          </w:p>
        </w:tc>
      </w:tr>
      <w:tr>
        <w:trPr>
          <w:trHeight w:val="233"/>
        </w:trPr>
        <w:tc>
          <w:tcPr>
            <w:tcW w:w="714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180" w:type="dxa"/>
            <w:vAlign w:val="bottom"/>
          </w:tcPr>
          <w:p>
            <w:pPr>
              <w:spacing w:after="0"/>
              <w:rPr>
                <w:sz w:val="20"/>
                <w:szCs w:val="20"/>
                <w:color w:val="auto"/>
              </w:rPr>
            </w:pPr>
          </w:p>
        </w:tc>
        <w:tc>
          <w:tcPr>
            <w:tcW w:w="1820" w:type="dxa"/>
            <w:vAlign w:val="bottom"/>
          </w:tcPr>
          <w:p>
            <w:pPr>
              <w:jc w:val="center"/>
              <w:ind w:left="1099"/>
              <w:spacing w:after="0"/>
              <w:rPr>
                <w:sz w:val="20"/>
                <w:szCs w:val="20"/>
                <w:color w:val="auto"/>
              </w:rPr>
            </w:pPr>
            <w:r>
              <w:rPr>
                <w:rFonts w:ascii="Arial" w:cs="Arial" w:eastAsia="Arial" w:hAnsi="Arial"/>
                <w:sz w:val="16"/>
                <w:szCs w:val="16"/>
                <w:color w:val="auto"/>
              </w:rPr>
              <w:t>(31,480)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7,459</w:t>
            </w:r>
          </w:p>
        </w:tc>
      </w:tr>
      <w:tr>
        <w:trPr>
          <w:trHeight w:val="246"/>
        </w:trPr>
        <w:tc>
          <w:tcPr>
            <w:tcW w:w="7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80" w:type="dxa"/>
            <w:vAlign w:val="bottom"/>
            <w:tcBorders>
              <w:bottom w:val="single" w:sz="8" w:color="auto"/>
            </w:tcBorders>
            <w:shd w:val="clear" w:color="auto" w:fill="DBDBDB"/>
          </w:tcPr>
          <w:p>
            <w:pPr>
              <w:spacing w:after="0"/>
              <w:rPr>
                <w:sz w:val="21"/>
                <w:szCs w:val="21"/>
                <w:color w:val="auto"/>
              </w:rPr>
            </w:pPr>
          </w:p>
        </w:tc>
        <w:tc>
          <w:tcPr>
            <w:tcW w:w="1820" w:type="dxa"/>
            <w:vAlign w:val="bottom"/>
            <w:tcBorders>
              <w:bottom w:val="single" w:sz="8" w:color="auto"/>
            </w:tcBorders>
            <w:shd w:val="clear" w:color="auto" w:fill="DBDBDB"/>
          </w:tcPr>
          <w:p>
            <w:pPr>
              <w:jc w:val="center"/>
              <w:ind w:left="1119"/>
              <w:spacing w:after="0"/>
              <w:rPr>
                <w:sz w:val="20"/>
                <w:szCs w:val="20"/>
                <w:color w:val="auto"/>
              </w:rPr>
            </w:pPr>
            <w:r>
              <w:rPr>
                <w:rFonts w:ascii="Arial" w:cs="Arial" w:eastAsia="Arial" w:hAnsi="Arial"/>
                <w:sz w:val="16"/>
                <w:szCs w:val="16"/>
                <w:color w:val="auto"/>
              </w:rPr>
              <w:t>44,427</w:t>
            </w:r>
          </w:p>
        </w:tc>
        <w:tc>
          <w:tcPr>
            <w:tcW w:w="10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39,263</w:t>
            </w:r>
          </w:p>
        </w:tc>
      </w:tr>
      <w:tr>
        <w:trPr>
          <w:trHeight w:val="243"/>
        </w:trPr>
        <w:tc>
          <w:tcPr>
            <w:tcW w:w="714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center"/>
              <w:ind w:left="1119"/>
              <w:spacing w:after="0"/>
              <w:rPr>
                <w:sz w:val="20"/>
                <w:szCs w:val="20"/>
                <w:color w:val="auto"/>
              </w:rPr>
            </w:pPr>
            <w:r>
              <w:rPr>
                <w:rFonts w:ascii="Arial" w:cs="Arial" w:eastAsia="Arial" w:hAnsi="Arial"/>
                <w:sz w:val="16"/>
                <w:szCs w:val="16"/>
                <w:color w:val="auto"/>
              </w:rPr>
              <w:t>12,947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46,722</w:t>
            </w: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Operating Activities</w:t>
      </w:r>
    </w:p>
    <w:p>
      <w:pPr>
        <w:spacing w:after="0" w:line="25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Net cash provided by operating activities for the three quarters ended September 24, 2023 was $53.6 million compared to net cash provided by operating activities of $39.0 million for the three quarters ended September 25, 2022, an increase of $14.6 million or 37.5%. This increase was primarily driven by the change in operating assets and liabilities of $10.8 million and the change in non-cash items of $3.1 million, partially offset by higher net income of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$10.8 million change in our operating assets and liabilities balances was primarily driven by operating assets and liabilities being a source of net cash of $2.6 million in the three quarters ended September 24, 2023, compared to a use of net cash of $8.3 million in three quarters ended September 25, 2022 driven by the change in accrued expenses and other liabilities in the three quarters ended September 24, 2023. The $3.1 million change from the three quarters ended September 24, 2023 in non-cash charges is primarily driven by the loss on debt extinguishment in the current year. The increase in net income for the three quarters ended September 24, 2023 was primarily due to higher revenue in the three quarters ended September 24, 2023 compared to the three quarters ended September 25, 2022 as described in the condensed consolidated results of operations, partially offset by the factors driving the aforementioned expenses as described in the condensed consolidated results of operations in the three quarters ended September 24, 2023 compared to the three quarters ended September 25, 2022.</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Investing Activities</w:t>
      </w:r>
    </w:p>
    <w:p>
      <w:pPr>
        <w:spacing w:after="0" w:line="271"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Net cash used in investing activities was $57.6 million for the three quarters ended September 24, 2023 compared to $30.0 million for the three quarters ended September 25, 2022, an increase of $27.6 million or 92.1%. This increase was primarily due to the number of restaurant openings and buildings in process during the three quarters ended September 24, 2023 compared to the three quarters ended September 25, 2022.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Financing Activities</w:t>
      </w:r>
    </w:p>
    <w:p>
      <w:pPr>
        <w:spacing w:after="0" w:line="25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Net cash used in financing activities was $27.5 million for the three quarters ended September 24, 2023 compared to net cash used in financing activities of $1.5 million for the three quarters ended September 25, 2022, an increase of $25.9 million or 1681.5%. This increase is primarily due to the refinancing of our long-term debt as described in Note 8. Debt, the payment of deferred financing costs of $3.6 million and payments made under the TRA of $0.8 million.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2023 Revolver Facility and Liens</w:t>
      </w:r>
    </w:p>
    <w:p>
      <w:pPr>
        <w:spacing w:after="0" w:line="2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2, 2023, Holdings, the Borrower, the other Guarantors party thereto from time to time, each lender party thereto from time to time and Fifth Third Bank, National Association, as Administrative Agent, L/C Issuer and Swing Line Lender entered into the 2023 Credit Agreement which provides for the 2023 Term Loan in an initial aggregate principal amount of $300.0 million and the 2023 Revolver Facility in an initial aggregate principal amount of $100.0 million. The proceeds under the 2023 Term Loan and 2023 Revolver Facility, along with cash on hand, were used to repay outstanding indebtedness under the 2014 Credit Agreement and to pay related transaction expenses. The 2023 Term Loan and 2023 Revolver Facility are scheduled to mature on February 2, 2028.</w:t>
      </w:r>
    </w:p>
    <w:p>
      <w:pPr>
        <w:spacing w:after="0" w:line="21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September 24, 2023, we had no of borrowings under the 2023 Revolver Facility, and letters of credit issued under the 2023 Revolver Facility totaled $4.3 million. As a result, as of September 24, 2023, the Company had $95.7 million available under the 2023 Revolver Facility. Subsequent to the quarter-end, on September 29, 2023 the Company borrowed $7.0 million under the 2023 Revolver Facility. As a result, as of September 29, 2023, the outstanding balance of the 2023 Revolver Facility upon borrowing is $7.0 million and $88.7 million is available to the Company under the 2023 Revolver Facility.</w:t>
      </w:r>
    </w:p>
    <w:p>
      <w:pPr>
        <w:spacing w:after="0" w:line="219"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The 2023 Credit Agreement also includes certain financial covenants with respect to cash interest coverage and total net rent adjusted leverage. As of September 24, 2023, the Company was in compliance with all covenants in the 2023 Credit Agreement.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Material Cash Requirements</w:t>
      </w:r>
    </w:p>
    <w:p>
      <w:pPr>
        <w:spacing w:after="0" w:line="25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There have been no material changes to the material cash requirements as disclosed in our Annual Report on Form 10-K for the fiscal year ended December 25, 2022, other than those payments made in the ordinary course of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 Debt for a description of a Credit Agreement and the repayment of borrowings.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Critical Accounting Estimates</w:t>
      </w:r>
    </w:p>
    <w:p>
      <w:pPr>
        <w:spacing w:after="0" w:line="25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discussion and analysis of financial condition and results of operations is based upon the Company's condensed consolidated financial statements, which have been prepared in accordance with GAAP. The preparation of these financial statements requires the Company to make estimates, judgments, and assumptions that can have a meaningful effect on the reporting of condensed consolidated financial statements. There have been no significant changes to our critical accounting estimates or significant accounting policies as disclosed in our Annual Report on Form 10-K for the fiscal year ended December 25, 2022.</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JOBS Act</w:t>
      </w:r>
    </w:p>
    <w:p>
      <w:pPr>
        <w:spacing w:after="0" w:line="2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qualify as an emerging growth company ("EGC") pursuant to the provisions of the Jumpstart our Business Startups (“JOBS”) Act. For as long as we are an EGC, we may take advantage of certain exemptions from various reporting requirements that are applicable to other public companies that are not EGCs,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shareholder advisory votes on golden parachute compensation.</w:t>
      </w:r>
    </w:p>
    <w:p>
      <w:pPr>
        <w:spacing w:after="0" w:line="21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Section 107 of the JOBS Act also provides that an EGC can take advantage of the extended transition period provided in Section 7(a)(2)(B) of the Securities Act for complying with new or revised accounting standards. An EGC can therefore delay the adoption of certain accounting standards until those standards would otherwise apply to private companies. We intend to take advantage of the extended transition period.</w:t>
      </w:r>
    </w:p>
    <w:p>
      <w:pPr>
        <w:spacing w:after="0" w:line="2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will remain an EGC until the last day of the fiscal year following the fifth anniversary of the date of the first sale of our Class A common stock pursuant to an effective registration statement, which was October 21, 2021, unless, prior to that time, we have more than $1.07 billion in annual gross revenue, have a market value for our Class A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executive compensation disclosure and expect to continue to avail ourselves of the reduced reporting obligations available to EGCs in future filings.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3. Quantitative and Qualitative Disclosures About Market Risk.</w:t>
      </w:r>
    </w:p>
    <w:p>
      <w:pPr>
        <w:spacing w:after="0" w:line="25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There have been no material changes to our exposure to market risks as described in Part II, Item 7A of our Annual Report on Form 10-K for the fiscal year ended December 25, 2022.</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4. Controls and Procedures.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EVALUATION OF DISCLOSURE CONTROLS AND PROCEDURES</w:t>
      </w:r>
    </w:p>
    <w:p>
      <w:pPr>
        <w:spacing w:after="0" w:line="2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CHANGES IN INTERNAL CONTROL OVER FINANCIAL REPORTING</w:t>
      </w:r>
    </w:p>
    <w:p>
      <w:pPr>
        <w:spacing w:after="0" w:line="27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24,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1. Legal Proceedings.</w:t>
      </w:r>
    </w:p>
    <w:p>
      <w:pPr>
        <w:spacing w:after="0" w:line="25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Information regarding certain legal proceedings to which the Company is a party are discussed in Note 14. Contingencies in the notes to the unaudited condensed consolidated financial statements and is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1A. Risk Factors.</w:t>
      </w:r>
    </w:p>
    <w:p>
      <w:pPr>
        <w:spacing w:after="0" w:line="23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There have been no material changes to the risk factors disclosed in the Company's Annual Report on Form 10-K for the year ended December 25, 2022, except as updated in the Company's last Quarterly Report on Form 10-Q for the quarter ended June 25, 2023, and as set forth below.</w:t>
      </w:r>
    </w:p>
    <w:p>
      <w:pPr>
        <w:spacing w:after="0" w:line="201"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color w:val="auto"/>
        </w:rPr>
        <w:t>Matters relating to employment and labor law could have a material adverse effect, result in litigation or additional union activities, add significant costs and divert management attention.</w:t>
      </w:r>
    </w:p>
    <w:p>
      <w:pPr>
        <w:spacing w:after="0" w:line="16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Various federal and state labor laws govern our relationships with our team members and affect our operating costs. Our operations are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These laws include employee classifications as exempt or non-exempt, minimum wage requirements, unemployment tax rates, workers’ compensation rates, overtime, family leave, working conditions, safety standards, immigration status, state and local payroll taxes, federal and state laws which prohibit discrimination, citizenship requirements and other wage and benefit</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requirements for team members classified as non-exempt. In addition, with the passage in 2010 of the U.S. Patient Protection and Affordable Care Act (the “ACA”), we are required to provide affordable coverage, as defined in the ACA, to eligible team members, or otherwise be</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subject to a payment per team member based on the affordability criteria in the ACA. Additionally, some states and localities have passed state and local laws mandating the provision of certain levels of health benefits by some employers. Significant additional government regulations and new laws, including mandated increases in minimum wages, changes in exempt and non-exempt status, or increased mandated benefits such as health care and insurance costs could have a material adverse effect on our business, financial condition and results of operations. In addition, changes in federal or state workplace regulations could adversely affect our ability to meet our financial targets.</w:t>
      </w:r>
    </w:p>
    <w:p>
      <w:pPr>
        <w:spacing w:after="0" w:line="22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Federal law requires that we verify that our workers have the proper documentation and authorization to work in the U.S. Although we require all workers to provide us with government-specified documentation evidencing their employment eligibility, some of our team members may, without our knowledge, be unauthorized workers. We currently participate in the “E-Verify” program, an Internet-based, free program run by the U.S. government to verify employment eligibility, in Arizona, which is the only state in which we operate where participation is required. However, use of the “E-Verify” program does not guarantee that we will properly identify all applicants who are ineligible for employment, and</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we are not utilizing “E-Verify” in any other states where we operate. Unauthorized workers are subject to deportation and may subject us to fines or penalties, and if any of our workers are found to be unauthorized, we could experience adverse publicity that may negatively impact</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brand and may make it more difficult to hire and keep qualified team members. Termination of a significant number of team members who are unauthorized employees may disrupt our operations, cause temporary increases in our labor costs as we train new team members and result in adverse publicity. We could also become subject to fines, penalties and other costs related to claims that we did not fully comply with all recordkeeping obligations of federal and state immigration compliance laws. These factors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2" w:name="page43"/>
    <w:bookmarkEnd w:id="42"/>
    <w:p>
      <w:pPr>
        <w:ind w:right="40"/>
        <w:spacing w:after="0" w:line="251" w:lineRule="auto"/>
        <w:rPr>
          <w:sz w:val="20"/>
          <w:szCs w:val="20"/>
          <w:color w:val="auto"/>
        </w:rPr>
      </w:pPr>
      <w:r>
        <w:rPr>
          <w:rFonts w:ascii="Arial" w:cs="Arial" w:eastAsia="Arial" w:hAnsi="Arial"/>
          <w:sz w:val="17"/>
          <w:szCs w:val="17"/>
          <w:color w:val="auto"/>
        </w:rPr>
        <w:t>Our business is subject to the risk of litigation by team members, consumers, suppliers, shareholders or others through private actions, class actions, administrative proceedings, regulatory actions or other litigation. The outcome of litigation, particularly class action and regulatory actions, is difficult to assess or quantify. In recent years, restaurant companies, including us, have been subject to lawsuits alleging violations of federal and state laws regarding workplace and employment conditions, discrimination and similar matters, and some restaurants have been subject to class action lawsuits in respect of such matters. A number of these lawsuits have resulted in the payment of substantial damages by the defendants. Similar lawsuits have been instituted from time to time alleging violations of various federal and state wage and</w:t>
      </w:r>
    </w:p>
    <w:p>
      <w:pPr>
        <w:ind w:right="100"/>
        <w:spacing w:after="0" w:line="226" w:lineRule="auto"/>
        <w:rPr>
          <w:sz w:val="20"/>
          <w:szCs w:val="20"/>
          <w:color w:val="auto"/>
        </w:rPr>
      </w:pPr>
      <w:r>
        <w:rPr>
          <w:rFonts w:ascii="Arial" w:cs="Arial" w:eastAsia="Arial" w:hAnsi="Arial"/>
          <w:sz w:val="18"/>
          <w:szCs w:val="18"/>
          <w:color w:val="auto"/>
        </w:rPr>
        <w:t>hour laws regarding, among other things, employee meal deductions, overtime eligibility of managers and failure to pay for all hours worked. Regardless of whether any claims against us are valid or whether we are found to be liable, claims may be expensive to defend and may</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divert time and money away from our operations and result in increases in our insurance premiums. In addition, they may generate negative publicity, which could reduce guest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have a material adverse effect on our business, financial condition and results of operations.</w:t>
      </w:r>
    </w:p>
    <w:p>
      <w:pPr>
        <w:spacing w:after="0" w:line="21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April 13, 2023, certain of our team members at one of our commissaries voted in favor of being represented by a union. We filed objections to the election with the National Labor Relations Board on April 19th, asserting that the union and its agent's promises prevented a free and fair election. We have appealed to the NLRB Regional Director to set aside the election results. Although we have not received other petitions to unionize, it is possible that additional team members may choose to be represented by labor unions in the future. If a significant number of our team members were to become unionized and collective bargaining agreement terms were significantly different from our current compensation arrangements, it could have a material adverse effect on our business, financial condition and results of</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operations. In addition, a labor dispute involving some or all our team members may harm our reputation, disrupt our operations and reduce our revenues, and resolution of disputes could increase our costs. Further, if we enter into a new market with unionized construction</w:t>
      </w:r>
    </w:p>
    <w:p>
      <w:pPr>
        <w:spacing w:after="0" w:line="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companies, or the construction companies in our current markets become unionized, construction and build-out costs for new restaurants in such markets could materially increase.</w:t>
      </w:r>
    </w:p>
    <w:p>
      <w:pPr>
        <w:spacing w:after="0" w:line="202"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color w:val="auto"/>
        </w:rPr>
        <w:t>Changes in market and general economic conditions have in the past adversely affected, and may in the future adversely affect, our business and profitability and cause volatility in our results of operations.</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Recently, concerns have arisen with respect to the financial condition of a number of banking organizations in the United States, in particular those with exposure to certain types of depositors and large portfolios of investment securities. In early March, the FDIC was appointed the receiver for both Silicon Valley Bank and Signature Bank in early March 2023 and First Republic Bank in early May 2023 after the banks were closed by regulators. While we do not have any exposure to these banks, we do hold the cash and cash equivalents used to meet our working capital and operating expense needs, primarily at one financial institution, often in balances that exceed the current FDIC insurance limits. If other banks and financial institutions enter receivership or become insolvent in the future, our ability to access our cash and cash equivalents to satisfy our operations may be threatened and could have a material adverse effect on our business and financial condition. We</w:t>
      </w:r>
    </w:p>
    <w:p>
      <w:pPr>
        <w:spacing w:after="0" w:line="5"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may also lose amounts in excess of the FDIC insurance limits and there can be no guarantee that the government would intervene. Our ability to borrow under our existing credit facilities, as well as our ability to secure additional sources of financing, may be impacted in</w:t>
      </w:r>
    </w:p>
    <w:p>
      <w:pPr>
        <w:spacing w:after="0" w:line="2"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significant ways. We may also be adversely impacted by increased costs of capital resulting from additional regulatory changes and requirements. Our vendors and service providers may also suffer disruptions that in turn adversely impact our operations and business.</w:t>
      </w:r>
    </w:p>
    <w:p>
      <w:pPr>
        <w:spacing w:after="0" w:line="21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Economic and market conditions have had, and will continue to have, a direct and material impact on our results of operations and financial condition because our performance is heavily influenced by the overall strength of general economic conditions. Concerns about or future adverse developments in the global and domestic financial markets also impact confidence in economic conditions, specifically consumer confidence. In a time of uncertainty or a downturn, consumers may be willing to spend less with our business. There may be additional risks that we have not yet identified. We continue to monitor the potential impact on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2. Unregistered Sales of Equity Securities and Use of Proceeds.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3. Defaults Upon Senior Securities.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4. Mine Safety Disclosures.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b w:val="1"/>
          <w:bCs w:val="1"/>
          <w:color w:val="414042"/>
        </w:rPr>
        <w:t>Item 5. Other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Rule 10b5-1 and non-Rule 10b5-1 Trading Arrangements</w:t>
      </w:r>
    </w:p>
    <w:p>
      <w:pPr>
        <w:spacing w:after="0" w:line="240"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During the quarter ended September 24, 2023, the following officers of the Company adopted a "Rule 10b5-1 trading arrangement” as defined in Item 408(a) of Regulation S-K:</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Expiration</w:t>
            </w:r>
          </w:p>
        </w:tc>
        <w:tc>
          <w:tcPr>
            <w:tcW w:w="2080" w:type="dxa"/>
            <w:vAlign w:val="bottom"/>
          </w:tcPr>
          <w:p>
            <w:pPr>
              <w:jc w:val="right"/>
              <w:ind w:right="50"/>
              <w:spacing w:after="0"/>
              <w:rPr>
                <w:sz w:val="20"/>
                <w:szCs w:val="20"/>
                <w:color w:val="auto"/>
              </w:rPr>
            </w:pPr>
            <w:r>
              <w:rPr>
                <w:rFonts w:ascii="Arial" w:cs="Arial" w:eastAsia="Arial" w:hAnsi="Arial"/>
                <w:sz w:val="18"/>
                <w:szCs w:val="18"/>
                <w:b w:val="1"/>
                <w:bCs w:val="1"/>
                <w:color w:val="auto"/>
              </w:rPr>
              <w:t>Aggregate Number of</w:t>
            </w:r>
          </w:p>
        </w:tc>
        <w:tc>
          <w:tcPr>
            <w:tcW w:w="2020" w:type="dxa"/>
            <w:vAlign w:val="bottom"/>
          </w:tcPr>
          <w:p>
            <w:pPr>
              <w:spacing w:after="0"/>
              <w:rPr>
                <w:sz w:val="18"/>
                <w:szCs w:val="18"/>
                <w:color w:val="auto"/>
              </w:rPr>
            </w:pPr>
          </w:p>
        </w:tc>
      </w:tr>
      <w:tr>
        <w:trPr>
          <w:trHeight w:val="259"/>
        </w:trPr>
        <w:tc>
          <w:tcPr>
            <w:tcW w:w="27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Name/ Title</w:t>
            </w:r>
          </w:p>
        </w:tc>
        <w:tc>
          <w:tcPr>
            <w:tcW w:w="17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Type of Plan</w:t>
            </w: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Adoption Date</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Date</w:t>
            </w:r>
          </w:p>
        </w:tc>
        <w:tc>
          <w:tcPr>
            <w:tcW w:w="2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Securities to be Sold</w:t>
            </w:r>
          </w:p>
        </w:tc>
        <w:tc>
          <w:tcPr>
            <w:tcW w:w="20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Plan Description</w:t>
            </w:r>
          </w:p>
        </w:tc>
      </w:tr>
      <w:tr>
        <w:trPr>
          <w:trHeight w:val="230"/>
        </w:trPr>
        <w:tc>
          <w:tcPr>
            <w:tcW w:w="2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Michael Osanloo, President/CEO</w:t>
            </w:r>
          </w:p>
        </w:tc>
        <w:tc>
          <w:tcPr>
            <w:tcW w:w="1740" w:type="dxa"/>
            <w:vAlign w:val="bottom"/>
            <w:shd w:val="clear" w:color="auto" w:fill="DBDBDB"/>
          </w:tcPr>
          <w:p>
            <w:pPr>
              <w:spacing w:after="0"/>
              <w:rPr>
                <w:sz w:val="20"/>
                <w:szCs w:val="20"/>
                <w:color w:val="auto"/>
              </w:rPr>
            </w:pPr>
          </w:p>
        </w:tc>
        <w:tc>
          <w:tcPr>
            <w:tcW w:w="140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2080" w:type="dxa"/>
            <w:vAlign w:val="bottom"/>
            <w:shd w:val="clear" w:color="auto" w:fill="DBDBDB"/>
          </w:tcPr>
          <w:p>
            <w:pPr>
              <w:spacing w:after="0"/>
              <w:rPr>
                <w:sz w:val="20"/>
                <w:szCs w:val="20"/>
                <w:color w:val="auto"/>
              </w:rPr>
            </w:pPr>
          </w:p>
        </w:tc>
        <w:tc>
          <w:tcPr>
            <w:tcW w:w="2020" w:type="dxa"/>
            <w:vAlign w:val="bottom"/>
            <w:shd w:val="clear" w:color="auto" w:fill="DBDBDB"/>
          </w:tcPr>
          <w:p>
            <w:pPr>
              <w:spacing w:after="0"/>
              <w:rPr>
                <w:sz w:val="20"/>
                <w:szCs w:val="20"/>
                <w:color w:val="auto"/>
              </w:rPr>
            </w:pPr>
          </w:p>
        </w:tc>
      </w:tr>
      <w:tr>
        <w:trPr>
          <w:trHeight w:val="236"/>
        </w:trPr>
        <w:tc>
          <w:tcPr>
            <w:tcW w:w="27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and Director</w:t>
            </w:r>
          </w:p>
        </w:tc>
        <w:tc>
          <w:tcPr>
            <w:tcW w:w="174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10b5-1 Trading Plan</w:t>
            </w:r>
          </w:p>
        </w:tc>
        <w:tc>
          <w:tcPr>
            <w:tcW w:w="14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August 7, 2023</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May 1, 2024</w:t>
            </w:r>
          </w:p>
        </w:tc>
        <w:tc>
          <w:tcPr>
            <w:tcW w:w="2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82,819</w:t>
            </w:r>
          </w:p>
        </w:tc>
        <w:tc>
          <w:tcPr>
            <w:tcW w:w="202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8"/>
                <w:szCs w:val="18"/>
                <w:color w:val="auto"/>
              </w:rPr>
              <w:t>Sale of Shares</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Derrick Pratt, Chief Operating</w:t>
            </w:r>
          </w:p>
        </w:tc>
        <w:tc>
          <w:tcPr>
            <w:tcW w:w="1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color w:val="auto"/>
              </w:rPr>
              <w:t>Officer</w:t>
            </w:r>
          </w:p>
        </w:tc>
        <w:tc>
          <w:tcPr>
            <w:tcW w:w="1740" w:type="dxa"/>
            <w:vAlign w:val="bottom"/>
          </w:tcPr>
          <w:p>
            <w:pPr>
              <w:ind w:left="60"/>
              <w:spacing w:after="0"/>
              <w:rPr>
                <w:sz w:val="20"/>
                <w:szCs w:val="20"/>
                <w:color w:val="auto"/>
              </w:rPr>
            </w:pPr>
            <w:r>
              <w:rPr>
                <w:rFonts w:ascii="Arial" w:cs="Arial" w:eastAsia="Arial" w:hAnsi="Arial"/>
                <w:sz w:val="18"/>
                <w:szCs w:val="18"/>
                <w:color w:val="auto"/>
              </w:rPr>
              <w:t>10b5-1 Trading Plan</w:t>
            </w:r>
          </w:p>
        </w:tc>
        <w:tc>
          <w:tcPr>
            <w:tcW w:w="1400" w:type="dxa"/>
            <w:vAlign w:val="bottom"/>
          </w:tcPr>
          <w:p>
            <w:pPr>
              <w:ind w:left="140"/>
              <w:spacing w:after="0"/>
              <w:rPr>
                <w:sz w:val="20"/>
                <w:szCs w:val="20"/>
                <w:color w:val="auto"/>
              </w:rPr>
            </w:pPr>
            <w:r>
              <w:rPr>
                <w:rFonts w:ascii="Arial" w:cs="Arial" w:eastAsia="Arial" w:hAnsi="Arial"/>
                <w:sz w:val="18"/>
                <w:szCs w:val="18"/>
                <w:color w:val="auto"/>
              </w:rPr>
              <w:t>August 7, 2023</w:t>
            </w:r>
          </w:p>
        </w:tc>
        <w:tc>
          <w:tcPr>
            <w:tcW w:w="1220" w:type="dxa"/>
            <w:vAlign w:val="bottom"/>
          </w:tcPr>
          <w:p>
            <w:pPr>
              <w:jc w:val="right"/>
              <w:spacing w:after="0"/>
              <w:rPr>
                <w:sz w:val="20"/>
                <w:szCs w:val="20"/>
                <w:color w:val="auto"/>
              </w:rPr>
            </w:pPr>
            <w:r>
              <w:rPr>
                <w:rFonts w:ascii="Arial" w:cs="Arial" w:eastAsia="Arial" w:hAnsi="Arial"/>
                <w:sz w:val="18"/>
                <w:szCs w:val="18"/>
                <w:color w:val="auto"/>
              </w:rPr>
              <w:t>July 31, 2024</w:t>
            </w:r>
          </w:p>
        </w:tc>
        <w:tc>
          <w:tcPr>
            <w:tcW w:w="2080" w:type="dxa"/>
            <w:vAlign w:val="bottom"/>
          </w:tcPr>
          <w:p>
            <w:pPr>
              <w:jc w:val="right"/>
              <w:spacing w:after="0"/>
              <w:rPr>
                <w:sz w:val="20"/>
                <w:szCs w:val="20"/>
                <w:color w:val="auto"/>
              </w:rPr>
            </w:pPr>
            <w:r>
              <w:rPr>
                <w:rFonts w:ascii="Arial" w:cs="Arial" w:eastAsia="Arial" w:hAnsi="Arial"/>
                <w:sz w:val="18"/>
                <w:szCs w:val="18"/>
                <w:color w:val="auto"/>
              </w:rPr>
              <w:t>37,388</w:t>
            </w:r>
          </w:p>
        </w:tc>
        <w:tc>
          <w:tcPr>
            <w:tcW w:w="2020" w:type="dxa"/>
            <w:vAlign w:val="bottom"/>
          </w:tcPr>
          <w:p>
            <w:pPr>
              <w:ind w:left="60"/>
              <w:spacing w:after="0"/>
              <w:rPr>
                <w:sz w:val="20"/>
                <w:szCs w:val="20"/>
                <w:color w:val="auto"/>
              </w:rPr>
            </w:pPr>
            <w:r>
              <w:rPr>
                <w:rFonts w:ascii="Arial" w:cs="Arial" w:eastAsia="Arial" w:hAnsi="Arial"/>
                <w:sz w:val="18"/>
                <w:szCs w:val="18"/>
                <w:color w:val="auto"/>
              </w:rPr>
              <w:t>Sale of Shares</w:t>
            </w:r>
          </w:p>
        </w:tc>
      </w:tr>
      <w:tr>
        <w:trPr>
          <w:trHeight w:val="27"/>
        </w:trPr>
        <w:tc>
          <w:tcPr>
            <w:tcW w:w="27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0"/>
        </w:trPr>
        <w:tc>
          <w:tcPr>
            <w:tcW w:w="2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Nicholas Scarpino, SVP,</w:t>
            </w:r>
          </w:p>
        </w:tc>
        <w:tc>
          <w:tcPr>
            <w:tcW w:w="1740" w:type="dxa"/>
            <w:vAlign w:val="bottom"/>
            <w:shd w:val="clear" w:color="auto" w:fill="DBDBDB"/>
          </w:tcPr>
          <w:p>
            <w:pPr>
              <w:spacing w:after="0"/>
              <w:rPr>
                <w:sz w:val="20"/>
                <w:szCs w:val="20"/>
                <w:color w:val="auto"/>
              </w:rPr>
            </w:pPr>
          </w:p>
        </w:tc>
        <w:tc>
          <w:tcPr>
            <w:tcW w:w="140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2080" w:type="dxa"/>
            <w:vAlign w:val="bottom"/>
            <w:shd w:val="clear" w:color="auto" w:fill="DBDBDB"/>
          </w:tcPr>
          <w:p>
            <w:pPr>
              <w:spacing w:after="0"/>
              <w:rPr>
                <w:sz w:val="20"/>
                <w:szCs w:val="20"/>
                <w:color w:val="auto"/>
              </w:rPr>
            </w:pPr>
          </w:p>
        </w:tc>
        <w:tc>
          <w:tcPr>
            <w:tcW w:w="2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Exercise of Options and</w:t>
            </w:r>
          </w:p>
        </w:tc>
      </w:tr>
      <w:tr>
        <w:trPr>
          <w:trHeight w:val="229"/>
        </w:trPr>
        <w:tc>
          <w:tcPr>
            <w:tcW w:w="2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and Off-Premise Dining</w:t>
            </w:r>
          </w:p>
        </w:tc>
        <w:tc>
          <w:tcPr>
            <w:tcW w:w="1740" w:type="dxa"/>
            <w:vAlign w:val="bottom"/>
            <w:shd w:val="clear" w:color="auto" w:fill="DBDBDB"/>
          </w:tcPr>
          <w:p>
            <w:pPr>
              <w:ind w:left="60"/>
              <w:spacing w:after="0"/>
              <w:rPr>
                <w:sz w:val="20"/>
                <w:szCs w:val="20"/>
                <w:color w:val="auto"/>
              </w:rPr>
            </w:pPr>
            <w:r>
              <w:rPr>
                <w:rFonts w:ascii="Arial" w:cs="Arial" w:eastAsia="Arial" w:hAnsi="Arial"/>
                <w:sz w:val="18"/>
                <w:szCs w:val="18"/>
                <w:color w:val="auto"/>
              </w:rPr>
              <w:t>10b5-1 Trading Plan</w:t>
            </w:r>
          </w:p>
        </w:tc>
        <w:tc>
          <w:tcPr>
            <w:tcW w:w="140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August 7, 2023</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June 6, 2024</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96,722</w:t>
            </w:r>
          </w:p>
        </w:tc>
        <w:tc>
          <w:tcPr>
            <w:tcW w:w="2020" w:type="dxa"/>
            <w:vAlign w:val="bottom"/>
            <w:shd w:val="clear" w:color="auto" w:fill="DBDBDB"/>
          </w:tcPr>
          <w:p>
            <w:pPr>
              <w:ind w:left="60"/>
              <w:spacing w:after="0"/>
              <w:rPr>
                <w:sz w:val="20"/>
                <w:szCs w:val="20"/>
                <w:color w:val="auto"/>
              </w:rPr>
            </w:pPr>
            <w:r>
              <w:rPr>
                <w:rFonts w:ascii="Arial" w:cs="Arial" w:eastAsia="Arial" w:hAnsi="Arial"/>
                <w:sz w:val="18"/>
                <w:szCs w:val="18"/>
                <w:color w:val="auto"/>
              </w:rPr>
              <w:t>Sale of Shares</w:t>
            </w:r>
          </w:p>
        </w:tc>
      </w:tr>
      <w:tr>
        <w:trPr>
          <w:trHeight w:val="27"/>
        </w:trPr>
        <w:tc>
          <w:tcPr>
            <w:tcW w:w="2780" w:type="dxa"/>
            <w:vAlign w:val="bottom"/>
            <w:shd w:val="clear" w:color="auto" w:fill="DBDBDB"/>
          </w:tcPr>
          <w:p>
            <w:pPr>
              <w:spacing w:after="0"/>
              <w:rPr>
                <w:sz w:val="2"/>
                <w:szCs w:val="2"/>
                <w:color w:val="auto"/>
              </w:rPr>
            </w:pPr>
          </w:p>
        </w:tc>
        <w:tc>
          <w:tcPr>
            <w:tcW w:w="174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2080" w:type="dxa"/>
            <w:vAlign w:val="bottom"/>
            <w:shd w:val="clear" w:color="auto" w:fill="DBDBDB"/>
          </w:tcPr>
          <w:p>
            <w:pPr>
              <w:spacing w:after="0"/>
              <w:rPr>
                <w:sz w:val="2"/>
                <w:szCs w:val="2"/>
                <w:color w:val="auto"/>
              </w:rPr>
            </w:pPr>
          </w:p>
        </w:tc>
        <w:tc>
          <w:tcPr>
            <w:tcW w:w="2020" w:type="dxa"/>
            <w:vAlign w:val="bottom"/>
            <w:shd w:val="clear" w:color="auto" w:fill="DBDBDB"/>
          </w:tcPr>
          <w:p>
            <w:pPr>
              <w:spacing w:after="0"/>
              <w:rPr>
                <w:sz w:val="2"/>
                <w:szCs w:val="2"/>
                <w:color w:val="auto"/>
              </w:rPr>
            </w:pPr>
          </w:p>
        </w:tc>
      </w:tr>
    </w:tbl>
    <w:p>
      <w:pPr>
        <w:spacing w:after="0" w:line="32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No other director or officer of the Company adopted, amended, or terminated a “Rule 10b5-1 trading arrangement” or “non-Rule 10b5-1 trading arrangement,” as each term is defined in Item 408(c) of Regulation S-K during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6. Exhibits.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w:t>
            </w: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Filed</w:t>
            </w:r>
          </w:p>
        </w:tc>
      </w:tr>
      <w:tr>
        <w:trPr>
          <w:trHeight w:val="259"/>
        </w:trPr>
        <w:tc>
          <w:tcPr>
            <w:tcW w:w="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Number</w:t>
            </w:r>
          </w:p>
        </w:tc>
        <w:tc>
          <w:tcPr>
            <w:tcW w:w="8940" w:type="dxa"/>
            <w:vAlign w:val="bottom"/>
            <w:tcBorders>
              <w:bottom w:val="single" w:sz="8" w:color="auto"/>
            </w:tcBorders>
            <w:gridSpan w:val="12"/>
          </w:tcPr>
          <w:p>
            <w:pPr>
              <w:ind w:left="3920"/>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203"/>
        </w:trPr>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line="202" w:lineRule="exact"/>
              <w:rPr>
                <w:rFonts w:ascii="Arial" w:cs="Arial" w:eastAsia="Arial" w:hAnsi="Arial"/>
                <w:sz w:val="18"/>
                <w:szCs w:val="18"/>
                <w:color w:val="auto"/>
                <w:w w:val="95"/>
              </w:rPr>
            </w:pPr>
            <w:hyperlink r:id="rId103">
              <w:r>
                <w:rPr>
                  <w:rFonts w:ascii="Arial" w:cs="Arial" w:eastAsia="Arial" w:hAnsi="Arial"/>
                  <w:sz w:val="18"/>
                  <w:szCs w:val="18"/>
                  <w:color w:val="auto"/>
                  <w:w w:val="95"/>
                </w:rPr>
                <w:t>3.</w:t>
              </w:r>
              <w:r>
                <w:rPr>
                  <w:rFonts w:ascii="Arial" w:cs="Arial" w:eastAsia="Arial" w:hAnsi="Arial"/>
                  <w:sz w:val="18"/>
                  <w:szCs w:val="18"/>
                  <w:u w:val="single" w:color="auto"/>
                  <w:color w:val="auto"/>
                  <w:w w:val="95"/>
                </w:rPr>
                <w:t>1</w:t>
              </w:r>
            </w:hyperlink>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760" w:type="dxa"/>
            <w:vAlign w:val="bottom"/>
            <w:tcBorders>
              <w:bottom w:val="single" w:sz="8" w:color="auto"/>
            </w:tcBorders>
            <w:gridSpan w:val="10"/>
          </w:tcPr>
          <w:p>
            <w:pPr>
              <w:spacing w:after="0" w:line="202" w:lineRule="exact"/>
              <w:rPr>
                <w:rFonts w:ascii="Arial" w:cs="Arial" w:eastAsia="Arial" w:hAnsi="Arial"/>
                <w:sz w:val="18"/>
                <w:szCs w:val="18"/>
                <w:color w:val="auto"/>
                <w:w w:val="99"/>
              </w:rPr>
            </w:pPr>
            <w:hyperlink r:id="rId103">
              <w:r>
                <w:rPr>
                  <w:rFonts w:ascii="Arial" w:cs="Arial" w:eastAsia="Arial" w:hAnsi="Arial"/>
                  <w:sz w:val="18"/>
                  <w:szCs w:val="18"/>
                  <w:color w:val="auto"/>
                  <w:w w:val="99"/>
                </w:rPr>
                <w:t>Amended and Restated Certificate of Incorporation of Portillo's Inc. (incorporated by reference to Exhibit 3.1 of</w:t>
              </w:r>
            </w:hyperlink>
          </w:p>
        </w:tc>
        <w:tc>
          <w:tcPr>
            <w:tcW w:w="1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60" w:type="dxa"/>
            <w:vAlign w:val="bottom"/>
            <w:tcBorders>
              <w:bottom w:val="single" w:sz="8" w:color="auto"/>
            </w:tcBorders>
            <w:gridSpan w:val="4"/>
          </w:tcPr>
          <w:p>
            <w:pPr>
              <w:spacing w:after="0" w:line="196" w:lineRule="exact"/>
              <w:rPr>
                <w:rFonts w:ascii="Arial" w:cs="Arial" w:eastAsia="Arial" w:hAnsi="Arial"/>
                <w:sz w:val="18"/>
                <w:szCs w:val="18"/>
                <w:color w:val="auto"/>
                <w:w w:val="99"/>
              </w:rPr>
            </w:pPr>
            <w:hyperlink r:id="rId103">
              <w:r>
                <w:rPr>
                  <w:rFonts w:ascii="Arial" w:cs="Arial" w:eastAsia="Arial" w:hAnsi="Arial"/>
                  <w:sz w:val="18"/>
                  <w:szCs w:val="18"/>
                  <w:color w:val="auto"/>
                  <w:w w:val="99"/>
                </w:rPr>
                <w:t>the Company's Quarterly Report on Form 10-Q filed on November 18, 2021)</w:t>
              </w:r>
            </w:hyperlink>
          </w:p>
        </w:tc>
        <w:tc>
          <w:tcPr>
            <w:tcW w:w="2880" w:type="dxa"/>
            <w:vAlign w:val="bottom"/>
            <w:gridSpan w:val="8"/>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260" w:type="dxa"/>
            <w:vAlign w:val="bottom"/>
          </w:tcPr>
          <w:p>
            <w:pPr>
              <w:spacing w:after="0"/>
              <w:rPr>
                <w:rFonts w:ascii="Arial" w:cs="Arial" w:eastAsia="Arial" w:hAnsi="Arial"/>
                <w:sz w:val="18"/>
                <w:szCs w:val="18"/>
                <w:color w:val="auto"/>
                <w:w w:val="95"/>
              </w:rPr>
            </w:pPr>
            <w:hyperlink r:id="rId104">
              <w:r>
                <w:rPr>
                  <w:rFonts w:ascii="Arial" w:cs="Arial" w:eastAsia="Arial" w:hAnsi="Arial"/>
                  <w:sz w:val="18"/>
                  <w:szCs w:val="18"/>
                  <w:color w:val="auto"/>
                  <w:w w:val="95"/>
                </w:rPr>
                <w:t>3.</w:t>
              </w:r>
              <w:r>
                <w:rPr>
                  <w:rFonts w:ascii="Arial" w:cs="Arial" w:eastAsia="Arial" w:hAnsi="Arial"/>
                  <w:sz w:val="18"/>
                  <w:szCs w:val="18"/>
                  <w:u w:val="single" w:color="auto"/>
                  <w:color w:val="auto"/>
                  <w:w w:val="95"/>
                </w:rPr>
                <w:t>2</w:t>
              </w:r>
            </w:hyperlink>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940" w:type="dxa"/>
            <w:vAlign w:val="bottom"/>
            <w:gridSpan w:val="12"/>
          </w:tcPr>
          <w:p>
            <w:pPr>
              <w:spacing w:after="0"/>
              <w:rPr>
                <w:rFonts w:ascii="Arial" w:cs="Arial" w:eastAsia="Arial" w:hAnsi="Arial"/>
                <w:sz w:val="18"/>
                <w:szCs w:val="18"/>
                <w:color w:val="auto"/>
              </w:rPr>
            </w:pPr>
            <w:hyperlink r:id="rId104">
              <w:r>
                <w:rPr>
                  <w:rFonts w:ascii="Arial" w:cs="Arial" w:eastAsia="Arial" w:hAnsi="Arial"/>
                  <w:sz w:val="18"/>
                  <w:szCs w:val="18"/>
                  <w:color w:val="auto"/>
                </w:rPr>
                <w:t>Amended and Restated Bylaws of Portillo’s Inc. (incorporated by reference to Exhibit 3.2 of the Company's</w:t>
              </w:r>
            </w:hyperlink>
          </w:p>
        </w:tc>
        <w:tc>
          <w:tcPr>
            <w:tcW w:w="108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20" w:type="dxa"/>
            <w:vAlign w:val="bottom"/>
            <w:tcBorders>
              <w:top w:val="single" w:sz="8" w:color="auto"/>
              <w:bottom w:val="single" w:sz="8" w:color="auto"/>
            </w:tcBorders>
            <w:gridSpan w:val="2"/>
          </w:tcPr>
          <w:p>
            <w:pPr>
              <w:spacing w:after="0" w:line="196" w:lineRule="exact"/>
              <w:rPr>
                <w:rFonts w:ascii="Arial" w:cs="Arial" w:eastAsia="Arial" w:hAnsi="Arial"/>
                <w:sz w:val="18"/>
                <w:szCs w:val="18"/>
                <w:color w:val="auto"/>
                <w:w w:val="99"/>
              </w:rPr>
            </w:pPr>
            <w:hyperlink r:id="rId104">
              <w:r>
                <w:rPr>
                  <w:rFonts w:ascii="Arial" w:cs="Arial" w:eastAsia="Arial" w:hAnsi="Arial"/>
                  <w:sz w:val="18"/>
                  <w:szCs w:val="18"/>
                  <w:color w:val="auto"/>
                  <w:w w:val="99"/>
                </w:rPr>
                <w:t>Quarterly Report on Form 10-Q filed on November 18, 2021)</w:t>
              </w:r>
            </w:hyperlink>
          </w:p>
        </w:tc>
        <w:tc>
          <w:tcPr>
            <w:tcW w:w="3640" w:type="dxa"/>
            <w:vAlign w:val="bottom"/>
            <w:tcBorders>
              <w:top w:val="single" w:sz="8" w:color="auto"/>
            </w:tcBorders>
            <w:gridSpan w:val="6"/>
          </w:tcPr>
          <w:p>
            <w:pPr>
              <w:spacing w:after="0"/>
              <w:rPr>
                <w:sz w:val="17"/>
                <w:szCs w:val="17"/>
                <w:color w:val="auto"/>
              </w:rPr>
            </w:pPr>
          </w:p>
        </w:tc>
        <w:tc>
          <w:tcPr>
            <w:tcW w:w="48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60" w:type="dxa"/>
            <w:vAlign w:val="bottom"/>
            <w:gridSpan w:val="2"/>
          </w:tcPr>
          <w:p>
            <w:pPr>
              <w:spacing w:after="0"/>
              <w:rPr>
                <w:rFonts w:ascii="Arial" w:cs="Arial" w:eastAsia="Arial" w:hAnsi="Arial"/>
                <w:sz w:val="18"/>
                <w:szCs w:val="18"/>
                <w:color w:val="auto"/>
                <w:w w:val="96"/>
              </w:rPr>
            </w:pPr>
            <w:hyperlink r:id="rId105">
              <w:r>
                <w:rPr>
                  <w:rFonts w:ascii="Arial" w:cs="Arial" w:eastAsia="Arial" w:hAnsi="Arial"/>
                  <w:sz w:val="18"/>
                  <w:szCs w:val="18"/>
                  <w:color w:val="auto"/>
                  <w:w w:val="96"/>
                </w:rPr>
                <w:t>10.</w:t>
              </w:r>
            </w:hyperlink>
            <w:r>
              <w:rPr>
                <w:rFonts w:ascii="Arial" w:cs="Arial" w:eastAsia="Arial" w:hAnsi="Arial"/>
                <w:sz w:val="18"/>
                <w:szCs w:val="18"/>
                <w:color w:val="auto"/>
                <w:w w:val="96"/>
              </w:rPr>
              <w:t>1</w:t>
            </w:r>
          </w:p>
        </w:tc>
        <w:tc>
          <w:tcPr>
            <w:tcW w:w="840" w:type="dxa"/>
            <w:vAlign w:val="bottom"/>
          </w:tcPr>
          <w:p>
            <w:pPr>
              <w:spacing w:after="0"/>
              <w:rPr>
                <w:sz w:val="21"/>
                <w:szCs w:val="21"/>
                <w:color w:val="auto"/>
              </w:rPr>
            </w:pPr>
          </w:p>
        </w:tc>
        <w:tc>
          <w:tcPr>
            <w:tcW w:w="8940" w:type="dxa"/>
            <w:vAlign w:val="bottom"/>
            <w:gridSpan w:val="12"/>
          </w:tcPr>
          <w:p>
            <w:pPr>
              <w:spacing w:after="0"/>
              <w:rPr>
                <w:rFonts w:ascii="Arial" w:cs="Arial" w:eastAsia="Arial" w:hAnsi="Arial"/>
                <w:sz w:val="18"/>
                <w:szCs w:val="18"/>
                <w:color w:val="auto"/>
              </w:rPr>
            </w:pPr>
            <w:hyperlink r:id="rId105">
              <w:r>
                <w:rPr>
                  <w:rFonts w:ascii="Arial" w:cs="Arial" w:eastAsia="Arial" w:hAnsi="Arial"/>
                  <w:sz w:val="18"/>
                  <w:szCs w:val="18"/>
                  <w:color w:val="auto"/>
                </w:rPr>
                <w:t>Form of Stock and Unit Purchase Agreement by and among Portillo’s Inc. and the parties named therein</w:t>
              </w:r>
            </w:hyperlink>
          </w:p>
        </w:tc>
        <w:tc>
          <w:tcPr>
            <w:tcW w:w="108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960" w:type="dxa"/>
            <w:vAlign w:val="bottom"/>
            <w:tcBorders>
              <w:top w:val="single" w:sz="8" w:color="auto"/>
              <w:bottom w:val="single" w:sz="8" w:color="auto"/>
            </w:tcBorders>
            <w:gridSpan w:val="5"/>
          </w:tcPr>
          <w:p>
            <w:pPr>
              <w:spacing w:after="0" w:line="196" w:lineRule="exact"/>
              <w:rPr>
                <w:rFonts w:ascii="Arial" w:cs="Arial" w:eastAsia="Arial" w:hAnsi="Arial"/>
                <w:sz w:val="18"/>
                <w:szCs w:val="18"/>
                <w:color w:val="auto"/>
                <w:w w:val="99"/>
              </w:rPr>
            </w:pPr>
            <w:hyperlink r:id="rId105">
              <w:r>
                <w:rPr>
                  <w:rFonts w:ascii="Arial" w:cs="Arial" w:eastAsia="Arial" w:hAnsi="Arial"/>
                  <w:sz w:val="18"/>
                  <w:szCs w:val="18"/>
                  <w:color w:val="auto"/>
                  <w:w w:val="99"/>
                </w:rPr>
                <w:t>(incorporated by reference to the Company's Registration Statement on S-1 filed on August 8, 2022)</w:t>
              </w:r>
            </w:hyperlink>
          </w:p>
        </w:tc>
        <w:tc>
          <w:tcPr>
            <w:tcW w:w="320" w:type="dxa"/>
            <w:vAlign w:val="bottom"/>
            <w:tcBorders>
              <w:top w:val="single" w:sz="8" w:color="auto"/>
            </w:tcBorders>
            <w:gridSpan w:val="2"/>
          </w:tcPr>
          <w:p>
            <w:pPr>
              <w:spacing w:after="0"/>
              <w:rPr>
                <w:sz w:val="17"/>
                <w:szCs w:val="17"/>
                <w:color w:val="auto"/>
              </w:rPr>
            </w:pPr>
          </w:p>
        </w:tc>
        <w:tc>
          <w:tcPr>
            <w:tcW w:w="66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31.</w:t>
            </w:r>
            <w:r>
              <w:rPr>
                <w:rFonts w:ascii="Arial" w:cs="Arial" w:eastAsia="Arial" w:hAnsi="Arial"/>
                <w:sz w:val="18"/>
                <w:szCs w:val="18"/>
                <w:u w:val="single" w:color="auto"/>
                <w:color w:val="auto"/>
                <w:w w:val="96"/>
              </w:rPr>
              <w:t>1</w:t>
            </w:r>
          </w:p>
        </w:tc>
        <w:tc>
          <w:tcPr>
            <w:tcW w:w="840" w:type="dxa"/>
            <w:vAlign w:val="bottom"/>
          </w:tcPr>
          <w:p>
            <w:pPr>
              <w:spacing w:after="0"/>
              <w:rPr>
                <w:sz w:val="21"/>
                <w:szCs w:val="21"/>
                <w:color w:val="auto"/>
              </w:rPr>
            </w:pPr>
          </w:p>
        </w:tc>
        <w:tc>
          <w:tcPr>
            <w:tcW w:w="81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9"/>
              </w:rPr>
              <w:t>Certification of the Principal Executive Officer pursuant to Securities Exchange Act Rules 13a-14(a), as</w:t>
            </w:r>
          </w:p>
        </w:tc>
        <w:tc>
          <w:tcPr>
            <w:tcW w:w="760" w:type="dxa"/>
            <w:vAlign w:val="bottom"/>
            <w:gridSpan w:val="6"/>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9"/>
              </w:rPr>
              <w:t>adopted pursuant to Section 302 of the Sarbanes-Oxley Act of 2002</w:t>
            </w:r>
          </w:p>
        </w:tc>
        <w:tc>
          <w:tcPr>
            <w:tcW w:w="3540" w:type="dxa"/>
            <w:vAlign w:val="bottom"/>
            <w:gridSpan w:val="9"/>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31.</w:t>
            </w:r>
            <w:r>
              <w:rPr>
                <w:rFonts w:ascii="Arial" w:cs="Arial" w:eastAsia="Arial" w:hAnsi="Arial"/>
                <w:sz w:val="18"/>
                <w:szCs w:val="18"/>
                <w:u w:val="single" w:color="auto"/>
                <w:color w:val="auto"/>
                <w:w w:val="96"/>
              </w:rPr>
              <w:t>2</w:t>
            </w:r>
          </w:p>
        </w:tc>
        <w:tc>
          <w:tcPr>
            <w:tcW w:w="840" w:type="dxa"/>
            <w:vAlign w:val="bottom"/>
          </w:tcPr>
          <w:p>
            <w:pPr>
              <w:spacing w:after="0"/>
              <w:rPr>
                <w:sz w:val="21"/>
                <w:szCs w:val="21"/>
                <w:color w:val="auto"/>
              </w:rPr>
            </w:pPr>
          </w:p>
        </w:tc>
        <w:tc>
          <w:tcPr>
            <w:tcW w:w="882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9"/>
              </w:rPr>
              <w:t>Certification of the Principal Financial Officer pursuant to Securities Exchange Act Rules 13a-14(a), as adopted</w:t>
            </w:r>
          </w:p>
        </w:tc>
        <w:tc>
          <w:tcPr>
            <w:tcW w:w="1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pursuant to Section 302 of the Sarbanes-Oxley Act of 2002</w:t>
            </w:r>
          </w:p>
        </w:tc>
        <w:tc>
          <w:tcPr>
            <w:tcW w:w="4240" w:type="dxa"/>
            <w:vAlign w:val="bottom"/>
            <w:gridSpan w:val="11"/>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32.</w:t>
            </w:r>
            <w:r>
              <w:rPr>
                <w:rFonts w:ascii="Arial" w:cs="Arial" w:eastAsia="Arial" w:hAnsi="Arial"/>
                <w:sz w:val="18"/>
                <w:szCs w:val="18"/>
                <w:u w:val="single" w:color="auto"/>
                <w:color w:val="auto"/>
                <w:w w:val="96"/>
              </w:rPr>
              <w:t>1</w:t>
            </w:r>
          </w:p>
        </w:tc>
        <w:tc>
          <w:tcPr>
            <w:tcW w:w="840" w:type="dxa"/>
            <w:vAlign w:val="bottom"/>
          </w:tcPr>
          <w:p>
            <w:pPr>
              <w:spacing w:after="0"/>
              <w:rPr>
                <w:sz w:val="21"/>
                <w:szCs w:val="21"/>
                <w:color w:val="auto"/>
              </w:rPr>
            </w:pPr>
          </w:p>
        </w:tc>
        <w:tc>
          <w:tcPr>
            <w:tcW w:w="8940" w:type="dxa"/>
            <w:vAlign w:val="bottom"/>
            <w:gridSpan w:val="12"/>
          </w:tcPr>
          <w:p>
            <w:pPr>
              <w:spacing w:after="0"/>
              <w:rPr>
                <w:sz w:val="20"/>
                <w:szCs w:val="20"/>
                <w:color w:val="auto"/>
              </w:rPr>
            </w:pPr>
            <w:r>
              <w:rPr>
                <w:rFonts w:ascii="Arial" w:cs="Arial" w:eastAsia="Arial" w:hAnsi="Arial"/>
                <w:sz w:val="18"/>
                <w:szCs w:val="18"/>
                <w:color w:val="auto"/>
              </w:rPr>
              <w:t>Certifications of the Chief Executive Officer and Chief Financial Officer pursuant to 18 U.S.C. Section 1350, as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96"/>
        </w:trPr>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540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9"/>
              </w:rPr>
              <w:t>adopted pursuant to Section 906 of the Sarbanes-Oxley Act of 2002</w:t>
            </w:r>
          </w:p>
        </w:tc>
        <w:tc>
          <w:tcPr>
            <w:tcW w:w="3340" w:type="dxa"/>
            <w:vAlign w:val="bottom"/>
            <w:tcBorders>
              <w:top w:val="single" w:sz="8" w:color="auto"/>
            </w:tcBorders>
            <w:gridSpan w:val="6"/>
          </w:tcPr>
          <w:p>
            <w:pPr>
              <w:spacing w:after="0"/>
              <w:rPr>
                <w:sz w:val="17"/>
                <w:szCs w:val="17"/>
                <w:color w:val="auto"/>
              </w:rPr>
            </w:pPr>
          </w:p>
        </w:tc>
        <w:tc>
          <w:tcPr>
            <w:tcW w:w="200" w:type="dxa"/>
            <w:vAlign w:val="bottom"/>
            <w:gridSpan w:val="3"/>
          </w:tcPr>
          <w:p>
            <w:pPr>
              <w:spacing w:after="0"/>
              <w:rPr>
                <w:sz w:val="17"/>
                <w:szCs w:val="17"/>
                <w:color w:val="auto"/>
              </w:rPr>
            </w:pPr>
          </w:p>
        </w:tc>
        <w:tc>
          <w:tcPr>
            <w:tcW w:w="1080" w:type="dxa"/>
            <w:vAlign w:val="bottom"/>
          </w:tcPr>
          <w:p>
            <w:pPr>
              <w:spacing w:after="0"/>
              <w:rPr>
                <w:sz w:val="17"/>
                <w:szCs w:val="17"/>
                <w:color w:val="auto"/>
              </w:rPr>
            </w:pPr>
          </w:p>
        </w:tc>
      </w:tr>
      <w:tr>
        <w:trPr>
          <w:trHeight w:val="278"/>
        </w:trPr>
        <w:tc>
          <w:tcPr>
            <w:tcW w:w="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940" w:type="dxa"/>
            <w:vAlign w:val="bottom"/>
            <w:gridSpan w:val="12"/>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940" w:type="dxa"/>
            <w:vAlign w:val="bottom"/>
            <w:gridSpan w:val="12"/>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108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94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70"/>
        </w:trPr>
        <w:tc>
          <w:tcPr>
            <w:tcW w:w="20" w:type="dxa"/>
            <w:vAlign w:val="bottom"/>
          </w:tcPr>
          <w:p>
            <w:pPr>
              <w:spacing w:after="0"/>
              <w:rPr>
                <w:sz w:val="23"/>
                <w:szCs w:val="23"/>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94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70"/>
        </w:trPr>
        <w:tc>
          <w:tcPr>
            <w:tcW w:w="20" w:type="dxa"/>
            <w:vAlign w:val="bottom"/>
          </w:tcPr>
          <w:p>
            <w:pPr>
              <w:spacing w:after="0"/>
              <w:rPr>
                <w:sz w:val="23"/>
                <w:szCs w:val="23"/>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94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70"/>
        </w:trPr>
        <w:tc>
          <w:tcPr>
            <w:tcW w:w="20" w:type="dxa"/>
            <w:vAlign w:val="bottom"/>
          </w:tcPr>
          <w:p>
            <w:pPr>
              <w:spacing w:after="0"/>
              <w:rPr>
                <w:sz w:val="23"/>
                <w:szCs w:val="23"/>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94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70"/>
        </w:trPr>
        <w:tc>
          <w:tcPr>
            <w:tcW w:w="20" w:type="dxa"/>
            <w:vAlign w:val="bottom"/>
          </w:tcPr>
          <w:p>
            <w:pPr>
              <w:spacing w:after="0"/>
              <w:rPr>
                <w:sz w:val="23"/>
                <w:szCs w:val="23"/>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94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57"/>
        </w:trPr>
        <w:tc>
          <w:tcPr>
            <w:tcW w:w="380" w:type="dxa"/>
            <w:vAlign w:val="bottom"/>
            <w:gridSpan w:val="3"/>
          </w:tcPr>
          <w:p>
            <w:pPr>
              <w:ind w:left="20"/>
              <w:spacing w:after="0"/>
              <w:rPr>
                <w:sz w:val="20"/>
                <w:szCs w:val="20"/>
                <w:color w:val="auto"/>
              </w:rPr>
            </w:pPr>
            <w:r>
              <w:rPr>
                <w:rFonts w:ascii="Arial" w:cs="Arial" w:eastAsia="Arial" w:hAnsi="Arial"/>
                <w:sz w:val="18"/>
                <w:szCs w:val="18"/>
                <w:color w:val="auto"/>
              </w:rPr>
              <w:t>104</w:t>
            </w:r>
          </w:p>
        </w:tc>
        <w:tc>
          <w:tcPr>
            <w:tcW w:w="840" w:type="dxa"/>
            <w:vAlign w:val="bottom"/>
          </w:tcPr>
          <w:p>
            <w:pPr>
              <w:spacing w:after="0"/>
              <w:rPr>
                <w:sz w:val="22"/>
                <w:szCs w:val="22"/>
                <w:color w:val="auto"/>
              </w:rPr>
            </w:pPr>
          </w:p>
        </w:tc>
        <w:tc>
          <w:tcPr>
            <w:tcW w:w="8940" w:type="dxa"/>
            <w:vAlign w:val="bottom"/>
            <w:gridSpan w:val="12"/>
          </w:tcPr>
          <w:p>
            <w:pPr>
              <w:spacing w:after="0"/>
              <w:rPr>
                <w:sz w:val="20"/>
                <w:szCs w:val="20"/>
                <w:color w:val="auto"/>
              </w:rPr>
            </w:pPr>
            <w:r>
              <w:rPr>
                <w:rFonts w:ascii="Arial" w:cs="Arial" w:eastAsia="Arial" w:hAnsi="Arial"/>
                <w:sz w:val="18"/>
                <w:szCs w:val="18"/>
                <w:color w:val="auto"/>
              </w:rPr>
              <w:t>Cover page Interactive Data File - the cover page interactive data file does not appear in the Interactive Data</w:t>
            </w: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940" w:type="dxa"/>
            <w:vAlign w:val="bottom"/>
            <w:gridSpan w:val="12"/>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1080" w:type="dxa"/>
            <w:vAlign w:val="bottom"/>
          </w:tcPr>
          <w:p>
            <w:pPr>
              <w:spacing w:after="0"/>
              <w:rPr>
                <w:sz w:val="19"/>
                <w:szCs w:val="19"/>
                <w:color w:val="auto"/>
              </w:rPr>
            </w:pPr>
          </w:p>
        </w:tc>
      </w:tr>
    </w:tbl>
    <w:p>
      <w:pPr>
        <w:spacing w:after="0" w:line="103"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Filed Herewith</w:t>
      </w:r>
    </w:p>
    <w:p>
      <w:pPr>
        <w:spacing w:after="0" w:line="27"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Furnished Herewith</w:t>
      </w:r>
    </w:p>
    <w:p>
      <w:pPr>
        <w:spacing w:after="0" w:line="9"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compensatory plan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6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31115</wp:posOffset>
            </wp:positionV>
            <wp:extent cx="38233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Michael Osanloo</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President, Chief Executive Officer and Director</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Executive Officer)</w:t>
      </w:r>
    </w:p>
    <w:p>
      <w:pPr>
        <w:spacing w:after="0" w:line="335"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31115</wp:posOffset>
            </wp:positionV>
            <wp:extent cx="38233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Michelle Hook</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 and Treasurer</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44</w:t>
      </w:r>
    </w:p>
    <w:p>
      <w:pPr>
        <w:sectPr>
          <w:pgSz w:w="11900" w:h="16838" w:orient="portrait"/>
          <w:cols w:equalWidth="0" w:num="1">
            <w:col w:w="11240"/>
          </w:cols>
          <w:pgMar w:left="320" w:top="370"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940"/>
        <w:spacing w:after="0" w:line="275"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Osanloo, certify that:</w:t>
      </w:r>
    </w:p>
    <w:p>
      <w:pPr>
        <w:spacing w:after="0" w:line="50" w:lineRule="exact"/>
        <w:rPr>
          <w:sz w:val="20"/>
          <w:szCs w:val="20"/>
          <w:color w:val="auto"/>
        </w:rPr>
      </w:pPr>
    </w:p>
    <w:p>
      <w:pPr>
        <w:ind w:left="1380" w:hanging="90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24, 2023 of Portillo's Inc.;</w:t>
      </w:r>
    </w:p>
    <w:p>
      <w:pPr>
        <w:spacing w:after="0" w:line="22" w:lineRule="exact"/>
        <w:rPr>
          <w:rFonts w:ascii="Arial" w:cs="Arial" w:eastAsia="Arial" w:hAnsi="Arial"/>
          <w:sz w:val="18"/>
          <w:szCs w:val="18"/>
          <w:color w:val="auto"/>
        </w:rPr>
      </w:pPr>
    </w:p>
    <w:p>
      <w:pPr>
        <w:ind w:left="1380" w:right="80" w:hanging="909"/>
        <w:spacing w:after="0" w:line="224"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8"/>
          <w:szCs w:val="18"/>
          <w:color w:val="auto"/>
        </w:rPr>
      </w:pPr>
    </w:p>
    <w:p>
      <w:pPr>
        <w:ind w:left="1380" w:right="80" w:hanging="909"/>
        <w:spacing w:after="0" w:line="224"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Arial" w:cs="Arial" w:eastAsia="Arial" w:hAnsi="Arial"/>
          <w:sz w:val="18"/>
          <w:szCs w:val="18"/>
          <w:color w:val="auto"/>
        </w:rPr>
      </w:pPr>
    </w:p>
    <w:p>
      <w:pPr>
        <w:ind w:left="1380" w:right="320" w:hanging="909"/>
        <w:spacing w:after="0" w:line="224"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18"/>
          <w:szCs w:val="18"/>
          <w:color w:val="auto"/>
        </w:rPr>
      </w:pPr>
    </w:p>
    <w:p>
      <w:pPr>
        <w:ind w:left="1380" w:right="20" w:hanging="450"/>
        <w:spacing w:after="0" w:line="224"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Arial" w:cs="Arial" w:eastAsia="Arial" w:hAnsi="Arial"/>
          <w:sz w:val="18"/>
          <w:szCs w:val="18"/>
          <w:color w:val="auto"/>
        </w:rPr>
      </w:pPr>
    </w:p>
    <w:p>
      <w:pPr>
        <w:ind w:left="1380" w:right="440" w:hanging="450"/>
        <w:spacing w:after="0" w:line="224"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Arial" w:cs="Arial" w:eastAsia="Arial" w:hAnsi="Arial"/>
          <w:sz w:val="18"/>
          <w:szCs w:val="18"/>
          <w:color w:val="auto"/>
        </w:rPr>
      </w:pPr>
    </w:p>
    <w:p>
      <w:pPr>
        <w:ind w:left="1380" w:right="220" w:hanging="450"/>
        <w:spacing w:after="0" w:line="224"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 w:lineRule="exact"/>
        <w:rPr>
          <w:rFonts w:ascii="Arial" w:cs="Arial" w:eastAsia="Arial" w:hAnsi="Arial"/>
          <w:sz w:val="18"/>
          <w:szCs w:val="18"/>
          <w:color w:val="auto"/>
        </w:rPr>
      </w:pPr>
    </w:p>
    <w:p>
      <w:pPr>
        <w:ind w:left="1380" w:right="280" w:hanging="450"/>
        <w:spacing w:after="0" w:line="224"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1380" w:right="320" w:hanging="909"/>
        <w:spacing w:after="0" w:line="224"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 w:lineRule="exact"/>
        <w:rPr>
          <w:rFonts w:ascii="Arial" w:cs="Arial" w:eastAsia="Arial" w:hAnsi="Arial"/>
          <w:sz w:val="18"/>
          <w:szCs w:val="18"/>
          <w:color w:val="auto"/>
        </w:rPr>
      </w:pPr>
    </w:p>
    <w:p>
      <w:pPr>
        <w:jc w:val="both"/>
        <w:ind w:left="1380" w:right="340" w:hanging="450"/>
        <w:spacing w:after="0" w:line="224"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Arial" w:cs="Arial" w:eastAsia="Arial" w:hAnsi="Arial"/>
          <w:sz w:val="18"/>
          <w:szCs w:val="18"/>
          <w:color w:val="auto"/>
        </w:rPr>
      </w:pPr>
    </w:p>
    <w:p>
      <w:pPr>
        <w:ind w:left="1380" w:right="680" w:hanging="450"/>
        <w:spacing w:after="0" w:line="234"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20"/>
        <w:spacing w:after="0"/>
        <w:tabs>
          <w:tab w:leader="none" w:pos="5440" w:val="left"/>
          <w:tab w:leader="none" w:pos="614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13970</wp:posOffset>
            </wp:positionV>
            <wp:extent cx="32315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Michael Osanloo</w:t>
      </w:r>
    </w:p>
    <w:p>
      <w:pPr>
        <w:spacing w:after="0" w:line="1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Chief Executive Officer and Director</w:t>
      </w: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940"/>
        <w:spacing w:after="0" w:line="275"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Michelle Hook, certify that:</w:t>
      </w:r>
    </w:p>
    <w:p>
      <w:pPr>
        <w:spacing w:after="0" w:line="50" w:lineRule="exact"/>
        <w:rPr>
          <w:sz w:val="20"/>
          <w:szCs w:val="20"/>
          <w:color w:val="auto"/>
        </w:rPr>
      </w:pPr>
    </w:p>
    <w:p>
      <w:pPr>
        <w:ind w:left="1380" w:hanging="909"/>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24, 2023 of Portillo's Inc.;</w:t>
      </w:r>
    </w:p>
    <w:p>
      <w:pPr>
        <w:spacing w:after="0" w:line="22" w:lineRule="exact"/>
        <w:rPr>
          <w:rFonts w:ascii="Arial" w:cs="Arial" w:eastAsia="Arial" w:hAnsi="Arial"/>
          <w:sz w:val="18"/>
          <w:szCs w:val="18"/>
          <w:color w:val="auto"/>
        </w:rPr>
      </w:pPr>
    </w:p>
    <w:p>
      <w:pPr>
        <w:ind w:left="1380" w:right="80" w:hanging="909"/>
        <w:spacing w:after="0" w:line="224"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Arial" w:cs="Arial" w:eastAsia="Arial" w:hAnsi="Arial"/>
          <w:sz w:val="18"/>
          <w:szCs w:val="18"/>
          <w:color w:val="auto"/>
        </w:rPr>
      </w:pPr>
    </w:p>
    <w:p>
      <w:pPr>
        <w:ind w:left="1380" w:right="80" w:hanging="909"/>
        <w:spacing w:after="0" w:line="224"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rFonts w:ascii="Arial" w:cs="Arial" w:eastAsia="Arial" w:hAnsi="Arial"/>
          <w:sz w:val="18"/>
          <w:szCs w:val="18"/>
          <w:color w:val="auto"/>
        </w:rPr>
      </w:pPr>
    </w:p>
    <w:p>
      <w:pPr>
        <w:ind w:left="1380" w:right="320" w:hanging="909"/>
        <w:spacing w:after="0" w:line="224"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18"/>
          <w:szCs w:val="18"/>
          <w:color w:val="auto"/>
        </w:rPr>
      </w:pPr>
    </w:p>
    <w:p>
      <w:pPr>
        <w:ind w:left="1380" w:right="20" w:hanging="450"/>
        <w:spacing w:after="0" w:line="22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Arial" w:cs="Arial" w:eastAsia="Arial" w:hAnsi="Arial"/>
          <w:sz w:val="18"/>
          <w:szCs w:val="18"/>
          <w:color w:val="auto"/>
        </w:rPr>
      </w:pPr>
    </w:p>
    <w:p>
      <w:pPr>
        <w:ind w:left="1380" w:right="440" w:hanging="450"/>
        <w:spacing w:after="0" w:line="22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Arial" w:cs="Arial" w:eastAsia="Arial" w:hAnsi="Arial"/>
          <w:sz w:val="18"/>
          <w:szCs w:val="18"/>
          <w:color w:val="auto"/>
        </w:rPr>
      </w:pPr>
    </w:p>
    <w:p>
      <w:pPr>
        <w:ind w:left="1380" w:right="220" w:hanging="450"/>
        <w:spacing w:after="0" w:line="22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 w:lineRule="exact"/>
        <w:rPr>
          <w:rFonts w:ascii="Arial" w:cs="Arial" w:eastAsia="Arial" w:hAnsi="Arial"/>
          <w:sz w:val="18"/>
          <w:szCs w:val="18"/>
          <w:color w:val="auto"/>
        </w:rPr>
      </w:pPr>
    </w:p>
    <w:p>
      <w:pPr>
        <w:ind w:left="1380" w:right="280" w:hanging="450"/>
        <w:spacing w:after="0" w:line="22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1380" w:right="320" w:hanging="909"/>
        <w:spacing w:after="0" w:line="224"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 w:lineRule="exact"/>
        <w:rPr>
          <w:rFonts w:ascii="Arial" w:cs="Arial" w:eastAsia="Arial" w:hAnsi="Arial"/>
          <w:sz w:val="18"/>
          <w:szCs w:val="18"/>
          <w:color w:val="auto"/>
        </w:rPr>
      </w:pPr>
    </w:p>
    <w:p>
      <w:pPr>
        <w:jc w:val="both"/>
        <w:ind w:left="1380" w:right="340" w:hanging="450"/>
        <w:spacing w:after="0" w:line="22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Arial" w:cs="Arial" w:eastAsia="Arial" w:hAnsi="Arial"/>
          <w:sz w:val="18"/>
          <w:szCs w:val="18"/>
          <w:color w:val="auto"/>
        </w:rPr>
      </w:pPr>
    </w:p>
    <w:p>
      <w:pPr>
        <w:ind w:left="1380" w:right="680" w:hanging="450"/>
        <w:spacing w:after="0" w:line="23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20"/>
        <w:spacing w:after="0"/>
        <w:tabs>
          <w:tab w:leader="none" w:pos="5440" w:val="left"/>
          <w:tab w:leader="none" w:pos="614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13970</wp:posOffset>
            </wp:positionV>
            <wp:extent cx="32315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Michelle Hook</w:t>
      </w:r>
    </w:p>
    <w:p>
      <w:pPr>
        <w:spacing w:after="0" w:line="1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and Treasurer</w:t>
      </w:r>
    </w:p>
    <w:p>
      <w:pPr>
        <w:ind w:left="61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4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connection with the Quarterly Report on Form 10-Q of Portillo's Inc. (the “Company”), for the quarterly period ended September 24, 2023,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4" w:lineRule="exact"/>
        <w:rPr>
          <w:sz w:val="20"/>
          <w:szCs w:val="20"/>
          <w:color w:val="auto"/>
        </w:rPr>
      </w:pPr>
    </w:p>
    <w:p>
      <w:pPr>
        <w:ind w:left="900" w:hanging="442"/>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sz w:val="20"/>
          <w:szCs w:val="20"/>
          <w:color w:val="auto"/>
        </w:rPr>
      </w:pPr>
    </w:p>
    <w:p>
      <w:pPr>
        <w:ind w:left="900" w:right="60" w:hanging="442"/>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Date: November 2, 2023</w:t>
            </w:r>
          </w:p>
        </w:tc>
        <w:tc>
          <w:tcPr>
            <w:tcW w:w="2480" w:type="dxa"/>
            <w:vAlign w:val="bottom"/>
          </w:tcPr>
          <w:p>
            <w:pPr>
              <w:ind w:left="17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Osanloo</w:t>
            </w:r>
          </w:p>
        </w:tc>
      </w:tr>
      <w:tr>
        <w:trPr>
          <w:trHeight w:val="223"/>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Michael Osanloo</w:t>
            </w:r>
          </w:p>
        </w:tc>
      </w:tr>
      <w:tr>
        <w:trPr>
          <w:trHeight w:val="190"/>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tcPr>
          <w:p>
            <w:pPr>
              <w:spacing w:after="0" w:line="189" w:lineRule="exact"/>
              <w:rPr>
                <w:sz w:val="20"/>
                <w:szCs w:val="20"/>
                <w:color w:val="auto"/>
              </w:rPr>
            </w:pPr>
            <w:r>
              <w:rPr>
                <w:rFonts w:ascii="Arial" w:cs="Arial" w:eastAsia="Arial" w:hAnsi="Arial"/>
                <w:sz w:val="18"/>
                <w:szCs w:val="18"/>
                <w:color w:val="auto"/>
              </w:rPr>
              <w:t>President, Chief Executive Officer and Director</w:t>
            </w:r>
          </w:p>
        </w:tc>
      </w:tr>
      <w:tr>
        <w:trPr>
          <w:trHeight w:val="229"/>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81"/>
        </w:trPr>
        <w:tc>
          <w:tcPr>
            <w:tcW w:w="3700" w:type="dxa"/>
            <w:vAlign w:val="bottom"/>
          </w:tcPr>
          <w:p>
            <w:pPr>
              <w:spacing w:after="0"/>
              <w:rPr>
                <w:sz w:val="20"/>
                <w:szCs w:val="20"/>
                <w:color w:val="auto"/>
              </w:rPr>
            </w:pPr>
            <w:r>
              <w:rPr>
                <w:rFonts w:ascii="Arial" w:cs="Arial" w:eastAsia="Arial" w:hAnsi="Arial"/>
                <w:sz w:val="18"/>
                <w:szCs w:val="18"/>
                <w:color w:val="auto"/>
              </w:rPr>
              <w:t>Date: November 2, 2023</w:t>
            </w:r>
          </w:p>
        </w:tc>
        <w:tc>
          <w:tcPr>
            <w:tcW w:w="2480" w:type="dxa"/>
            <w:vAlign w:val="bottom"/>
          </w:tcPr>
          <w:p>
            <w:pPr>
              <w:ind w:left="174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Hook</w:t>
            </w:r>
          </w:p>
        </w:tc>
      </w:tr>
      <w:tr>
        <w:trPr>
          <w:trHeight w:val="223"/>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Michelle Hook</w:t>
            </w:r>
          </w:p>
        </w:tc>
      </w:tr>
      <w:tr>
        <w:trPr>
          <w:trHeight w:val="176"/>
        </w:trPr>
        <w:tc>
          <w:tcPr>
            <w:tcW w:w="37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 and Treasurer</w:t>
            </w:r>
          </w:p>
        </w:tc>
      </w:tr>
      <w:tr>
        <w:trPr>
          <w:trHeight w:val="229"/>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Roman"/>
      <w:start w:val="2"/>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bullet"/>
      <w:start w:val="1"/>
    </w:lvl>
  </w:abstractNum>
  <w:abstractNum w:abstractNumId="14">
    <w:nsid w:val="1BEFD79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6" Type="http://schemas.openxmlformats.org/officeDocument/2006/relationships/image" Target="media/image96.jpe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jpeg"/><Relationship Id="rId111" Type="http://schemas.openxmlformats.org/officeDocument/2006/relationships/image" Target="media/image101.png"/><Relationship Id="rId112" Type="http://schemas.openxmlformats.org/officeDocument/2006/relationships/image" Target="media/image102.png"/><Relationship Id="rId103" Type="http://schemas.openxmlformats.org/officeDocument/2006/relationships/hyperlink" Target="https://www.sec.gov/Archives/edgar/data/1871509/000187150921000009/exhibit31amendedandrestate.htm" TargetMode="External"/><Relationship Id="rId104" Type="http://schemas.openxmlformats.org/officeDocument/2006/relationships/hyperlink" Target="https://www.sec.gov/Archives/edgar/data/1871509/000187150921000009/exhibit32amendedandrestate.htm" TargetMode="External"/><Relationship Id="rId105" Type="http://schemas.openxmlformats.org/officeDocument/2006/relationships/hyperlink" Target="http://www.sec.gov/Archives/edgar/data/1871509/000119312522214895/d382690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2023-11-02T07:19:52Z</dcterms:created>
  <dcterms:modified xsi:type="dcterms:W3CDTF">2023-11-02T07:19:52Z</dcterms:modified>
</cp:coreProperties>
</file>