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175895</wp:posOffset>
            </wp:positionV>
            <wp:extent cx="1542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u w:val="single" w:color="auto"/>
          <w:color w:val="auto"/>
        </w:rPr>
        <w:t>FORM 10-Q</w:t>
      </w:r>
    </w:p>
    <w:p>
      <w:pPr>
        <w:spacing w:after="0" w:line="200" w:lineRule="exact"/>
        <w:rPr>
          <w:sz w:val="24"/>
          <w:szCs w:val="24"/>
          <w:color w:val="auto"/>
        </w:rPr>
      </w:pPr>
    </w:p>
    <w:p>
      <w:pPr>
        <w:spacing w:after="0" w:line="223" w:lineRule="exact"/>
        <w:rPr>
          <w:sz w:val="24"/>
          <w:szCs w:val="24"/>
          <w:color w:val="auto"/>
        </w:rPr>
      </w:pPr>
    </w:p>
    <w:p>
      <w:pPr>
        <w:ind w:left="860" w:hanging="489"/>
        <w:spacing w:after="0"/>
        <w:tabs>
          <w:tab w:leader="none" w:pos="860" w:val="left"/>
        </w:tabs>
        <w:numPr>
          <w:ilvl w:val="1"/>
          <w:numId w:val="1"/>
        </w:numPr>
        <w:rPr>
          <w:rFonts w:ascii="MS PGothic" w:cs="MS PGothic" w:eastAsia="MS PGothic" w:hAnsi="MS PGothic"/>
          <w:sz w:val="21"/>
          <w:szCs w:val="21"/>
          <w:color w:val="auto"/>
        </w:rPr>
      </w:pPr>
      <w:r>
        <w:rPr>
          <w:rFonts w:ascii="Arial" w:cs="Arial" w:eastAsia="Arial" w:hAnsi="Arial"/>
          <w:sz w:val="20"/>
          <w:szCs w:val="20"/>
          <w:color w:val="auto"/>
        </w:rPr>
        <w:t>QUARTERLY REPORT PURSUANT TO SECTION 13 OR 15(d) OF THE SECURITIES EXCHANGE ACT OF 1934</w:t>
      </w:r>
    </w:p>
    <w:p>
      <w:pPr>
        <w:spacing w:after="0" w:line="237" w:lineRule="exact"/>
        <w:rPr>
          <w:rFonts w:ascii="MS PGothic" w:cs="MS PGothic" w:eastAsia="MS PGothic" w:hAnsi="MS PGothic"/>
          <w:sz w:val="21"/>
          <w:szCs w:val="21"/>
          <w:color w:val="auto"/>
        </w:rPr>
      </w:pPr>
    </w:p>
    <w:p>
      <w:pPr>
        <w:ind w:left="3060"/>
        <w:spacing w:after="0"/>
        <w:rPr>
          <w:rFonts w:ascii="MS PGothic" w:cs="MS PGothic" w:eastAsia="MS PGothic" w:hAnsi="MS PGothic"/>
          <w:sz w:val="21"/>
          <w:szCs w:val="21"/>
          <w:color w:val="auto"/>
        </w:rPr>
      </w:pPr>
      <w:r>
        <w:rPr>
          <w:rFonts w:ascii="Arial" w:cs="Arial" w:eastAsia="Arial" w:hAnsi="Arial"/>
          <w:sz w:val="20"/>
          <w:szCs w:val="20"/>
          <w:b w:val="1"/>
          <w:bCs w:val="1"/>
          <w:color w:val="auto"/>
        </w:rPr>
        <w:t>FOR THE QUARTERLY PERIOD ENDED March 27, 2022</w:t>
      </w:r>
    </w:p>
    <w:p>
      <w:pPr>
        <w:spacing w:after="0" w:line="255" w:lineRule="exact"/>
        <w:rPr>
          <w:rFonts w:ascii="MS PGothic" w:cs="MS PGothic" w:eastAsia="MS PGothic" w:hAnsi="MS PGothic"/>
          <w:sz w:val="21"/>
          <w:szCs w:val="21"/>
          <w:color w:val="auto"/>
        </w:rPr>
      </w:pPr>
    </w:p>
    <w:p>
      <w:pPr>
        <w:ind w:left="600" w:hanging="439"/>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28"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17"/>
          <w:szCs w:val="17"/>
          <w:color w:val="auto"/>
        </w:rPr>
        <w:t>TO</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17145</wp:posOffset>
            </wp:positionV>
            <wp:extent cx="226695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6950" cy="647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PORTILLO'S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20"/>
          </w:cols>
          <w:pgMar w:left="320" w:top="1114" w:right="359" w:bottom="1440" w:gutter="0" w:footer="0" w:header="0"/>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84" w:lineRule="exact"/>
        <w:rPr>
          <w:sz w:val="24"/>
          <w:szCs w:val="24"/>
          <w:color w:val="auto"/>
        </w:rPr>
      </w:pPr>
    </w:p>
    <w:p>
      <w:pPr>
        <w:sectPr>
          <w:pgSz w:w="11900" w:h="16838" w:orient="portrait"/>
          <w:cols w:equalWidth="0" w:num="2">
            <w:col w:w="7280" w:space="720"/>
            <w:col w:w="3220"/>
          </w:cols>
          <w:pgMar w:left="320" w:top="1114" w:right="35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54" w:lineRule="exact"/>
        <w:rPr>
          <w:sz w:val="24"/>
          <w:szCs w:val="24"/>
          <w:color w:val="auto"/>
        </w:rPr>
      </w:pPr>
    </w:p>
    <w:p>
      <w:pPr>
        <w:sectPr>
          <w:pgSz w:w="11900" w:h="16838" w:orient="portrait"/>
          <w:cols w:equalWidth="0" w:num="2">
            <w:col w:w="6640" w:space="720"/>
            <w:col w:w="3860"/>
          </w:cols>
          <w:pgMar w:left="320" w:top="1114"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(630) 954-3773</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71"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1114" w:right="359" w:bottom="1440" w:gutter="0" w:footer="0" w:header="0"/>
          <w:type w:val="continuous"/>
        </w:sectPr>
      </w:pPr>
    </w:p>
    <w:p>
      <w:pPr>
        <w:spacing w:after="0" w:line="58"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8" w:lineRule="exact"/>
        <w:rPr>
          <w:sz w:val="24"/>
          <w:szCs w:val="24"/>
          <w:color w:val="auto"/>
        </w:rPr>
      </w:pPr>
    </w:p>
    <w:p>
      <w:pPr>
        <w:sectPr>
          <w:pgSz w:w="11900" w:h="16838" w:orient="portrait"/>
          <w:cols w:equalWidth="0" w:num="3">
            <w:col w:w="4580" w:space="720"/>
            <w:col w:w="1220" w:space="720"/>
            <w:col w:w="3980"/>
          </w:cols>
          <w:pgMar w:left="320" w:top="1114" w:right="3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211" w:lineRule="exact"/>
        <w:rPr>
          <w:sz w:val="24"/>
          <w:szCs w:val="24"/>
          <w:color w:val="auto"/>
        </w:rPr>
      </w:pPr>
    </w:p>
    <w:p>
      <w:pPr>
        <w:sectPr>
          <w:pgSz w:w="11900" w:h="16838" w:orient="portrait"/>
          <w:cols w:equalWidth="0" w:num="3">
            <w:col w:w="4960" w:space="720"/>
            <w:col w:w="1500" w:space="720"/>
            <w:col w:w="3320"/>
          </w:cols>
          <w:pgMar w:left="320" w:top="1114" w:right="359" w:bottom="1440" w:gutter="0" w:footer="0" w:header="0"/>
          <w:type w:val="continuous"/>
        </w:sectPr>
      </w:pPr>
    </w:p>
    <w:p>
      <w:pPr>
        <w:spacing w:after="0" w:line="166" w:lineRule="exact"/>
        <w:rPr>
          <w:sz w:val="24"/>
          <w:szCs w:val="24"/>
          <w:color w:val="auto"/>
        </w:rPr>
      </w:pPr>
    </w:p>
    <w:p>
      <w:pPr>
        <w:jc w:val="both"/>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2" w:lineRule="exact"/>
        <w:rPr>
          <w:sz w:val="24"/>
          <w:szCs w:val="24"/>
          <w:color w:val="auto"/>
        </w:rPr>
      </w:pPr>
    </w:p>
    <w:p>
      <w:pPr>
        <w:ind w:right="280"/>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2" w:lineRule="exact"/>
        <w:rPr>
          <w:sz w:val="24"/>
          <w:szCs w:val="24"/>
          <w:color w:val="auto"/>
        </w:rPr>
      </w:pPr>
    </w:p>
    <w:p>
      <w:pPr>
        <w:ind w:right="20"/>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660" w:type="dxa"/>
        <w:tblCellMar>
          <w:top w:w="0" w:type="dxa"/>
          <w:left w:w="0" w:type="dxa"/>
          <w:bottom w:w="0" w:type="dxa"/>
          <w:right w:w="0" w:type="dxa"/>
        </w:tblCellMar>
      </w:tblPr>
      <w:tr>
        <w:trPr>
          <w:trHeight w:val="242"/>
        </w:trPr>
        <w:tc>
          <w:tcPr>
            <w:tcW w:w="2040" w:type="dxa"/>
            <w:vAlign w:val="bottom"/>
          </w:tcPr>
          <w:p>
            <w:pPr>
              <w:jc w:val="center"/>
              <w:ind w:right="379"/>
              <w:spacing w:after="0"/>
              <w:rPr>
                <w:sz w:val="20"/>
                <w:szCs w:val="20"/>
                <w:color w:val="auto"/>
              </w:rPr>
            </w:pPr>
            <w:r>
              <w:rPr>
                <w:rFonts w:ascii="Arial" w:cs="Arial" w:eastAsia="Arial" w:hAnsi="Arial"/>
                <w:sz w:val="16"/>
                <w:szCs w:val="16"/>
                <w:color w:val="auto"/>
                <w:w w:val="99"/>
              </w:rPr>
              <w:t>Large accelerated filer</w:t>
            </w:r>
          </w:p>
        </w:tc>
        <w:tc>
          <w:tcPr>
            <w:tcW w:w="17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jc w:val="center"/>
              <w:ind w:left="359"/>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2"/>
        </w:trPr>
        <w:tc>
          <w:tcPr>
            <w:tcW w:w="2040" w:type="dxa"/>
            <w:vAlign w:val="bottom"/>
          </w:tcPr>
          <w:p>
            <w:pPr>
              <w:jc w:val="center"/>
              <w:ind w:right="379"/>
              <w:spacing w:after="0"/>
              <w:rPr>
                <w:sz w:val="20"/>
                <w:szCs w:val="20"/>
                <w:color w:val="auto"/>
              </w:rPr>
            </w:pPr>
            <w:r>
              <w:rPr>
                <w:rFonts w:ascii="Arial" w:cs="Arial" w:eastAsia="Arial" w:hAnsi="Arial"/>
                <w:sz w:val="16"/>
                <w:szCs w:val="16"/>
                <w:color w:val="auto"/>
              </w:rPr>
              <w:t>Non-accelerated filer</w:t>
            </w:r>
          </w:p>
        </w:tc>
        <w:tc>
          <w:tcPr>
            <w:tcW w:w="17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80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8" w:lineRule="exact"/>
        <w:rPr>
          <w:sz w:val="24"/>
          <w:szCs w:val="24"/>
          <w:color w:val="auto"/>
        </w:rPr>
      </w:pPr>
    </w:p>
    <w:p>
      <w:pPr>
        <w:ind w:right="1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p>
    <w:p>
      <w:pPr>
        <w:ind w:left="4900"/>
        <w:spacing w:after="0" w:line="184" w:lineRule="exact"/>
        <w:tabs>
          <w:tab w:leader="none" w:pos="5260" w:val="left"/>
          <w:tab w:leader="none" w:pos="5740" w:val="left"/>
          <w:tab w:leader="none" w:pos="612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ab/>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628015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1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April 25, 2022, there were 35,847,171 shares of the registrant's Class A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20"/>
          </w:cols>
          <w:pgMar w:left="320" w:top="770" w:right="125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720" w:type="dxa"/>
            <w:vAlign w:val="bottom"/>
            <w:gridSpan w:val="2"/>
          </w:tcPr>
          <w:p>
            <w:pPr>
              <w:jc w:val="right"/>
              <w:ind w:right="620"/>
              <w:spacing w:after="0"/>
              <w:rPr>
                <w:sz w:val="20"/>
                <w:szCs w:val="20"/>
                <w:color w:val="auto"/>
              </w:rPr>
            </w:pPr>
            <w:r>
              <w:rPr>
                <w:rFonts w:ascii="Arial" w:cs="Arial" w:eastAsia="Arial" w:hAnsi="Arial"/>
                <w:sz w:val="18"/>
                <w:szCs w:val="18"/>
                <w:color w:val="auto"/>
                <w:w w:val="79"/>
              </w:rPr>
              <w:t>1</w:t>
            </w:r>
          </w:p>
        </w:tc>
      </w:tr>
      <w:tr>
        <w:trPr>
          <w:trHeight w:val="47"/>
        </w:trPr>
        <w:tc>
          <w:tcPr>
            <w:tcW w:w="20" w:type="dxa"/>
            <w:vAlign w:val="bottom"/>
          </w:tcPr>
          <w:p>
            <w:pPr>
              <w:spacing w:after="0"/>
              <w:rPr>
                <w:sz w:val="4"/>
                <w:szCs w:val="4"/>
                <w:color w:val="auto"/>
              </w:rPr>
            </w:pPr>
          </w:p>
        </w:tc>
        <w:tc>
          <w:tcPr>
            <w:tcW w:w="4860" w:type="dxa"/>
            <w:vAlign w:val="bottom"/>
            <w:tcBorders>
              <w:top w:val="single" w:sz="8" w:color="auto"/>
            </w:tcBorders>
          </w:tcPr>
          <w:p>
            <w:pPr>
              <w:spacing w:after="0"/>
              <w:rPr>
                <w:sz w:val="4"/>
                <w:szCs w:val="4"/>
                <w:color w:val="auto"/>
              </w:rPr>
            </w:pPr>
          </w:p>
        </w:tc>
        <w:tc>
          <w:tcPr>
            <w:tcW w:w="56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r>
      <w:tr>
        <w:trPr>
          <w:trHeight w:val="268"/>
        </w:trPr>
        <w:tc>
          <w:tcPr>
            <w:tcW w:w="20" w:type="dxa"/>
            <w:vAlign w:val="bottom"/>
            <w:shd w:val="clear" w:color="auto" w:fill="DBDBDB"/>
          </w:tcPr>
          <w:p>
            <w:pPr>
              <w:spacing w:after="0"/>
              <w:rPr>
                <w:sz w:val="23"/>
                <w:szCs w:val="23"/>
                <w:color w:val="auto"/>
              </w:rPr>
            </w:pPr>
          </w:p>
        </w:tc>
        <w:tc>
          <w:tcPr>
            <w:tcW w:w="4860" w:type="dxa"/>
            <w:vAlign w:val="bottom"/>
            <w:shd w:val="clear" w:color="auto" w:fill="DBDBDB"/>
          </w:tcPr>
          <w:p>
            <w:pPr>
              <w:spacing w:after="0"/>
              <w:rPr>
                <w:sz w:val="23"/>
                <w:szCs w:val="23"/>
                <w:color w:val="auto"/>
              </w:rPr>
            </w:pPr>
          </w:p>
        </w:tc>
        <w:tc>
          <w:tcPr>
            <w:tcW w:w="56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gridSpan w:val="2"/>
          </w:tcPr>
          <w:p>
            <w:pPr>
              <w:spacing w:after="0" w:line="215" w:lineRule="exact"/>
              <w:rPr>
                <w:sz w:val="20"/>
                <w:szCs w:val="20"/>
                <w:color w:val="auto"/>
              </w:rPr>
            </w:pPr>
            <w:r>
              <w:rPr>
                <w:rFonts w:ascii="Arial" w:cs="Arial" w:eastAsia="Arial" w:hAnsi="Arial"/>
                <w:sz w:val="20"/>
                <w:szCs w:val="20"/>
                <w:b w:val="1"/>
                <w:bCs w:val="1"/>
                <w:color w:val="auto"/>
              </w:rPr>
              <w:t>Part I</w:t>
            </w:r>
          </w:p>
        </w:tc>
        <w:tc>
          <w:tcPr>
            <w:tcW w:w="8740" w:type="dxa"/>
            <w:vAlign w:val="bottom"/>
            <w:gridSpan w:val="15"/>
          </w:tcPr>
          <w:p>
            <w:pPr>
              <w:spacing w:after="0" w:line="215" w:lineRule="exact"/>
              <w:rPr>
                <w:sz w:val="20"/>
                <w:szCs w:val="20"/>
                <w:color w:val="auto"/>
              </w:rPr>
            </w:pPr>
            <w:r>
              <w:rPr>
                <w:rFonts w:ascii="Arial" w:cs="Arial" w:eastAsia="Arial" w:hAnsi="Arial"/>
                <w:sz w:val="20"/>
                <w:szCs w:val="20"/>
                <w:b w:val="1"/>
                <w:bCs w:val="1"/>
                <w:color w:val="auto"/>
              </w:rPr>
              <w:t>Financial Information</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1.</w:t>
            </w:r>
          </w:p>
        </w:tc>
        <w:tc>
          <w:tcPr>
            <w:tcW w:w="220" w:type="dxa"/>
            <w:vAlign w:val="bottom"/>
            <w:shd w:val="clear" w:color="auto" w:fill="DBDBDB"/>
          </w:tcPr>
          <w:p>
            <w:pPr>
              <w:spacing w:after="0"/>
              <w:rPr>
                <w:sz w:val="17"/>
                <w:szCs w:val="17"/>
                <w:color w:val="auto"/>
              </w:rPr>
            </w:pPr>
          </w:p>
        </w:tc>
        <w:tc>
          <w:tcPr>
            <w:tcW w:w="796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Financial Statements (Unaudited)</w:t>
            </w:r>
          </w:p>
        </w:tc>
        <w:tc>
          <w:tcPr>
            <w:tcW w:w="920" w:type="dxa"/>
            <w:vAlign w:val="bottom"/>
            <w:gridSpan w:val="4"/>
            <w:shd w:val="clear" w:color="auto" w:fill="DBDBDB"/>
          </w:tcPr>
          <w:p>
            <w:pPr>
              <w:jc w:val="center"/>
              <w:ind w:left="651"/>
              <w:spacing w:after="0" w:line="201" w:lineRule="exact"/>
              <w:rPr>
                <w:sz w:val="20"/>
                <w:szCs w:val="20"/>
                <w:color w:val="auto"/>
              </w:rPr>
            </w:pPr>
            <w:r>
              <w:rPr>
                <w:rFonts w:ascii="Arial" w:cs="Arial" w:eastAsia="Arial" w:hAnsi="Arial"/>
                <w:sz w:val="18"/>
                <w:szCs w:val="18"/>
                <w:color w:val="auto"/>
                <w:w w:val="99"/>
              </w:rPr>
              <w:t>3</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gridSpan w:val="12"/>
          </w:tcPr>
          <w:p>
            <w:pPr>
              <w:ind w:left="100"/>
              <w:spacing w:after="0" w:line="201" w:lineRule="exact"/>
              <w:rPr>
                <w:sz w:val="20"/>
                <w:szCs w:val="20"/>
                <w:color w:val="auto"/>
              </w:rPr>
            </w:pPr>
            <w:r>
              <w:rPr>
                <w:rFonts w:ascii="Arial" w:cs="Arial" w:eastAsia="Arial" w:hAnsi="Arial"/>
                <w:sz w:val="18"/>
                <w:szCs w:val="18"/>
                <w:color w:val="auto"/>
              </w:rPr>
              <w:t>Condensed Consolidated Balance Sheets</w:t>
            </w:r>
          </w:p>
        </w:tc>
        <w:tc>
          <w:tcPr>
            <w:tcW w:w="920" w:type="dxa"/>
            <w:vAlign w:val="bottom"/>
            <w:gridSpan w:val="4"/>
          </w:tcPr>
          <w:p>
            <w:pPr>
              <w:jc w:val="center"/>
              <w:ind w:left="651"/>
              <w:spacing w:after="0" w:line="201" w:lineRule="exact"/>
              <w:rPr>
                <w:sz w:val="20"/>
                <w:szCs w:val="20"/>
                <w:color w:val="auto"/>
              </w:rPr>
            </w:pPr>
            <w:r>
              <w:rPr>
                <w:rFonts w:ascii="Arial" w:cs="Arial" w:eastAsia="Arial" w:hAnsi="Arial"/>
                <w:sz w:val="18"/>
                <w:szCs w:val="18"/>
                <w:color w:val="auto"/>
                <w:w w:val="99"/>
              </w:rPr>
              <w:t>3</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100" w:type="dxa"/>
            <w:vAlign w:val="bottom"/>
            <w:gridSpan w:val="5"/>
            <w:shd w:val="clear" w:color="auto" w:fill="DBDBDB"/>
          </w:tcPr>
          <w:p>
            <w:pPr>
              <w:spacing w:after="0" w:line="201" w:lineRule="exact"/>
              <w:rPr>
                <w:sz w:val="20"/>
                <w:szCs w:val="20"/>
                <w:color w:val="auto"/>
              </w:rPr>
            </w:pPr>
            <w:r>
              <w:rPr>
                <w:rFonts w:ascii="Arial" w:cs="Arial" w:eastAsia="Arial" w:hAnsi="Arial"/>
                <w:sz w:val="18"/>
                <w:szCs w:val="18"/>
                <w:color w:val="auto"/>
                <w:w w:val="99"/>
              </w:rPr>
              <w:t>Condensed Consolidated Statements of Operations</w:t>
            </w:r>
          </w:p>
        </w:tc>
        <w:tc>
          <w:tcPr>
            <w:tcW w:w="3540" w:type="dxa"/>
            <w:vAlign w:val="bottom"/>
            <w:gridSpan w:val="6"/>
            <w:shd w:val="clear" w:color="auto" w:fill="DBDBDB"/>
          </w:tcPr>
          <w:p>
            <w:pPr>
              <w:spacing w:after="0"/>
              <w:rPr>
                <w:sz w:val="17"/>
                <w:szCs w:val="17"/>
                <w:color w:val="auto"/>
              </w:rPr>
            </w:pPr>
          </w:p>
        </w:tc>
        <w:tc>
          <w:tcPr>
            <w:tcW w:w="920" w:type="dxa"/>
            <w:vAlign w:val="bottom"/>
            <w:gridSpan w:val="4"/>
            <w:shd w:val="clear" w:color="auto" w:fill="DBDBDB"/>
          </w:tcPr>
          <w:p>
            <w:pPr>
              <w:jc w:val="center"/>
              <w:ind w:left="651"/>
              <w:spacing w:after="0" w:line="201" w:lineRule="exact"/>
              <w:rPr>
                <w:sz w:val="20"/>
                <w:szCs w:val="20"/>
                <w:color w:val="auto"/>
              </w:rPr>
            </w:pPr>
            <w:r>
              <w:rPr>
                <w:rFonts w:ascii="Arial" w:cs="Arial" w:eastAsia="Arial" w:hAnsi="Arial"/>
                <w:sz w:val="18"/>
                <w:szCs w:val="18"/>
                <w:color w:val="auto"/>
                <w:w w:val="99"/>
              </w:rPr>
              <w:t>4</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gridSpan w:val="11"/>
          </w:tcPr>
          <w:p>
            <w:pPr>
              <w:spacing w:after="0" w:line="201" w:lineRule="exact"/>
              <w:rPr>
                <w:sz w:val="20"/>
                <w:szCs w:val="20"/>
                <w:color w:val="auto"/>
              </w:rPr>
            </w:pPr>
            <w:r>
              <w:rPr>
                <w:rFonts w:ascii="Arial" w:cs="Arial" w:eastAsia="Arial" w:hAnsi="Arial"/>
                <w:sz w:val="18"/>
                <w:szCs w:val="18"/>
                <w:color w:val="auto"/>
              </w:rPr>
              <w:t>Condensed Consolidated Statements of Stockholders' and Members' Equity</w:t>
            </w:r>
          </w:p>
        </w:tc>
        <w:tc>
          <w:tcPr>
            <w:tcW w:w="920" w:type="dxa"/>
            <w:vAlign w:val="bottom"/>
            <w:gridSpan w:val="4"/>
          </w:tcPr>
          <w:p>
            <w:pPr>
              <w:jc w:val="center"/>
              <w:ind w:left="651"/>
              <w:spacing w:after="0" w:line="201" w:lineRule="exact"/>
              <w:rPr>
                <w:sz w:val="20"/>
                <w:szCs w:val="20"/>
                <w:color w:val="auto"/>
              </w:rPr>
            </w:pPr>
            <w:r>
              <w:rPr>
                <w:rFonts w:ascii="Arial" w:cs="Arial" w:eastAsia="Arial" w:hAnsi="Arial"/>
                <w:sz w:val="18"/>
                <w:szCs w:val="18"/>
                <w:color w:val="auto"/>
                <w:w w:val="99"/>
              </w:rPr>
              <w:t>5</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160" w:type="dxa"/>
            <w:vAlign w:val="bottom"/>
            <w:gridSpan w:val="6"/>
            <w:shd w:val="clear" w:color="auto" w:fill="DBDBDB"/>
          </w:tcPr>
          <w:p>
            <w:pPr>
              <w:spacing w:after="0" w:line="201" w:lineRule="exact"/>
              <w:rPr>
                <w:sz w:val="20"/>
                <w:szCs w:val="20"/>
                <w:color w:val="auto"/>
              </w:rPr>
            </w:pPr>
            <w:r>
              <w:rPr>
                <w:rFonts w:ascii="Arial" w:cs="Arial" w:eastAsia="Arial" w:hAnsi="Arial"/>
                <w:sz w:val="18"/>
                <w:szCs w:val="18"/>
                <w:color w:val="auto"/>
                <w:w w:val="99"/>
              </w:rPr>
              <w:t>Condensed Consolidated Statements of Cash Flows</w:t>
            </w:r>
          </w:p>
        </w:tc>
        <w:tc>
          <w:tcPr>
            <w:tcW w:w="3480" w:type="dxa"/>
            <w:vAlign w:val="bottom"/>
            <w:gridSpan w:val="5"/>
            <w:shd w:val="clear" w:color="auto" w:fill="DBDBDB"/>
          </w:tcPr>
          <w:p>
            <w:pPr>
              <w:spacing w:after="0"/>
              <w:rPr>
                <w:sz w:val="17"/>
                <w:szCs w:val="17"/>
                <w:color w:val="auto"/>
              </w:rPr>
            </w:pPr>
          </w:p>
        </w:tc>
        <w:tc>
          <w:tcPr>
            <w:tcW w:w="920" w:type="dxa"/>
            <w:vAlign w:val="bottom"/>
            <w:gridSpan w:val="4"/>
            <w:shd w:val="clear" w:color="auto" w:fill="DBDBDB"/>
          </w:tcPr>
          <w:p>
            <w:pPr>
              <w:jc w:val="center"/>
              <w:ind w:left="651"/>
              <w:spacing w:after="0" w:line="201" w:lineRule="exact"/>
              <w:rPr>
                <w:sz w:val="20"/>
                <w:szCs w:val="20"/>
                <w:color w:val="auto"/>
              </w:rPr>
            </w:pPr>
            <w:r>
              <w:rPr>
                <w:rFonts w:ascii="Arial" w:cs="Arial" w:eastAsia="Arial" w:hAnsi="Arial"/>
                <w:sz w:val="18"/>
                <w:szCs w:val="18"/>
                <w:color w:val="auto"/>
                <w:w w:val="99"/>
              </w:rPr>
              <w:t>6</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gridSpan w:val="11"/>
          </w:tcPr>
          <w:p>
            <w:pPr>
              <w:spacing w:after="0" w:line="201" w:lineRule="exact"/>
              <w:rPr>
                <w:sz w:val="20"/>
                <w:szCs w:val="20"/>
                <w:color w:val="auto"/>
              </w:rPr>
            </w:pPr>
            <w:r>
              <w:rPr>
                <w:rFonts w:ascii="Arial" w:cs="Arial" w:eastAsia="Arial" w:hAnsi="Arial"/>
                <w:sz w:val="18"/>
                <w:szCs w:val="18"/>
                <w:color w:val="auto"/>
              </w:rPr>
              <w:t>Notes to Condensed Consolidated Financial Statements</w:t>
            </w:r>
          </w:p>
        </w:tc>
        <w:tc>
          <w:tcPr>
            <w:tcW w:w="920" w:type="dxa"/>
            <w:vAlign w:val="bottom"/>
            <w:gridSpan w:val="4"/>
          </w:tcPr>
          <w:p>
            <w:pPr>
              <w:jc w:val="center"/>
              <w:ind w:left="651"/>
              <w:spacing w:after="0" w:line="201" w:lineRule="exact"/>
              <w:rPr>
                <w:sz w:val="20"/>
                <w:szCs w:val="20"/>
                <w:color w:val="auto"/>
              </w:rPr>
            </w:pPr>
            <w:r>
              <w:rPr>
                <w:rFonts w:ascii="Arial" w:cs="Arial" w:eastAsia="Arial" w:hAnsi="Arial"/>
                <w:sz w:val="18"/>
                <w:szCs w:val="18"/>
                <w:color w:val="auto"/>
                <w:w w:val="99"/>
              </w:rPr>
              <w:t>8</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2.</w:t>
            </w:r>
          </w:p>
        </w:tc>
        <w:tc>
          <w:tcPr>
            <w:tcW w:w="220" w:type="dxa"/>
            <w:vAlign w:val="bottom"/>
            <w:shd w:val="clear" w:color="auto" w:fill="DBDBDB"/>
          </w:tcPr>
          <w:p>
            <w:pPr>
              <w:spacing w:after="0"/>
              <w:rPr>
                <w:sz w:val="17"/>
                <w:szCs w:val="17"/>
                <w:color w:val="auto"/>
              </w:rPr>
            </w:pPr>
          </w:p>
        </w:tc>
        <w:tc>
          <w:tcPr>
            <w:tcW w:w="796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00" w:type="dxa"/>
            <w:vAlign w:val="bottom"/>
            <w:gridSpan w:val="5"/>
            <w:shd w:val="clear" w:color="auto" w:fill="DBDBDB"/>
          </w:tcPr>
          <w:p>
            <w:pPr>
              <w:jc w:val="center"/>
              <w:ind w:left="51"/>
              <w:spacing w:after="0" w:line="201" w:lineRule="exact"/>
              <w:rPr>
                <w:sz w:val="20"/>
                <w:szCs w:val="20"/>
                <w:color w:val="auto"/>
              </w:rPr>
            </w:pPr>
            <w:r>
              <w:rPr>
                <w:rFonts w:ascii="Arial" w:cs="Arial" w:eastAsia="Arial" w:hAnsi="Arial"/>
                <w:sz w:val="18"/>
                <w:szCs w:val="18"/>
                <w:color w:val="auto"/>
                <w:w w:val="99"/>
              </w:rPr>
              <w:t>20</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42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w w:val="98"/>
              </w:rPr>
              <w:t>Item 3.</w:t>
            </w:r>
          </w:p>
        </w:tc>
        <w:tc>
          <w:tcPr>
            <w:tcW w:w="220" w:type="dxa"/>
            <w:vAlign w:val="bottom"/>
          </w:tcPr>
          <w:p>
            <w:pPr>
              <w:spacing w:after="0"/>
              <w:rPr>
                <w:sz w:val="17"/>
                <w:szCs w:val="17"/>
                <w:color w:val="auto"/>
              </w:rPr>
            </w:pPr>
          </w:p>
        </w:tc>
        <w:tc>
          <w:tcPr>
            <w:tcW w:w="7960" w:type="dxa"/>
            <w:vAlign w:val="bottom"/>
            <w:gridSpan w:val="13"/>
          </w:tcPr>
          <w:p>
            <w:pPr>
              <w:ind w:left="220"/>
              <w:spacing w:after="0" w:line="201" w:lineRule="exact"/>
              <w:rPr>
                <w:sz w:val="20"/>
                <w:szCs w:val="20"/>
                <w:color w:val="auto"/>
              </w:rPr>
            </w:pPr>
            <w:r>
              <w:rPr>
                <w:rFonts w:ascii="Arial" w:cs="Arial" w:eastAsia="Arial" w:hAnsi="Arial"/>
                <w:sz w:val="18"/>
                <w:szCs w:val="18"/>
                <w:color w:val="auto"/>
              </w:rPr>
              <w:t>Quantitative and Qualitative Disclosures About Market Risk</w:t>
            </w:r>
          </w:p>
        </w:tc>
        <w:tc>
          <w:tcPr>
            <w:tcW w:w="1500" w:type="dxa"/>
            <w:vAlign w:val="bottom"/>
            <w:gridSpan w:val="5"/>
          </w:tcPr>
          <w:p>
            <w:pPr>
              <w:jc w:val="center"/>
              <w:ind w:left="51"/>
              <w:spacing w:after="0" w:line="201" w:lineRule="exact"/>
              <w:rPr>
                <w:sz w:val="20"/>
                <w:szCs w:val="20"/>
                <w:color w:val="auto"/>
              </w:rPr>
            </w:pPr>
            <w:r>
              <w:rPr>
                <w:rFonts w:ascii="Arial" w:cs="Arial" w:eastAsia="Arial" w:hAnsi="Arial"/>
                <w:sz w:val="18"/>
                <w:szCs w:val="18"/>
                <w:color w:val="auto"/>
                <w:w w:val="99"/>
              </w:rPr>
              <w:t>31</w:t>
            </w: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80" w:type="dxa"/>
            <w:vAlign w:val="bottom"/>
            <w:gridSpan w:val="2"/>
            <w:shd w:val="clear" w:color="auto" w:fill="DBDBDB"/>
          </w:tcPr>
          <w:p>
            <w:pPr>
              <w:spacing w:after="0" w:line="201" w:lineRule="exact"/>
              <w:rPr>
                <w:sz w:val="20"/>
                <w:szCs w:val="20"/>
                <w:color w:val="auto"/>
              </w:rPr>
            </w:pPr>
            <w:r>
              <w:rPr>
                <w:rFonts w:ascii="Arial" w:cs="Arial" w:eastAsia="Arial" w:hAnsi="Arial"/>
                <w:sz w:val="18"/>
                <w:szCs w:val="18"/>
                <w:color w:val="auto"/>
              </w:rPr>
              <w:t>Item 4.</w:t>
            </w:r>
          </w:p>
        </w:tc>
        <w:tc>
          <w:tcPr>
            <w:tcW w:w="796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Controls and Procedures</w:t>
            </w:r>
          </w:p>
        </w:tc>
        <w:tc>
          <w:tcPr>
            <w:tcW w:w="1500" w:type="dxa"/>
            <w:vAlign w:val="bottom"/>
            <w:gridSpan w:val="5"/>
            <w:shd w:val="clear" w:color="auto" w:fill="DBDBDB"/>
          </w:tcPr>
          <w:p>
            <w:pPr>
              <w:jc w:val="center"/>
              <w:ind w:left="51"/>
              <w:spacing w:after="0" w:line="201" w:lineRule="exact"/>
              <w:rPr>
                <w:sz w:val="20"/>
                <w:szCs w:val="20"/>
                <w:color w:val="auto"/>
              </w:rPr>
            </w:pPr>
            <w:r>
              <w:rPr>
                <w:rFonts w:ascii="Arial" w:cs="Arial" w:eastAsia="Arial" w:hAnsi="Arial"/>
                <w:sz w:val="18"/>
                <w:szCs w:val="18"/>
                <w:color w:val="auto"/>
                <w:w w:val="99"/>
              </w:rPr>
              <w:t>31</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spacing w:after="0"/>
              <w:rPr>
                <w:sz w:val="20"/>
                <w:szCs w:val="20"/>
                <w:color w:val="auto"/>
              </w:rPr>
            </w:pPr>
            <w:r>
              <w:rPr>
                <w:rFonts w:ascii="Arial" w:cs="Arial" w:eastAsia="Arial" w:hAnsi="Arial"/>
                <w:sz w:val="20"/>
                <w:szCs w:val="20"/>
                <w:b w:val="1"/>
                <w:bCs w:val="1"/>
                <w:color w:val="auto"/>
              </w:rPr>
              <w:t>Part II</w:t>
            </w:r>
          </w:p>
        </w:tc>
        <w:tc>
          <w:tcPr>
            <w:tcW w:w="7640" w:type="dxa"/>
            <w:vAlign w:val="bottom"/>
            <w:gridSpan w:val="14"/>
            <w:shd w:val="clear" w:color="auto" w:fill="DBDBDB"/>
          </w:tcPr>
          <w:p>
            <w:pPr>
              <w:spacing w:after="0"/>
              <w:rPr>
                <w:sz w:val="20"/>
                <w:szCs w:val="20"/>
                <w:color w:val="auto"/>
              </w:rPr>
            </w:pPr>
            <w:r>
              <w:rPr>
                <w:rFonts w:ascii="Arial" w:cs="Arial" w:eastAsia="Arial" w:hAnsi="Arial"/>
                <w:sz w:val="20"/>
                <w:szCs w:val="20"/>
                <w:b w:val="1"/>
                <w:bCs w:val="1"/>
                <w:color w:val="auto"/>
              </w:rPr>
              <w:t>Other Information</w:t>
            </w:r>
          </w:p>
        </w:tc>
        <w:tc>
          <w:tcPr>
            <w:tcW w:w="18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120" w:type="dxa"/>
            <w:vAlign w:val="bottom"/>
            <w:tcBorders>
              <w:top w:val="single" w:sz="8" w:color="auto"/>
            </w:tcBorders>
            <w:shd w:val="clear" w:color="auto" w:fill="DBDBDB"/>
          </w:tcPr>
          <w:p>
            <w:pPr>
              <w:spacing w:after="0"/>
              <w:rPr>
                <w:sz w:val="5"/>
                <w:szCs w:val="5"/>
                <w:color w:val="auto"/>
              </w:rPr>
            </w:pPr>
          </w:p>
        </w:tc>
        <w:tc>
          <w:tcPr>
            <w:tcW w:w="18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80" w:type="dxa"/>
            <w:vAlign w:val="bottom"/>
            <w:tcBorders>
              <w:top w:val="single" w:sz="8" w:color="auto"/>
            </w:tcBorders>
            <w:shd w:val="clear" w:color="auto" w:fill="DBDBDB"/>
          </w:tcPr>
          <w:p>
            <w:pPr>
              <w:spacing w:after="0"/>
              <w:rPr>
                <w:sz w:val="5"/>
                <w:szCs w:val="5"/>
                <w:color w:val="auto"/>
              </w:rPr>
            </w:pPr>
          </w:p>
        </w:tc>
        <w:tc>
          <w:tcPr>
            <w:tcW w:w="6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2280" w:type="dxa"/>
            <w:vAlign w:val="bottom"/>
            <w:tcBorders>
              <w:top w:val="single" w:sz="8" w:color="DBDBDB"/>
            </w:tcBorders>
            <w:shd w:val="clear" w:color="auto" w:fill="DBDBDB"/>
          </w:tcPr>
          <w:p>
            <w:pPr>
              <w:spacing w:after="0"/>
              <w:rPr>
                <w:sz w:val="5"/>
                <w:szCs w:val="5"/>
                <w:color w:val="auto"/>
              </w:rPr>
            </w:pPr>
          </w:p>
        </w:tc>
        <w:tc>
          <w:tcPr>
            <w:tcW w:w="1820" w:type="dxa"/>
            <w:vAlign w:val="bottom"/>
            <w:tcBorders>
              <w:top w:val="single" w:sz="8" w:color="DBDBDB"/>
            </w:tcBorders>
            <w:shd w:val="clear" w:color="auto" w:fill="DBDBDB"/>
          </w:tcPr>
          <w:p>
            <w:pPr>
              <w:spacing w:after="0"/>
              <w:rPr>
                <w:sz w:val="5"/>
                <w:szCs w:val="5"/>
                <w:color w:val="auto"/>
              </w:rPr>
            </w:pPr>
          </w:p>
        </w:tc>
        <w:tc>
          <w:tcPr>
            <w:tcW w:w="18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580" w:type="dxa"/>
            <w:vAlign w:val="bottom"/>
            <w:tcBorders>
              <w:top w:val="single" w:sz="8" w:color="DBDBDB"/>
            </w:tcBorders>
            <w:shd w:val="clear" w:color="auto" w:fill="DBDBDB"/>
          </w:tcPr>
          <w:p>
            <w:pPr>
              <w:spacing w:after="0"/>
              <w:rPr>
                <w:sz w:val="5"/>
                <w:szCs w:val="5"/>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1" w:lineRule="exact"/>
              <w:rPr>
                <w:sz w:val="20"/>
                <w:szCs w:val="20"/>
                <w:color w:val="auto"/>
              </w:rPr>
            </w:pPr>
            <w:r>
              <w:rPr>
                <w:rFonts w:ascii="Arial" w:cs="Arial" w:eastAsia="Arial" w:hAnsi="Arial"/>
                <w:sz w:val="18"/>
                <w:szCs w:val="18"/>
                <w:color w:val="auto"/>
              </w:rPr>
              <w:t>Item 1.</w:t>
            </w: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Legal Proceedings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32</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680" w:type="dxa"/>
            <w:vAlign w:val="bottom"/>
            <w:gridSpan w:val="2"/>
            <w:shd w:val="clear" w:color="auto" w:fill="DBDBDB"/>
          </w:tcPr>
          <w:p>
            <w:pPr>
              <w:spacing w:after="0" w:line="201" w:lineRule="exact"/>
              <w:rPr>
                <w:sz w:val="20"/>
                <w:szCs w:val="20"/>
                <w:color w:val="auto"/>
              </w:rPr>
            </w:pPr>
            <w:r>
              <w:rPr>
                <w:rFonts w:ascii="Arial" w:cs="Arial" w:eastAsia="Arial" w:hAnsi="Arial"/>
                <w:sz w:val="18"/>
                <w:szCs w:val="18"/>
                <w:color w:val="auto"/>
                <w:w w:val="98"/>
              </w:rPr>
              <w:t>Item 1A.</w:t>
            </w:r>
          </w:p>
        </w:tc>
        <w:tc>
          <w:tcPr>
            <w:tcW w:w="240" w:type="dxa"/>
            <w:vAlign w:val="bottom"/>
            <w:gridSpan w:val="2"/>
            <w:shd w:val="clear" w:color="auto" w:fill="DBDBDB"/>
          </w:tcPr>
          <w:p>
            <w:pPr>
              <w:spacing w:after="0"/>
              <w:rPr>
                <w:sz w:val="17"/>
                <w:szCs w:val="17"/>
                <w:color w:val="auto"/>
              </w:rPr>
            </w:pPr>
          </w:p>
        </w:tc>
        <w:tc>
          <w:tcPr>
            <w:tcW w:w="672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Risk Factors</w:t>
            </w:r>
          </w:p>
        </w:tc>
        <w:tc>
          <w:tcPr>
            <w:tcW w:w="2600" w:type="dxa"/>
            <w:vAlign w:val="bottom"/>
            <w:gridSpan w:val="3"/>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rPr>
              <w:t>32</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28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gridSpan w:val="2"/>
          </w:tcPr>
          <w:p>
            <w:pPr>
              <w:spacing w:after="0" w:line="201" w:lineRule="exact"/>
              <w:rPr>
                <w:sz w:val="20"/>
                <w:szCs w:val="20"/>
                <w:color w:val="auto"/>
              </w:rPr>
            </w:pPr>
            <w:r>
              <w:rPr>
                <w:rFonts w:ascii="Arial" w:cs="Arial" w:eastAsia="Arial" w:hAnsi="Arial"/>
                <w:sz w:val="18"/>
                <w:szCs w:val="18"/>
                <w:color w:val="auto"/>
              </w:rPr>
              <w:t>Item 2.</w:t>
            </w:r>
          </w:p>
        </w:tc>
        <w:tc>
          <w:tcPr>
            <w:tcW w:w="240" w:type="dxa"/>
            <w:vAlign w:val="bottom"/>
            <w:gridSpan w:val="2"/>
          </w:tcPr>
          <w:p>
            <w:pPr>
              <w:spacing w:after="0"/>
              <w:rPr>
                <w:sz w:val="17"/>
                <w:szCs w:val="17"/>
                <w:color w:val="auto"/>
              </w:rPr>
            </w:pP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Unregistered Sales of Equity Securities and Use of Proceeds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32</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3.</w:t>
            </w:r>
          </w:p>
        </w:tc>
        <w:tc>
          <w:tcPr>
            <w:tcW w:w="360" w:type="dxa"/>
            <w:vAlign w:val="bottom"/>
            <w:gridSpan w:val="3"/>
            <w:shd w:val="clear" w:color="auto" w:fill="DBDBDB"/>
          </w:tcPr>
          <w:p>
            <w:pPr>
              <w:spacing w:after="0"/>
              <w:rPr>
                <w:sz w:val="17"/>
                <w:szCs w:val="17"/>
                <w:color w:val="auto"/>
              </w:rPr>
            </w:pPr>
          </w:p>
        </w:tc>
        <w:tc>
          <w:tcPr>
            <w:tcW w:w="672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Defaults Upon Senior Securities</w:t>
            </w:r>
          </w:p>
        </w:tc>
        <w:tc>
          <w:tcPr>
            <w:tcW w:w="2600" w:type="dxa"/>
            <w:vAlign w:val="bottom"/>
            <w:gridSpan w:val="3"/>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rPr>
              <w:t>32</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228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w w:val="98"/>
              </w:rPr>
              <w:t>Item 4.</w:t>
            </w:r>
          </w:p>
        </w:tc>
        <w:tc>
          <w:tcPr>
            <w:tcW w:w="360" w:type="dxa"/>
            <w:vAlign w:val="bottom"/>
            <w:gridSpan w:val="3"/>
          </w:tcPr>
          <w:p>
            <w:pPr>
              <w:spacing w:after="0"/>
              <w:rPr>
                <w:sz w:val="17"/>
                <w:szCs w:val="17"/>
                <w:color w:val="auto"/>
              </w:rPr>
            </w:pP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Mine Safety Disclosures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32</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5.</w:t>
            </w:r>
          </w:p>
        </w:tc>
        <w:tc>
          <w:tcPr>
            <w:tcW w:w="360" w:type="dxa"/>
            <w:vAlign w:val="bottom"/>
            <w:gridSpan w:val="3"/>
            <w:shd w:val="clear" w:color="auto" w:fill="DBDBDB"/>
          </w:tcPr>
          <w:p>
            <w:pPr>
              <w:spacing w:after="0"/>
              <w:rPr>
                <w:sz w:val="17"/>
                <w:szCs w:val="17"/>
                <w:color w:val="auto"/>
              </w:rPr>
            </w:pPr>
          </w:p>
        </w:tc>
        <w:tc>
          <w:tcPr>
            <w:tcW w:w="672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Other Information</w:t>
            </w:r>
          </w:p>
        </w:tc>
        <w:tc>
          <w:tcPr>
            <w:tcW w:w="2600" w:type="dxa"/>
            <w:vAlign w:val="bottom"/>
            <w:gridSpan w:val="3"/>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rPr>
              <w:t>32</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28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w w:val="98"/>
              </w:rPr>
              <w:t>Item 6.</w:t>
            </w:r>
          </w:p>
        </w:tc>
        <w:tc>
          <w:tcPr>
            <w:tcW w:w="360" w:type="dxa"/>
            <w:vAlign w:val="bottom"/>
            <w:gridSpan w:val="3"/>
          </w:tcPr>
          <w:p>
            <w:pPr>
              <w:spacing w:after="0"/>
              <w:rPr>
                <w:sz w:val="17"/>
                <w:szCs w:val="17"/>
                <w:color w:val="auto"/>
              </w:rPr>
            </w:pP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Exhibits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33</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68"/>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2280" w:type="dxa"/>
            <w:vAlign w:val="bottom"/>
            <w:shd w:val="clear" w:color="auto" w:fill="DBDBDB"/>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1" w:lineRule="exact"/>
              <w:rPr>
                <w:sz w:val="20"/>
                <w:szCs w:val="20"/>
                <w:color w:val="auto"/>
              </w:rPr>
            </w:pPr>
            <w:r>
              <w:rPr>
                <w:rFonts w:ascii="Arial" w:cs="Arial" w:eastAsia="Arial" w:hAnsi="Arial"/>
                <w:sz w:val="18"/>
                <w:szCs w:val="18"/>
                <w:color w:val="auto"/>
              </w:rPr>
              <w:t>Signatures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34</w:t>
            </w:r>
          </w:p>
        </w:tc>
      </w:tr>
      <w:tr>
        <w:trPr>
          <w:trHeight w:val="1866"/>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0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26, 2021 filed with the Securities and Exchange Commission (the "SEC") on March 10, 2022, which is available on the SEC's website at www.sec.gov.</w:t>
      </w:r>
    </w:p>
    <w:p>
      <w:pPr>
        <w:spacing w:after="0" w:line="204"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Item 1. Financial Statements (Unaudited)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40" w:type="dxa"/>
            <w:vAlign w:val="bottom"/>
            <w:gridSpan w:val="6"/>
          </w:tcPr>
          <w:p>
            <w:pPr>
              <w:ind w:left="2080"/>
              <w:spacing w:after="0"/>
              <w:rPr>
                <w:sz w:val="20"/>
                <w:szCs w:val="20"/>
                <w:color w:val="auto"/>
              </w:rPr>
            </w:pPr>
            <w:r>
              <w:rPr>
                <w:rFonts w:ascii="Arial" w:cs="Arial" w:eastAsia="Arial" w:hAnsi="Arial"/>
                <w:sz w:val="18"/>
                <w:szCs w:val="18"/>
                <w:b w:val="1"/>
                <w:bCs w:val="1"/>
                <w:color w:val="auto"/>
              </w:rPr>
              <w:t>Page</w:t>
            </w:r>
          </w:p>
        </w:tc>
      </w:tr>
      <w:tr>
        <w:trPr>
          <w:trHeight w:val="209"/>
        </w:trPr>
        <w:tc>
          <w:tcPr>
            <w:tcW w:w="140" w:type="dxa"/>
            <w:vAlign w:val="bottom"/>
            <w:shd w:val="clear" w:color="auto" w:fill="DBDBDB"/>
          </w:tcPr>
          <w:p>
            <w:pPr>
              <w:spacing w:after="0"/>
              <w:rPr>
                <w:sz w:val="18"/>
                <w:szCs w:val="18"/>
                <w:color w:val="auto"/>
              </w:rPr>
            </w:pPr>
          </w:p>
        </w:tc>
        <w:tc>
          <w:tcPr>
            <w:tcW w:w="8060" w:type="dxa"/>
            <w:vAlign w:val="bottom"/>
            <w:gridSpan w:val="22"/>
            <w:shd w:val="clear" w:color="auto" w:fill="DBDBDB"/>
          </w:tcPr>
          <w:p>
            <w:pPr>
              <w:spacing w:after="0"/>
              <w:rPr>
                <w:sz w:val="20"/>
                <w:szCs w:val="20"/>
                <w:color w:val="auto"/>
              </w:rPr>
            </w:pPr>
            <w:r>
              <w:rPr>
                <w:rFonts w:ascii="Arial" w:cs="Arial" w:eastAsia="Arial" w:hAnsi="Arial"/>
                <w:sz w:val="18"/>
                <w:szCs w:val="18"/>
                <w:color w:val="auto"/>
              </w:rPr>
              <w:t>Condensed Consolidated Balance Sheets</w:t>
            </w:r>
          </w:p>
        </w:tc>
        <w:tc>
          <w:tcPr>
            <w:tcW w:w="2380" w:type="dxa"/>
            <w:vAlign w:val="bottom"/>
            <w:gridSpan w:val="4"/>
            <w:shd w:val="clear" w:color="auto" w:fill="DBDBDB"/>
          </w:tcPr>
          <w:p>
            <w:pPr>
              <w:jc w:val="center"/>
              <w:ind w:left="2111"/>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8060" w:type="dxa"/>
            <w:vAlign w:val="bottom"/>
            <w:gridSpan w:val="22"/>
          </w:tcPr>
          <w:p>
            <w:pPr>
              <w:spacing w:after="0" w:line="201" w:lineRule="exact"/>
              <w:rPr>
                <w:sz w:val="20"/>
                <w:szCs w:val="20"/>
                <w:color w:val="auto"/>
              </w:rPr>
            </w:pPr>
            <w:r>
              <w:rPr>
                <w:rFonts w:ascii="Arial" w:cs="Arial" w:eastAsia="Arial" w:hAnsi="Arial"/>
                <w:sz w:val="18"/>
                <w:szCs w:val="18"/>
                <w:color w:val="auto"/>
              </w:rPr>
              <w:t>Condensed Consolidated Statements of Operations</w:t>
            </w:r>
          </w:p>
        </w:tc>
        <w:tc>
          <w:tcPr>
            <w:tcW w:w="2380" w:type="dxa"/>
            <w:vAlign w:val="bottom"/>
            <w:gridSpan w:val="4"/>
          </w:tcPr>
          <w:p>
            <w:pPr>
              <w:jc w:val="center"/>
              <w:ind w:left="2111"/>
              <w:spacing w:after="0" w:line="201"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6000" w:type="dxa"/>
            <w:vAlign w:val="bottom"/>
            <w:gridSpan w:val="21"/>
            <w:shd w:val="clear" w:color="auto" w:fill="DBDBDB"/>
          </w:tcPr>
          <w:p>
            <w:pPr>
              <w:spacing w:after="0" w:line="201" w:lineRule="exact"/>
              <w:rPr>
                <w:sz w:val="20"/>
                <w:szCs w:val="20"/>
                <w:color w:val="auto"/>
              </w:rPr>
            </w:pPr>
            <w:r>
              <w:rPr>
                <w:rFonts w:ascii="Arial" w:cs="Arial" w:eastAsia="Arial" w:hAnsi="Arial"/>
                <w:sz w:val="18"/>
                <w:szCs w:val="18"/>
                <w:color w:val="auto"/>
                <w:w w:val="98"/>
              </w:rPr>
              <w:t>Condensed Consolidated Statements of Stockholders' and Members' Equity</w:t>
            </w:r>
          </w:p>
        </w:tc>
        <w:tc>
          <w:tcPr>
            <w:tcW w:w="2060" w:type="dxa"/>
            <w:vAlign w:val="bottom"/>
            <w:shd w:val="clear" w:color="auto" w:fill="DBDBDB"/>
          </w:tcPr>
          <w:p>
            <w:pPr>
              <w:spacing w:after="0"/>
              <w:rPr>
                <w:sz w:val="17"/>
                <w:szCs w:val="17"/>
                <w:color w:val="auto"/>
              </w:rPr>
            </w:pPr>
          </w:p>
        </w:tc>
        <w:tc>
          <w:tcPr>
            <w:tcW w:w="2240" w:type="dxa"/>
            <w:vAlign w:val="bottom"/>
            <w:gridSpan w:val="2"/>
            <w:shd w:val="clear" w:color="auto" w:fill="DBDBDB"/>
          </w:tcPr>
          <w:p>
            <w:pPr>
              <w:spacing w:after="0"/>
              <w:rPr>
                <w:sz w:val="17"/>
                <w:szCs w:val="17"/>
                <w:color w:val="auto"/>
              </w:rPr>
            </w:pPr>
          </w:p>
        </w:tc>
        <w:tc>
          <w:tcPr>
            <w:tcW w:w="140" w:type="dxa"/>
            <w:vAlign w:val="bottom"/>
            <w:gridSpan w:val="2"/>
            <w:shd w:val="clear" w:color="auto" w:fill="DBDBDB"/>
          </w:tcPr>
          <w:p>
            <w:pPr>
              <w:jc w:val="center"/>
              <w:ind w:right="40"/>
              <w:spacing w:after="0" w:line="201" w:lineRule="exact"/>
              <w:rPr>
                <w:sz w:val="20"/>
                <w:szCs w:val="20"/>
                <w:color w:val="auto"/>
              </w:rPr>
            </w:pPr>
            <w:r>
              <w:rPr>
                <w:rFonts w:ascii="Arial" w:cs="Arial" w:eastAsia="Arial" w:hAnsi="Arial"/>
                <w:sz w:val="18"/>
                <w:szCs w:val="18"/>
                <w:color w:val="auto"/>
                <w:w w:val="99"/>
              </w:rPr>
              <w:t>5</w:t>
            </w:r>
          </w:p>
        </w:tc>
        <w:tc>
          <w:tcPr>
            <w:tcW w:w="2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1560" w:type="dxa"/>
            <w:vAlign w:val="bottom"/>
            <w:tcBorders>
              <w:top w:val="single" w:sz="8" w:color="auto"/>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6000" w:type="dxa"/>
            <w:vAlign w:val="bottom"/>
            <w:gridSpan w:val="21"/>
          </w:tcPr>
          <w:p>
            <w:pPr>
              <w:spacing w:after="0" w:line="201" w:lineRule="exact"/>
              <w:rPr>
                <w:sz w:val="20"/>
                <w:szCs w:val="20"/>
                <w:color w:val="auto"/>
              </w:rPr>
            </w:pPr>
            <w:r>
              <w:rPr>
                <w:rFonts w:ascii="Arial" w:cs="Arial" w:eastAsia="Arial" w:hAnsi="Arial"/>
                <w:sz w:val="18"/>
                <w:szCs w:val="18"/>
                <w:color w:val="auto"/>
              </w:rPr>
              <w:t>Condensed Consolidated Statements of Cash Flows</w:t>
            </w:r>
          </w:p>
        </w:tc>
        <w:tc>
          <w:tcPr>
            <w:tcW w:w="2060" w:type="dxa"/>
            <w:vAlign w:val="bottom"/>
          </w:tcPr>
          <w:p>
            <w:pPr>
              <w:spacing w:after="0"/>
              <w:rPr>
                <w:sz w:val="17"/>
                <w:szCs w:val="17"/>
                <w:color w:val="auto"/>
              </w:rPr>
            </w:pPr>
          </w:p>
        </w:tc>
        <w:tc>
          <w:tcPr>
            <w:tcW w:w="2240" w:type="dxa"/>
            <w:vAlign w:val="bottom"/>
            <w:gridSpan w:val="2"/>
          </w:tcPr>
          <w:p>
            <w:pPr>
              <w:spacing w:after="0"/>
              <w:rPr>
                <w:sz w:val="17"/>
                <w:szCs w:val="17"/>
                <w:color w:val="auto"/>
              </w:rPr>
            </w:pPr>
          </w:p>
        </w:tc>
        <w:tc>
          <w:tcPr>
            <w:tcW w:w="14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4440" w:type="dxa"/>
            <w:vAlign w:val="bottom"/>
            <w:gridSpan w:val="20"/>
            <w:shd w:val="clear" w:color="auto" w:fill="DBDBDB"/>
          </w:tcPr>
          <w:p>
            <w:pPr>
              <w:spacing w:after="0" w:line="201" w:lineRule="exact"/>
              <w:rPr>
                <w:sz w:val="20"/>
                <w:szCs w:val="20"/>
                <w:color w:val="auto"/>
              </w:rPr>
            </w:pPr>
            <w:r>
              <w:rPr>
                <w:rFonts w:ascii="Arial" w:cs="Arial" w:eastAsia="Arial" w:hAnsi="Arial"/>
                <w:sz w:val="18"/>
                <w:szCs w:val="18"/>
                <w:color w:val="auto"/>
                <w:w w:val="98"/>
              </w:rPr>
              <w:t>Notes to Condensed Consolidated Financial Statements</w:t>
            </w:r>
          </w:p>
        </w:tc>
        <w:tc>
          <w:tcPr>
            <w:tcW w:w="3620" w:type="dxa"/>
            <w:vAlign w:val="bottom"/>
            <w:gridSpan w:val="2"/>
            <w:shd w:val="clear" w:color="auto" w:fill="DBDBDB"/>
          </w:tcPr>
          <w:p>
            <w:pPr>
              <w:spacing w:after="0"/>
              <w:rPr>
                <w:sz w:val="17"/>
                <w:szCs w:val="17"/>
                <w:color w:val="auto"/>
              </w:rPr>
            </w:pPr>
          </w:p>
        </w:tc>
        <w:tc>
          <w:tcPr>
            <w:tcW w:w="2240" w:type="dxa"/>
            <w:vAlign w:val="bottom"/>
            <w:gridSpan w:val="2"/>
            <w:shd w:val="clear" w:color="auto" w:fill="DBDBDB"/>
          </w:tcPr>
          <w:p>
            <w:pPr>
              <w:spacing w:after="0"/>
              <w:rPr>
                <w:sz w:val="17"/>
                <w:szCs w:val="17"/>
                <w:color w:val="auto"/>
              </w:rPr>
            </w:pPr>
          </w:p>
        </w:tc>
        <w:tc>
          <w:tcPr>
            <w:tcW w:w="140" w:type="dxa"/>
            <w:vAlign w:val="bottom"/>
            <w:gridSpan w:val="2"/>
            <w:shd w:val="clear" w:color="auto" w:fill="DBDBDB"/>
          </w:tcPr>
          <w:p>
            <w:pPr>
              <w:jc w:val="center"/>
              <w:ind w:right="40"/>
              <w:spacing w:after="0" w:line="201" w:lineRule="exact"/>
              <w:rPr>
                <w:sz w:val="20"/>
                <w:szCs w:val="20"/>
                <w:color w:val="auto"/>
              </w:rPr>
            </w:pPr>
            <w:r>
              <w:rPr>
                <w:rFonts w:ascii="Arial" w:cs="Arial" w:eastAsia="Arial" w:hAnsi="Arial"/>
                <w:sz w:val="18"/>
                <w:szCs w:val="18"/>
                <w:color w:val="auto"/>
                <w:w w:val="99"/>
              </w:rPr>
              <w:t>8</w:t>
            </w:r>
          </w:p>
        </w:tc>
        <w:tc>
          <w:tcPr>
            <w:tcW w:w="2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9"/>
          </w:tcPr>
          <w:p>
            <w:pPr>
              <w:spacing w:after="0" w:line="201" w:lineRule="exact"/>
              <w:rPr>
                <w:sz w:val="20"/>
                <w:szCs w:val="20"/>
                <w:color w:val="auto"/>
              </w:rPr>
            </w:pPr>
            <w:r>
              <w:rPr>
                <w:rFonts w:ascii="Arial" w:cs="Arial" w:eastAsia="Arial" w:hAnsi="Arial"/>
                <w:sz w:val="18"/>
                <w:szCs w:val="18"/>
                <w:color w:val="auto"/>
              </w:rPr>
              <w:t>Note 1. Description Of Business</w:t>
            </w:r>
          </w:p>
        </w:tc>
        <w:tc>
          <w:tcPr>
            <w:tcW w:w="3620" w:type="dxa"/>
            <w:vAlign w:val="bottom"/>
            <w:gridSpan w:val="2"/>
          </w:tcPr>
          <w:p>
            <w:pPr>
              <w:spacing w:after="0"/>
              <w:rPr>
                <w:sz w:val="17"/>
                <w:szCs w:val="17"/>
                <w:color w:val="auto"/>
              </w:rPr>
            </w:pPr>
          </w:p>
        </w:tc>
        <w:tc>
          <w:tcPr>
            <w:tcW w:w="2240" w:type="dxa"/>
            <w:vAlign w:val="bottom"/>
            <w:gridSpan w:val="2"/>
          </w:tcPr>
          <w:p>
            <w:pPr>
              <w:spacing w:after="0"/>
              <w:rPr>
                <w:sz w:val="17"/>
                <w:szCs w:val="17"/>
                <w:color w:val="auto"/>
              </w:rPr>
            </w:pPr>
          </w:p>
        </w:tc>
        <w:tc>
          <w:tcPr>
            <w:tcW w:w="14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1"/>
            <w:shd w:val="clear" w:color="auto" w:fill="DBDBDB"/>
          </w:tcPr>
          <w:p>
            <w:pPr>
              <w:spacing w:after="0" w:line="201" w:lineRule="exact"/>
              <w:rPr>
                <w:sz w:val="20"/>
                <w:szCs w:val="20"/>
                <w:color w:val="auto"/>
              </w:rPr>
            </w:pPr>
            <w:r>
              <w:rPr>
                <w:rFonts w:ascii="Arial" w:cs="Arial" w:eastAsia="Arial" w:hAnsi="Arial"/>
                <w:sz w:val="18"/>
                <w:szCs w:val="18"/>
                <w:color w:val="auto"/>
              </w:rPr>
              <w:t>Note 2. Summary Of Significant Accounting Policies</w:t>
            </w:r>
          </w:p>
        </w:tc>
        <w:tc>
          <w:tcPr>
            <w:tcW w:w="2380" w:type="dxa"/>
            <w:vAlign w:val="bottom"/>
            <w:gridSpan w:val="4"/>
            <w:shd w:val="clear" w:color="auto" w:fill="DBDBDB"/>
          </w:tcPr>
          <w:p>
            <w:pPr>
              <w:jc w:val="center"/>
              <w:ind w:left="2111"/>
              <w:spacing w:after="0" w:line="201" w:lineRule="exact"/>
              <w:rPr>
                <w:sz w:val="20"/>
                <w:szCs w:val="20"/>
                <w:color w:val="auto"/>
              </w:rPr>
            </w:pPr>
            <w:r>
              <w:rPr>
                <w:rFonts w:ascii="Arial" w:cs="Arial" w:eastAsia="Arial" w:hAnsi="Arial"/>
                <w:sz w:val="18"/>
                <w:szCs w:val="18"/>
                <w:color w:val="auto"/>
                <w:w w:val="99"/>
              </w:rPr>
              <w:t>9</w:t>
            </w:r>
          </w:p>
        </w:tc>
        <w:tc>
          <w:tcPr>
            <w:tcW w:w="2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gridSpan w:val="18"/>
          </w:tcPr>
          <w:p>
            <w:pPr>
              <w:spacing w:after="0" w:line="201" w:lineRule="exact"/>
              <w:rPr>
                <w:sz w:val="20"/>
                <w:szCs w:val="20"/>
                <w:color w:val="auto"/>
              </w:rPr>
            </w:pPr>
            <w:r>
              <w:rPr>
                <w:rFonts w:ascii="Arial" w:cs="Arial" w:eastAsia="Arial" w:hAnsi="Arial"/>
                <w:sz w:val="18"/>
                <w:szCs w:val="18"/>
                <w:color w:val="auto"/>
              </w:rPr>
              <w:t>Note 3. Revenue Recognition</w:t>
            </w:r>
          </w:p>
        </w:tc>
        <w:tc>
          <w:tcPr>
            <w:tcW w:w="3860" w:type="dxa"/>
            <w:vAlign w:val="bottom"/>
            <w:gridSpan w:val="3"/>
          </w:tcPr>
          <w:p>
            <w:pPr>
              <w:spacing w:after="0"/>
              <w:rPr>
                <w:sz w:val="17"/>
                <w:szCs w:val="17"/>
                <w:color w:val="auto"/>
              </w:rPr>
            </w:pPr>
          </w:p>
        </w:tc>
        <w:tc>
          <w:tcPr>
            <w:tcW w:w="2400" w:type="dxa"/>
            <w:vAlign w:val="bottom"/>
            <w:gridSpan w:val="5"/>
          </w:tcPr>
          <w:p>
            <w:pPr>
              <w:jc w:val="center"/>
              <w:ind w:left="2091"/>
              <w:spacing w:after="0" w:line="201" w:lineRule="exact"/>
              <w:rPr>
                <w:sz w:val="20"/>
                <w:szCs w:val="20"/>
                <w:color w:val="auto"/>
              </w:rPr>
            </w:pPr>
            <w:r>
              <w:rPr>
                <w:rFonts w:ascii="Arial" w:cs="Arial" w:eastAsia="Arial" w:hAnsi="Arial"/>
                <w:sz w:val="18"/>
                <w:szCs w:val="18"/>
                <w:color w:val="auto"/>
                <w:w w:val="89"/>
              </w:rPr>
              <w:t>11</w:t>
            </w: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1"/>
            <w:shd w:val="clear" w:color="auto" w:fill="DBDBDB"/>
          </w:tcPr>
          <w:p>
            <w:pPr>
              <w:spacing w:after="0" w:line="201" w:lineRule="exact"/>
              <w:rPr>
                <w:sz w:val="20"/>
                <w:szCs w:val="20"/>
                <w:color w:val="auto"/>
              </w:rPr>
            </w:pPr>
            <w:r>
              <w:rPr>
                <w:rFonts w:ascii="Arial" w:cs="Arial" w:eastAsia="Arial" w:hAnsi="Arial"/>
                <w:sz w:val="18"/>
                <w:szCs w:val="18"/>
                <w:color w:val="auto"/>
              </w:rPr>
              <w:t>Note 4. Inventories</w:t>
            </w:r>
          </w:p>
        </w:tc>
        <w:tc>
          <w:tcPr>
            <w:tcW w:w="2400" w:type="dxa"/>
            <w:vAlign w:val="bottom"/>
            <w:gridSpan w:val="5"/>
            <w:shd w:val="clear" w:color="auto" w:fill="DBDBDB"/>
          </w:tcPr>
          <w:p>
            <w:pPr>
              <w:jc w:val="center"/>
              <w:ind w:left="2091"/>
              <w:spacing w:after="0" w:line="201" w:lineRule="exact"/>
              <w:rPr>
                <w:sz w:val="20"/>
                <w:szCs w:val="20"/>
                <w:color w:val="auto"/>
              </w:rPr>
            </w:pPr>
            <w:r>
              <w:rPr>
                <w:rFonts w:ascii="Arial" w:cs="Arial" w:eastAsia="Arial" w:hAnsi="Arial"/>
                <w:sz w:val="18"/>
                <w:szCs w:val="18"/>
                <w:color w:val="auto"/>
                <w:w w:val="89"/>
              </w:rPr>
              <w:t>11</w:t>
            </w:r>
          </w:p>
        </w:tc>
        <w:tc>
          <w:tcPr>
            <w:tcW w:w="640" w:type="dxa"/>
            <w:vAlign w:val="bottom"/>
            <w:shd w:val="clear" w:color="auto" w:fill="DBDBDB"/>
          </w:tcPr>
          <w:p>
            <w:pPr>
              <w:spacing w:after="0"/>
              <w:rPr>
                <w:sz w:val="17"/>
                <w:szCs w:val="17"/>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21"/>
          </w:tcPr>
          <w:p>
            <w:pPr>
              <w:spacing w:after="0" w:line="201" w:lineRule="exact"/>
              <w:rPr>
                <w:sz w:val="20"/>
                <w:szCs w:val="20"/>
                <w:color w:val="auto"/>
              </w:rPr>
            </w:pPr>
            <w:r>
              <w:rPr>
                <w:rFonts w:ascii="Arial" w:cs="Arial" w:eastAsia="Arial" w:hAnsi="Arial"/>
                <w:sz w:val="18"/>
                <w:szCs w:val="18"/>
                <w:color w:val="auto"/>
              </w:rPr>
              <w:t>Note 5. Property &amp; Equipment, Net</w:t>
            </w:r>
          </w:p>
        </w:tc>
        <w:tc>
          <w:tcPr>
            <w:tcW w:w="3040" w:type="dxa"/>
            <w:vAlign w:val="bottom"/>
            <w:gridSpan w:val="6"/>
          </w:tcPr>
          <w:p>
            <w:pPr>
              <w:jc w:val="center"/>
              <w:ind w:left="1471"/>
              <w:spacing w:after="0" w:line="201" w:lineRule="exact"/>
              <w:rPr>
                <w:sz w:val="20"/>
                <w:szCs w:val="20"/>
                <w:color w:val="auto"/>
              </w:rPr>
            </w:pPr>
            <w:r>
              <w:rPr>
                <w:rFonts w:ascii="Arial" w:cs="Arial" w:eastAsia="Arial" w:hAnsi="Arial"/>
                <w:sz w:val="18"/>
                <w:szCs w:val="18"/>
                <w:color w:val="auto"/>
                <w:w w:val="99"/>
              </w:rPr>
              <w:t>12</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900" w:type="dxa"/>
            <w:vAlign w:val="bottom"/>
            <w:gridSpan w:val="12"/>
            <w:shd w:val="clear" w:color="auto" w:fill="DBDBDB"/>
          </w:tcPr>
          <w:p>
            <w:pPr>
              <w:spacing w:after="0" w:line="201" w:lineRule="exact"/>
              <w:rPr>
                <w:sz w:val="20"/>
                <w:szCs w:val="20"/>
                <w:color w:val="auto"/>
              </w:rPr>
            </w:pPr>
            <w:r>
              <w:rPr>
                <w:rFonts w:ascii="Arial" w:cs="Arial" w:eastAsia="Arial" w:hAnsi="Arial"/>
                <w:sz w:val="18"/>
                <w:szCs w:val="18"/>
                <w:color w:val="auto"/>
                <w:w w:val="98"/>
              </w:rPr>
              <w:t>Note 6. Goodwill &amp; Intangible Assets</w:t>
            </w:r>
          </w:p>
        </w:tc>
        <w:tc>
          <w:tcPr>
            <w:tcW w:w="5060" w:type="dxa"/>
            <w:vAlign w:val="bottom"/>
            <w:gridSpan w:val="9"/>
            <w:shd w:val="clear" w:color="auto" w:fill="DBDBDB"/>
          </w:tcPr>
          <w:p>
            <w:pPr>
              <w:spacing w:after="0"/>
              <w:rPr>
                <w:sz w:val="17"/>
                <w:szCs w:val="17"/>
                <w:color w:val="auto"/>
              </w:rPr>
            </w:pPr>
          </w:p>
        </w:tc>
        <w:tc>
          <w:tcPr>
            <w:tcW w:w="3040" w:type="dxa"/>
            <w:vAlign w:val="bottom"/>
            <w:gridSpan w:val="6"/>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12</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12"/>
          </w:tcPr>
          <w:p>
            <w:pPr>
              <w:spacing w:after="0" w:line="201" w:lineRule="exact"/>
              <w:rPr>
                <w:sz w:val="20"/>
                <w:szCs w:val="20"/>
                <w:color w:val="auto"/>
              </w:rPr>
            </w:pPr>
            <w:r>
              <w:rPr>
                <w:rFonts w:ascii="Arial" w:cs="Arial" w:eastAsia="Arial" w:hAnsi="Arial"/>
                <w:sz w:val="18"/>
                <w:szCs w:val="18"/>
                <w:color w:val="auto"/>
              </w:rPr>
              <w:t>Note 7. Equity Method Investment</w:t>
            </w:r>
          </w:p>
        </w:tc>
        <w:tc>
          <w:tcPr>
            <w:tcW w:w="5060" w:type="dxa"/>
            <w:vAlign w:val="bottom"/>
            <w:gridSpan w:val="9"/>
          </w:tcPr>
          <w:p>
            <w:pPr>
              <w:spacing w:after="0"/>
              <w:rPr>
                <w:sz w:val="17"/>
                <w:szCs w:val="17"/>
                <w:color w:val="auto"/>
              </w:rPr>
            </w:pPr>
          </w:p>
        </w:tc>
        <w:tc>
          <w:tcPr>
            <w:tcW w:w="3040" w:type="dxa"/>
            <w:vAlign w:val="bottom"/>
            <w:gridSpan w:val="6"/>
          </w:tcPr>
          <w:p>
            <w:pPr>
              <w:jc w:val="center"/>
              <w:ind w:left="1471"/>
              <w:spacing w:after="0" w:line="201" w:lineRule="exact"/>
              <w:rPr>
                <w:sz w:val="20"/>
                <w:szCs w:val="20"/>
                <w:color w:val="auto"/>
              </w:rPr>
            </w:pPr>
            <w:r>
              <w:rPr>
                <w:rFonts w:ascii="Arial" w:cs="Arial" w:eastAsia="Arial" w:hAnsi="Arial"/>
                <w:sz w:val="18"/>
                <w:szCs w:val="18"/>
                <w:color w:val="auto"/>
                <w:w w:val="99"/>
              </w:rPr>
              <w:t>13</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380" w:type="dxa"/>
            <w:vAlign w:val="bottom"/>
            <w:gridSpan w:val="15"/>
            <w:shd w:val="clear" w:color="auto" w:fill="DBDBDB"/>
          </w:tcPr>
          <w:p>
            <w:pPr>
              <w:spacing w:after="0" w:line="201" w:lineRule="exact"/>
              <w:rPr>
                <w:sz w:val="20"/>
                <w:szCs w:val="20"/>
                <w:color w:val="auto"/>
              </w:rPr>
            </w:pPr>
            <w:r>
              <w:rPr>
                <w:rFonts w:ascii="Arial" w:cs="Arial" w:eastAsia="Arial" w:hAnsi="Arial"/>
                <w:sz w:val="18"/>
                <w:szCs w:val="18"/>
                <w:color w:val="auto"/>
                <w:w w:val="98"/>
              </w:rPr>
              <w:t>Note 8. Fair Value of Financial Instruments</w:t>
            </w:r>
          </w:p>
        </w:tc>
        <w:tc>
          <w:tcPr>
            <w:tcW w:w="4580" w:type="dxa"/>
            <w:vAlign w:val="bottom"/>
            <w:gridSpan w:val="6"/>
            <w:shd w:val="clear" w:color="auto" w:fill="DBDBDB"/>
          </w:tcPr>
          <w:p>
            <w:pPr>
              <w:spacing w:after="0"/>
              <w:rPr>
                <w:sz w:val="17"/>
                <w:szCs w:val="17"/>
                <w:color w:val="auto"/>
              </w:rPr>
            </w:pPr>
          </w:p>
        </w:tc>
        <w:tc>
          <w:tcPr>
            <w:tcW w:w="3040" w:type="dxa"/>
            <w:vAlign w:val="bottom"/>
            <w:gridSpan w:val="6"/>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13</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gridSpan w:val="15"/>
          </w:tcPr>
          <w:p>
            <w:pPr>
              <w:spacing w:after="0" w:line="201" w:lineRule="exact"/>
              <w:rPr>
                <w:sz w:val="20"/>
                <w:szCs w:val="20"/>
                <w:color w:val="auto"/>
              </w:rPr>
            </w:pPr>
            <w:r>
              <w:rPr>
                <w:rFonts w:ascii="Arial" w:cs="Arial" w:eastAsia="Arial" w:hAnsi="Arial"/>
                <w:sz w:val="18"/>
                <w:szCs w:val="18"/>
                <w:color w:val="auto"/>
              </w:rPr>
              <w:t>Note 9. Debt</w:t>
            </w:r>
          </w:p>
        </w:tc>
        <w:tc>
          <w:tcPr>
            <w:tcW w:w="4580" w:type="dxa"/>
            <w:vAlign w:val="bottom"/>
            <w:gridSpan w:val="6"/>
          </w:tcPr>
          <w:p>
            <w:pPr>
              <w:spacing w:after="0"/>
              <w:rPr>
                <w:sz w:val="17"/>
                <w:szCs w:val="17"/>
                <w:color w:val="auto"/>
              </w:rPr>
            </w:pPr>
          </w:p>
        </w:tc>
        <w:tc>
          <w:tcPr>
            <w:tcW w:w="3040" w:type="dxa"/>
            <w:vAlign w:val="bottom"/>
            <w:gridSpan w:val="6"/>
          </w:tcPr>
          <w:p>
            <w:pPr>
              <w:jc w:val="center"/>
              <w:ind w:left="1471"/>
              <w:spacing w:after="0" w:line="201" w:lineRule="exact"/>
              <w:rPr>
                <w:sz w:val="20"/>
                <w:szCs w:val="20"/>
                <w:color w:val="auto"/>
              </w:rPr>
            </w:pPr>
            <w:r>
              <w:rPr>
                <w:rFonts w:ascii="Arial" w:cs="Arial" w:eastAsia="Arial" w:hAnsi="Arial"/>
                <w:sz w:val="18"/>
                <w:szCs w:val="18"/>
                <w:color w:val="auto"/>
                <w:w w:val="99"/>
              </w:rPr>
              <w:t>15</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1"/>
            <w:shd w:val="clear" w:color="auto" w:fill="DBDBDB"/>
          </w:tcPr>
          <w:p>
            <w:pPr>
              <w:spacing w:after="0" w:line="201" w:lineRule="exact"/>
              <w:rPr>
                <w:sz w:val="20"/>
                <w:szCs w:val="20"/>
                <w:color w:val="auto"/>
              </w:rPr>
            </w:pPr>
            <w:r>
              <w:rPr>
                <w:rFonts w:ascii="Arial" w:cs="Arial" w:eastAsia="Arial" w:hAnsi="Arial"/>
                <w:sz w:val="18"/>
                <w:szCs w:val="18"/>
                <w:color w:val="auto"/>
              </w:rPr>
              <w:t>Note 10. Non-Controlling Interests</w:t>
            </w:r>
          </w:p>
        </w:tc>
        <w:tc>
          <w:tcPr>
            <w:tcW w:w="3040" w:type="dxa"/>
            <w:vAlign w:val="bottom"/>
            <w:gridSpan w:val="6"/>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16</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21"/>
          </w:tcPr>
          <w:p>
            <w:pPr>
              <w:spacing w:after="0" w:line="201" w:lineRule="exact"/>
              <w:rPr>
                <w:sz w:val="20"/>
                <w:szCs w:val="20"/>
                <w:color w:val="auto"/>
              </w:rPr>
            </w:pPr>
            <w:r>
              <w:rPr>
                <w:rFonts w:ascii="Arial" w:cs="Arial" w:eastAsia="Arial" w:hAnsi="Arial"/>
                <w:sz w:val="18"/>
                <w:szCs w:val="18"/>
                <w:color w:val="auto"/>
              </w:rPr>
              <w:t>Note 11. Equity-Based Compensation</w:t>
            </w:r>
          </w:p>
        </w:tc>
        <w:tc>
          <w:tcPr>
            <w:tcW w:w="3040" w:type="dxa"/>
            <w:vAlign w:val="bottom"/>
            <w:gridSpan w:val="6"/>
          </w:tcPr>
          <w:p>
            <w:pPr>
              <w:jc w:val="center"/>
              <w:ind w:left="1471"/>
              <w:spacing w:after="0" w:line="201" w:lineRule="exact"/>
              <w:rPr>
                <w:sz w:val="20"/>
                <w:szCs w:val="20"/>
                <w:color w:val="auto"/>
              </w:rPr>
            </w:pPr>
            <w:r>
              <w:rPr>
                <w:rFonts w:ascii="Arial" w:cs="Arial" w:eastAsia="Arial" w:hAnsi="Arial"/>
                <w:sz w:val="18"/>
                <w:szCs w:val="18"/>
                <w:color w:val="auto"/>
                <w:w w:val="99"/>
              </w:rPr>
              <w:t>17</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1"/>
            <w:shd w:val="clear" w:color="auto" w:fill="DBDBDB"/>
          </w:tcPr>
          <w:p>
            <w:pPr>
              <w:spacing w:after="0" w:line="201" w:lineRule="exact"/>
              <w:rPr>
                <w:sz w:val="20"/>
                <w:szCs w:val="20"/>
                <w:color w:val="auto"/>
              </w:rPr>
            </w:pPr>
            <w:r>
              <w:rPr>
                <w:rFonts w:ascii="Arial" w:cs="Arial" w:eastAsia="Arial" w:hAnsi="Arial"/>
                <w:sz w:val="18"/>
                <w:szCs w:val="18"/>
                <w:color w:val="auto"/>
              </w:rPr>
              <w:t>Note 12. Income Taxes</w:t>
            </w:r>
          </w:p>
        </w:tc>
        <w:tc>
          <w:tcPr>
            <w:tcW w:w="3040" w:type="dxa"/>
            <w:vAlign w:val="bottom"/>
            <w:gridSpan w:val="6"/>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17</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21"/>
          </w:tcPr>
          <w:p>
            <w:pPr>
              <w:spacing w:after="0" w:line="201" w:lineRule="exact"/>
              <w:rPr>
                <w:sz w:val="20"/>
                <w:szCs w:val="20"/>
                <w:color w:val="auto"/>
              </w:rPr>
            </w:pPr>
            <w:r>
              <w:rPr>
                <w:rFonts w:ascii="Arial" w:cs="Arial" w:eastAsia="Arial" w:hAnsi="Arial"/>
                <w:sz w:val="18"/>
                <w:szCs w:val="18"/>
                <w:color w:val="auto"/>
              </w:rPr>
              <w:t>Note 13. Earnings (Loss) Per Share</w:t>
            </w:r>
          </w:p>
        </w:tc>
        <w:tc>
          <w:tcPr>
            <w:tcW w:w="3040" w:type="dxa"/>
            <w:vAlign w:val="bottom"/>
            <w:gridSpan w:val="6"/>
          </w:tcPr>
          <w:p>
            <w:pPr>
              <w:jc w:val="center"/>
              <w:ind w:left="1471"/>
              <w:spacing w:after="0" w:line="201" w:lineRule="exact"/>
              <w:rPr>
                <w:sz w:val="20"/>
                <w:szCs w:val="20"/>
                <w:color w:val="auto"/>
              </w:rPr>
            </w:pPr>
            <w:r>
              <w:rPr>
                <w:rFonts w:ascii="Arial" w:cs="Arial" w:eastAsia="Arial" w:hAnsi="Arial"/>
                <w:sz w:val="18"/>
                <w:szCs w:val="18"/>
                <w:color w:val="auto"/>
                <w:w w:val="99"/>
              </w:rPr>
              <w:t>17</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60" w:type="dxa"/>
            <w:vAlign w:val="bottom"/>
            <w:gridSpan w:val="4"/>
            <w:shd w:val="clear" w:color="auto" w:fill="DBDBDB"/>
          </w:tcPr>
          <w:p>
            <w:pPr>
              <w:spacing w:after="0" w:line="201" w:lineRule="exact"/>
              <w:rPr>
                <w:sz w:val="20"/>
                <w:szCs w:val="20"/>
                <w:color w:val="auto"/>
              </w:rPr>
            </w:pPr>
            <w:r>
              <w:rPr>
                <w:rFonts w:ascii="Arial" w:cs="Arial" w:eastAsia="Arial" w:hAnsi="Arial"/>
                <w:sz w:val="18"/>
                <w:szCs w:val="18"/>
                <w:color w:val="auto"/>
                <w:w w:val="98"/>
              </w:rPr>
              <w:t>Note 14. Contingencies</w:t>
            </w:r>
          </w:p>
        </w:tc>
        <w:tc>
          <w:tcPr>
            <w:tcW w:w="6100" w:type="dxa"/>
            <w:vAlign w:val="bottom"/>
            <w:gridSpan w:val="17"/>
            <w:shd w:val="clear" w:color="auto" w:fill="DBDBDB"/>
          </w:tcPr>
          <w:p>
            <w:pPr>
              <w:spacing w:after="0"/>
              <w:rPr>
                <w:sz w:val="17"/>
                <w:szCs w:val="17"/>
                <w:color w:val="auto"/>
              </w:rPr>
            </w:pPr>
          </w:p>
        </w:tc>
        <w:tc>
          <w:tcPr>
            <w:tcW w:w="3040" w:type="dxa"/>
            <w:vAlign w:val="bottom"/>
            <w:gridSpan w:val="6"/>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18</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21"/>
          </w:tcPr>
          <w:p>
            <w:pPr>
              <w:spacing w:after="0" w:line="201" w:lineRule="exact"/>
              <w:rPr>
                <w:sz w:val="20"/>
                <w:szCs w:val="20"/>
                <w:color w:val="auto"/>
              </w:rPr>
            </w:pPr>
            <w:r>
              <w:rPr>
                <w:rFonts w:ascii="Arial" w:cs="Arial" w:eastAsia="Arial" w:hAnsi="Arial"/>
                <w:sz w:val="18"/>
                <w:szCs w:val="18"/>
                <w:color w:val="auto"/>
              </w:rPr>
              <w:t>Note 15. Related Party Transactions</w:t>
            </w:r>
          </w:p>
        </w:tc>
        <w:tc>
          <w:tcPr>
            <w:tcW w:w="3040" w:type="dxa"/>
            <w:vAlign w:val="bottom"/>
            <w:gridSpan w:val="6"/>
          </w:tcPr>
          <w:p>
            <w:pPr>
              <w:jc w:val="center"/>
              <w:ind w:left="1471"/>
              <w:spacing w:after="0" w:line="201" w:lineRule="exact"/>
              <w:rPr>
                <w:sz w:val="20"/>
                <w:szCs w:val="20"/>
                <w:color w:val="auto"/>
              </w:rPr>
            </w:pPr>
            <w:r>
              <w:rPr>
                <w:rFonts w:ascii="Arial" w:cs="Arial" w:eastAsia="Arial" w:hAnsi="Arial"/>
                <w:sz w:val="18"/>
                <w:szCs w:val="18"/>
                <w:color w:val="auto"/>
                <w:w w:val="99"/>
              </w:rPr>
              <w:t>18</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1"/>
            <w:shd w:val="clear" w:color="auto" w:fill="DBDBDB"/>
          </w:tcPr>
          <w:p>
            <w:pPr>
              <w:spacing w:after="0" w:line="201" w:lineRule="exact"/>
              <w:rPr>
                <w:sz w:val="20"/>
                <w:szCs w:val="20"/>
                <w:color w:val="auto"/>
              </w:rPr>
            </w:pPr>
            <w:r>
              <w:rPr>
                <w:rFonts w:ascii="Arial" w:cs="Arial" w:eastAsia="Arial" w:hAnsi="Arial"/>
                <w:sz w:val="18"/>
                <w:szCs w:val="18"/>
                <w:color w:val="auto"/>
              </w:rPr>
              <w:t>Note 16. Subsequent Events</w:t>
            </w:r>
          </w:p>
        </w:tc>
        <w:tc>
          <w:tcPr>
            <w:tcW w:w="3040" w:type="dxa"/>
            <w:vAlign w:val="bottom"/>
            <w:gridSpan w:val="6"/>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19</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27, 2022</w:t>
            </w:r>
          </w:p>
        </w:tc>
        <w:tc>
          <w:tcPr>
            <w:tcW w:w="12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December 26, 2021</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245"/>
        </w:trPr>
        <w:tc>
          <w:tcPr>
            <w:tcW w:w="7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32,182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39,263</w:t>
            </w:r>
          </w:p>
        </w:tc>
      </w:tr>
      <w:tr>
        <w:trPr>
          <w:trHeight w:val="24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5,401</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7,840</w:t>
            </w: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6,078</w:t>
            </w:r>
          </w:p>
        </w:tc>
      </w:tr>
      <w:tr>
        <w:trPr>
          <w:trHeight w:val="243"/>
        </w:trPr>
        <w:tc>
          <w:tcPr>
            <w:tcW w:w="76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220" w:type="dxa"/>
            <w:vAlign w:val="bottom"/>
            <w:tcBorders>
              <w:bottom w:val="single" w:sz="8" w:color="auto"/>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6,155</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5,836</w:t>
            </w:r>
          </w:p>
        </w:tc>
      </w:tr>
      <w:tr>
        <w:trPr>
          <w:trHeight w:val="235"/>
        </w:trPr>
        <w:tc>
          <w:tcPr>
            <w:tcW w:w="76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48,885</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59,017</w:t>
            </w:r>
          </w:p>
        </w:tc>
      </w:tr>
      <w:tr>
        <w:trPr>
          <w:trHeight w:val="235"/>
        </w:trPr>
        <w:tc>
          <w:tcPr>
            <w:tcW w:w="764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auto"/>
            </w:tcBorders>
            <w:shd w:val="clear" w:color="auto" w:fill="DBDBDB"/>
          </w:tcPr>
          <w:p>
            <w:pPr>
              <w:spacing w:after="0"/>
              <w:rPr>
                <w:sz w:val="20"/>
                <w:szCs w:val="20"/>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192,093</w:t>
            </w:r>
          </w:p>
        </w:tc>
        <w:tc>
          <w:tcPr>
            <w:tcW w:w="10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190,834</w:t>
            </w:r>
          </w:p>
        </w:tc>
      </w:tr>
      <w:tr>
        <w:trPr>
          <w:trHeight w:val="234"/>
        </w:trPr>
        <w:tc>
          <w:tcPr>
            <w:tcW w:w="7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35,047</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35,832</w:t>
            </w: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16,127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16,170</w:t>
            </w:r>
          </w:p>
        </w:tc>
      </w:tr>
      <w:tr>
        <w:trPr>
          <w:trHeight w:val="24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74,289</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74,455</w:t>
            </w:r>
          </w:p>
        </w:tc>
      </w:tr>
      <w:tr>
        <w:trPr>
          <w:trHeight w:val="235"/>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4,636</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r>
      <w:tr>
        <w:trPr>
          <w:trHeight w:val="235"/>
        </w:trPr>
        <w:tc>
          <w:tcPr>
            <w:tcW w:w="764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shd w:val="clear" w:color="auto" w:fill="DBDBDB"/>
          </w:tcPr>
          <w:p>
            <w:pPr>
              <w:spacing w:after="0"/>
              <w:rPr>
                <w:sz w:val="20"/>
                <w:szCs w:val="20"/>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748,322</w:t>
            </w:r>
          </w:p>
        </w:tc>
        <w:tc>
          <w:tcPr>
            <w:tcW w:w="10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749,722</w:t>
            </w:r>
          </w:p>
        </w:tc>
      </w:tr>
      <w:tr>
        <w:trPr>
          <w:trHeight w:val="23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989,300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999,573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64"/>
        </w:trPr>
        <w:tc>
          <w:tcPr>
            <w:tcW w:w="7640" w:type="dxa"/>
            <w:vAlign w:val="bottom"/>
            <w:shd w:val="clear" w:color="auto" w:fill="DBDBDB"/>
          </w:tcPr>
          <w:p>
            <w:pPr>
              <w:spacing w:after="0"/>
              <w:rPr>
                <w:sz w:val="5"/>
                <w:szCs w:val="5"/>
                <w:color w:val="auto"/>
              </w:rPr>
            </w:pPr>
          </w:p>
        </w:tc>
        <w:tc>
          <w:tcPr>
            <w:tcW w:w="2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600" w:type="dxa"/>
            <w:vAlign w:val="bottom"/>
            <w:shd w:val="clear" w:color="auto" w:fill="DBDBDB"/>
          </w:tcPr>
          <w:p>
            <w:pPr>
              <w:spacing w:after="0"/>
              <w:rPr>
                <w:sz w:val="5"/>
                <w:szCs w:val="5"/>
                <w:color w:val="auto"/>
              </w:rPr>
            </w:pP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5"/>
        </w:trPr>
        <w:tc>
          <w:tcPr>
            <w:tcW w:w="7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22,170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27,249</w:t>
            </w:r>
          </w:p>
        </w:tc>
      </w:tr>
      <w:tr>
        <w:trPr>
          <w:trHeight w:val="24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Current deferred revenue</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6,893</w:t>
            </w:r>
          </w:p>
        </w:tc>
      </w:tr>
      <w:tr>
        <w:trPr>
          <w:trHeight w:val="243"/>
        </w:trPr>
        <w:tc>
          <w:tcPr>
            <w:tcW w:w="76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auto"/>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21,265</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29,472</w:t>
            </w:r>
          </w:p>
        </w:tc>
      </w:tr>
      <w:tr>
        <w:trPr>
          <w:trHeight w:val="234"/>
        </w:trPr>
        <w:tc>
          <w:tcPr>
            <w:tcW w:w="76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51,822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66,938</w:t>
            </w:r>
          </w:p>
        </w:tc>
      </w:tr>
      <w:tr>
        <w:trPr>
          <w:trHeight w:val="249"/>
        </w:trPr>
        <w:tc>
          <w:tcPr>
            <w:tcW w:w="7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315,619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315,829</w:t>
            </w:r>
          </w:p>
        </w:tc>
      </w:tr>
      <w:tr>
        <w:trPr>
          <w:trHeight w:val="24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rent</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33,324</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32,174</w:t>
            </w: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156,638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156,638</w:t>
            </w:r>
          </w:p>
        </w:tc>
      </w:tr>
      <w:tr>
        <w:trPr>
          <w:trHeight w:val="243"/>
        </w:trPr>
        <w:tc>
          <w:tcPr>
            <w:tcW w:w="76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4,156</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4,588</w:t>
            </w:r>
          </w:p>
        </w:tc>
      </w:tr>
      <w:tr>
        <w:trPr>
          <w:trHeight w:val="235"/>
        </w:trPr>
        <w:tc>
          <w:tcPr>
            <w:tcW w:w="76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long-term liabilities</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509,737</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509,229</w:t>
            </w:r>
          </w:p>
        </w:tc>
      </w:tr>
      <w:tr>
        <w:trPr>
          <w:trHeight w:val="242"/>
        </w:trPr>
        <w:tc>
          <w:tcPr>
            <w:tcW w:w="764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561,559</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576,167</w:t>
            </w:r>
          </w:p>
        </w:tc>
      </w:tr>
      <w:tr>
        <w:trPr>
          <w:trHeight w:val="34"/>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2"/>
        </w:trPr>
        <w:tc>
          <w:tcPr>
            <w:tcW w:w="7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 (NOTE 15)</w:t>
            </w:r>
          </w:p>
        </w:tc>
        <w:tc>
          <w:tcPr>
            <w:tcW w:w="2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Preferred stock, $0.01 par value per share, 10,000,000 shares authorized, — issued and outstanding</w:t>
            </w:r>
          </w:p>
        </w:tc>
        <w:tc>
          <w:tcPr>
            <w:tcW w:w="220" w:type="dxa"/>
            <w:vAlign w:val="bottom"/>
            <w:shd w:val="clear" w:color="auto" w:fill="DBDBDB"/>
          </w:tcPr>
          <w:p>
            <w:pPr>
              <w:spacing w:after="0"/>
              <w:rPr>
                <w:sz w:val="21"/>
                <w:szCs w:val="21"/>
                <w:color w:val="auto"/>
              </w:rPr>
            </w:pP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640" w:type="dxa"/>
            <w:vAlign w:val="bottom"/>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 35,807,171</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1"/>
        </w:trPr>
        <w:tc>
          <w:tcPr>
            <w:tcW w:w="7640" w:type="dxa"/>
            <w:vAlign w:val="bottom"/>
          </w:tcPr>
          <w:p>
            <w:pPr>
              <w:ind w:left="140"/>
              <w:spacing w:after="0"/>
              <w:rPr>
                <w:sz w:val="20"/>
                <w:szCs w:val="20"/>
                <w:color w:val="auto"/>
              </w:rPr>
            </w:pPr>
            <w:r>
              <w:rPr>
                <w:rFonts w:ascii="Arial" w:cs="Arial" w:eastAsia="Arial" w:hAnsi="Arial"/>
                <w:sz w:val="16"/>
                <w:szCs w:val="16"/>
                <w:color w:val="auto"/>
              </w:rPr>
              <w:t>shares issued and outstanding</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22"/>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 35,673,321</w:t>
            </w:r>
          </w:p>
        </w:tc>
        <w:tc>
          <w:tcPr>
            <w:tcW w:w="2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r>
      <w:tr>
        <w:trPr>
          <w:trHeight w:val="229"/>
        </w:trPr>
        <w:tc>
          <w:tcPr>
            <w:tcW w:w="7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shares issued and outstanding</w:t>
            </w:r>
          </w:p>
        </w:tc>
        <w:tc>
          <w:tcPr>
            <w:tcW w:w="22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188,752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186,856</w:t>
            </w:r>
          </w:p>
        </w:tc>
      </w:tr>
      <w:tr>
        <w:trPr>
          <w:trHeight w:val="243"/>
        </w:trPr>
        <w:tc>
          <w:tcPr>
            <w:tcW w:w="76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(15,756)</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(15,950)</w:t>
            </w:r>
          </w:p>
        </w:tc>
      </w:tr>
      <w:tr>
        <w:trPr>
          <w:trHeight w:val="234"/>
        </w:trPr>
        <w:tc>
          <w:tcPr>
            <w:tcW w:w="7640" w:type="dxa"/>
            <w:vAlign w:val="bottom"/>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173,354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171,264</w:t>
            </w:r>
          </w:p>
        </w:tc>
      </w:tr>
      <w:tr>
        <w:trPr>
          <w:trHeight w:val="243"/>
        </w:trPr>
        <w:tc>
          <w:tcPr>
            <w:tcW w:w="76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auto"/>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254,387</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252,142</w:t>
            </w:r>
          </w:p>
        </w:tc>
      </w:tr>
      <w:tr>
        <w:trPr>
          <w:trHeight w:val="235"/>
        </w:trPr>
        <w:tc>
          <w:tcPr>
            <w:tcW w:w="76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427,741</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423,406</w:t>
            </w:r>
          </w:p>
        </w:tc>
      </w:tr>
      <w:tr>
        <w:trPr>
          <w:trHeight w:val="263"/>
        </w:trPr>
        <w:tc>
          <w:tcPr>
            <w:tcW w:w="7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989,300</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999,573</w:t>
            </w:r>
          </w:p>
        </w:tc>
      </w:tr>
      <w:tr>
        <w:trPr>
          <w:trHeight w:val="20"/>
        </w:trPr>
        <w:tc>
          <w:tcPr>
            <w:tcW w:w="76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8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27, 2022</w:t>
            </w:r>
          </w:p>
        </w:tc>
        <w:tc>
          <w:tcPr>
            <w:tcW w:w="140" w:type="dxa"/>
            <w:vAlign w:val="bottom"/>
          </w:tcPr>
          <w:p>
            <w:pPr>
              <w:spacing w:after="0"/>
              <w:rPr>
                <w:sz w:val="21"/>
                <w:szCs w:val="21"/>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28, 2021</w:t>
            </w:r>
          </w:p>
        </w:tc>
      </w:tr>
      <w:tr>
        <w:trPr>
          <w:trHeight w:val="252"/>
        </w:trPr>
        <w:tc>
          <w:tcPr>
            <w:tcW w:w="8260" w:type="dxa"/>
            <w:vAlign w:val="bottom"/>
            <w:tcBorders>
              <w:top w:val="single" w:sz="8" w:color="DBDBDB"/>
            </w:tcBorders>
            <w:shd w:val="clear" w:color="auto" w:fill="DBDBDB"/>
          </w:tcPr>
          <w:p>
            <w:pPr>
              <w:spacing w:after="0"/>
              <w:rPr>
                <w:sz w:val="21"/>
                <w:szCs w:val="21"/>
                <w:color w:val="auto"/>
              </w:rPr>
            </w:pPr>
          </w:p>
        </w:tc>
        <w:tc>
          <w:tcPr>
            <w:tcW w:w="120" w:type="dxa"/>
            <w:vAlign w:val="bottom"/>
            <w:tcBorders>
              <w:top w:val="single" w:sz="8" w:color="auto"/>
            </w:tcBorders>
            <w:shd w:val="clear" w:color="auto" w:fill="DBDBDB"/>
          </w:tcPr>
          <w:p>
            <w:pPr>
              <w:spacing w:after="0"/>
              <w:rPr>
                <w:sz w:val="21"/>
                <w:szCs w:val="21"/>
                <w:color w:val="auto"/>
              </w:rPr>
            </w:pPr>
          </w:p>
        </w:tc>
        <w:tc>
          <w:tcPr>
            <w:tcW w:w="1320" w:type="dxa"/>
            <w:vAlign w:val="bottom"/>
            <w:tcBorders>
              <w:top w:val="single" w:sz="8" w:color="auto"/>
            </w:tcBorders>
            <w:shd w:val="clear" w:color="auto" w:fill="DBDBDB"/>
          </w:tcPr>
          <w:p>
            <w:pPr>
              <w:spacing w:after="0"/>
              <w:rPr>
                <w:sz w:val="21"/>
                <w:szCs w:val="21"/>
                <w:color w:val="auto"/>
              </w:rPr>
            </w:pPr>
          </w:p>
        </w:tc>
        <w:tc>
          <w:tcPr>
            <w:tcW w:w="100" w:type="dxa"/>
            <w:vAlign w:val="bottom"/>
            <w:tcBorders>
              <w:top w:val="single" w:sz="8" w:color="DBDBDB"/>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1300" w:type="dxa"/>
            <w:vAlign w:val="bottom"/>
            <w:tcBorders>
              <w:top w:val="single" w:sz="8" w:color="auto"/>
            </w:tcBorders>
            <w:shd w:val="clear" w:color="auto" w:fill="DBDBDB"/>
          </w:tcPr>
          <w:p>
            <w:pPr>
              <w:spacing w:after="0"/>
              <w:rPr>
                <w:sz w:val="21"/>
                <w:szCs w:val="21"/>
                <w:color w:val="auto"/>
              </w:rPr>
            </w:pPr>
          </w:p>
        </w:tc>
      </w:tr>
      <w:tr>
        <w:trPr>
          <w:trHeight w:val="238"/>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REVENUES, NET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134,482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117,307</w:t>
            </w:r>
          </w:p>
        </w:tc>
      </w:tr>
      <w:tr>
        <w:trPr>
          <w:trHeight w:val="272"/>
        </w:trPr>
        <w:tc>
          <w:tcPr>
            <w:tcW w:w="82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3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300" w:type="dxa"/>
            <w:vAlign w:val="bottom"/>
            <w:shd w:val="clear" w:color="auto" w:fill="DBDBDB"/>
          </w:tcPr>
          <w:p>
            <w:pPr>
              <w:spacing w:after="0"/>
              <w:rPr>
                <w:sz w:val="23"/>
                <w:szCs w:val="23"/>
                <w:color w:val="auto"/>
              </w:rPr>
            </w:pPr>
          </w:p>
        </w:tc>
      </w:tr>
    </w:tbl>
    <w:p>
      <w:pPr>
        <w:spacing w:after="0" w:line="1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COST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32955" cy="15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Restaurant operating expenses: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20" w:type="dxa"/>
            <w:vAlign w:val="bottom"/>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2580" w:type="dxa"/>
            <w:vAlign w:val="bottom"/>
          </w:tcPr>
          <w:p>
            <w:pPr>
              <w:jc w:val="right"/>
              <w:spacing w:after="0"/>
              <w:rPr>
                <w:sz w:val="20"/>
                <w:szCs w:val="20"/>
                <w:color w:val="auto"/>
              </w:rPr>
            </w:pPr>
            <w:r>
              <w:rPr>
                <w:rFonts w:ascii="Arial" w:cs="Arial" w:eastAsia="Arial" w:hAnsi="Arial"/>
                <w:sz w:val="16"/>
                <w:szCs w:val="16"/>
                <w:color w:val="auto"/>
              </w:rPr>
              <w:t>46,266</w:t>
            </w:r>
          </w:p>
        </w:tc>
      </w:tr>
      <w:tr>
        <w:trPr>
          <w:trHeight w:val="242"/>
        </w:trPr>
        <w:tc>
          <w:tcPr>
            <w:tcW w:w="7120" w:type="dxa"/>
            <w:vAlign w:val="bottom"/>
          </w:tcPr>
          <w:p>
            <w:pPr>
              <w:ind w:left="220"/>
              <w:spacing w:after="0"/>
              <w:rPr>
                <w:sz w:val="20"/>
                <w:szCs w:val="20"/>
                <w:color w:val="auto"/>
              </w:rPr>
            </w:pPr>
            <w:r>
              <w:rPr>
                <w:rFonts w:ascii="Arial" w:cs="Arial" w:eastAsia="Arial" w:hAnsi="Arial"/>
                <w:sz w:val="16"/>
                <w:szCs w:val="16"/>
                <w:color w:val="auto"/>
              </w:rPr>
              <w:t>Labor</w:t>
            </w:r>
          </w:p>
        </w:tc>
        <w:tc>
          <w:tcPr>
            <w:tcW w:w="2580" w:type="dxa"/>
            <w:vAlign w:val="bottom"/>
          </w:tcPr>
          <w:p>
            <w:pPr>
              <w:jc w:val="right"/>
              <w:spacing w:after="0"/>
              <w:rPr>
                <w:sz w:val="20"/>
                <w:szCs w:val="20"/>
                <w:color w:val="auto"/>
              </w:rPr>
            </w:pPr>
            <w:r>
              <w:rPr>
                <w:rFonts w:ascii="Arial" w:cs="Arial" w:eastAsia="Arial" w:hAnsi="Arial"/>
                <w:sz w:val="16"/>
                <w:szCs w:val="16"/>
                <w:color w:val="auto"/>
              </w:rPr>
              <w:t>37,313</w:t>
            </w:r>
          </w:p>
        </w:tc>
      </w:tr>
      <w:tr>
        <w:trPr>
          <w:trHeight w:val="242"/>
        </w:trPr>
        <w:tc>
          <w:tcPr>
            <w:tcW w:w="7120" w:type="dxa"/>
            <w:vAlign w:val="bottom"/>
          </w:tcPr>
          <w:p>
            <w:pPr>
              <w:ind w:left="220"/>
              <w:spacing w:after="0"/>
              <w:rPr>
                <w:sz w:val="20"/>
                <w:szCs w:val="20"/>
                <w:color w:val="auto"/>
              </w:rPr>
            </w:pPr>
            <w:r>
              <w:rPr>
                <w:rFonts w:ascii="Arial" w:cs="Arial" w:eastAsia="Arial" w:hAnsi="Arial"/>
                <w:sz w:val="16"/>
                <w:szCs w:val="16"/>
                <w:color w:val="auto"/>
              </w:rPr>
              <w:t>Occupancy</w:t>
            </w:r>
          </w:p>
        </w:tc>
        <w:tc>
          <w:tcPr>
            <w:tcW w:w="2580" w:type="dxa"/>
            <w:vAlign w:val="bottom"/>
          </w:tcPr>
          <w:p>
            <w:pPr>
              <w:jc w:val="right"/>
              <w:spacing w:after="0"/>
              <w:rPr>
                <w:sz w:val="20"/>
                <w:szCs w:val="20"/>
                <w:color w:val="auto"/>
              </w:rPr>
            </w:pPr>
            <w:r>
              <w:rPr>
                <w:rFonts w:ascii="Arial" w:cs="Arial" w:eastAsia="Arial" w:hAnsi="Arial"/>
                <w:sz w:val="16"/>
                <w:szCs w:val="16"/>
                <w:color w:val="auto"/>
              </w:rPr>
              <w:t>7,755</w:t>
            </w:r>
          </w:p>
        </w:tc>
      </w:tr>
      <w:tr>
        <w:trPr>
          <w:trHeight w:val="250"/>
        </w:trPr>
        <w:tc>
          <w:tcPr>
            <w:tcW w:w="7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15,165</w:t>
            </w:r>
          </w:p>
        </w:tc>
      </w:tr>
      <w:tr>
        <w:trPr>
          <w:trHeight w:val="234"/>
        </w:trPr>
        <w:tc>
          <w:tcPr>
            <w:tcW w:w="7120" w:type="dxa"/>
            <w:vAlign w:val="bottom"/>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2580" w:type="dxa"/>
            <w:vAlign w:val="bottom"/>
          </w:tcPr>
          <w:p>
            <w:pPr>
              <w:jc w:val="right"/>
              <w:spacing w:after="0"/>
              <w:rPr>
                <w:sz w:val="20"/>
                <w:szCs w:val="20"/>
                <w:color w:val="auto"/>
              </w:rPr>
            </w:pPr>
            <w:r>
              <w:rPr>
                <w:rFonts w:ascii="Arial" w:cs="Arial" w:eastAsia="Arial" w:hAnsi="Arial"/>
                <w:sz w:val="16"/>
                <w:szCs w:val="16"/>
                <w:color w:val="auto"/>
              </w:rPr>
              <w:t>106,499</w:t>
            </w:r>
          </w:p>
        </w:tc>
      </w:tr>
      <w:tr>
        <w:trPr>
          <w:trHeight w:val="381"/>
        </w:trPr>
        <w:tc>
          <w:tcPr>
            <w:tcW w:w="712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2580" w:type="dxa"/>
            <w:vAlign w:val="bottom"/>
          </w:tcPr>
          <w:p>
            <w:pPr>
              <w:jc w:val="right"/>
              <w:spacing w:after="0"/>
              <w:rPr>
                <w:sz w:val="20"/>
                <w:szCs w:val="20"/>
                <w:color w:val="auto"/>
              </w:rPr>
            </w:pPr>
            <w:r>
              <w:rPr>
                <w:rFonts w:ascii="Arial" w:cs="Arial" w:eastAsia="Arial" w:hAnsi="Arial"/>
                <w:sz w:val="16"/>
                <w:szCs w:val="16"/>
                <w:color w:val="auto"/>
              </w:rPr>
              <w:t>15,687</w:t>
            </w:r>
          </w:p>
        </w:tc>
      </w:tr>
      <w:tr>
        <w:trPr>
          <w:trHeight w:val="242"/>
        </w:trPr>
        <w:tc>
          <w:tcPr>
            <w:tcW w:w="7120" w:type="dxa"/>
            <w:vAlign w:val="bottom"/>
          </w:tcPr>
          <w:p>
            <w:pPr>
              <w:ind w:left="220"/>
              <w:spacing w:after="0"/>
              <w:rPr>
                <w:sz w:val="20"/>
                <w:szCs w:val="20"/>
                <w:color w:val="auto"/>
              </w:rPr>
            </w:pPr>
            <w:r>
              <w:rPr>
                <w:rFonts w:ascii="Arial" w:cs="Arial" w:eastAsia="Arial" w:hAnsi="Arial"/>
                <w:sz w:val="16"/>
                <w:szCs w:val="16"/>
                <w:color w:val="auto"/>
              </w:rPr>
              <w:t>Pre-opening expenses</w:t>
            </w:r>
          </w:p>
        </w:tc>
        <w:tc>
          <w:tcPr>
            <w:tcW w:w="258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42"/>
        </w:trPr>
        <w:tc>
          <w:tcPr>
            <w:tcW w:w="71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580" w:type="dxa"/>
            <w:vAlign w:val="bottom"/>
          </w:tcPr>
          <w:p>
            <w:pPr>
              <w:jc w:val="right"/>
              <w:spacing w:after="0"/>
              <w:rPr>
                <w:sz w:val="20"/>
                <w:szCs w:val="20"/>
                <w:color w:val="auto"/>
              </w:rPr>
            </w:pPr>
            <w:r>
              <w:rPr>
                <w:rFonts w:ascii="Arial" w:cs="Arial" w:eastAsia="Arial" w:hAnsi="Arial"/>
                <w:sz w:val="16"/>
                <w:szCs w:val="16"/>
                <w:color w:val="auto"/>
              </w:rPr>
              <w:t>5,205</w:t>
            </w:r>
          </w:p>
        </w:tc>
      </w:tr>
      <w:tr>
        <w:trPr>
          <w:trHeight w:val="242"/>
        </w:trPr>
        <w:tc>
          <w:tcPr>
            <w:tcW w:w="7120" w:type="dxa"/>
            <w:vAlign w:val="bottom"/>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25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50"/>
        </w:trPr>
        <w:tc>
          <w:tcPr>
            <w:tcW w:w="7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net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3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580" w:type="dxa"/>
            <w:vAlign w:val="bottom"/>
          </w:tcPr>
          <w:p>
            <w:pPr>
              <w:jc w:val="right"/>
              <w:spacing w:after="0"/>
              <w:rPr>
                <w:sz w:val="20"/>
                <w:szCs w:val="20"/>
                <w:color w:val="auto"/>
              </w:rPr>
            </w:pPr>
            <w:r>
              <w:rPr>
                <w:rFonts w:ascii="Arial" w:cs="Arial" w:eastAsia="Arial" w:hAnsi="Arial"/>
                <w:sz w:val="16"/>
                <w:szCs w:val="16"/>
                <w:color w:val="auto"/>
              </w:rPr>
              <w:t>6,814</w:t>
            </w:r>
          </w:p>
        </w:tc>
      </w:tr>
      <w:tr>
        <w:trPr>
          <w:trHeight w:val="242"/>
        </w:trPr>
        <w:tc>
          <w:tcPr>
            <w:tcW w:w="7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expense</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6,099</w:t>
            </w:r>
          </w:p>
        </w:tc>
      </w:tr>
      <w:tr>
        <w:trPr>
          <w:trHeight w:val="23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58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42"/>
        </w:trPr>
        <w:tc>
          <w:tcPr>
            <w:tcW w:w="7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tax expense</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3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58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42"/>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UNIT HOLDERS</w:t>
            </w:r>
          </w:p>
        </w:tc>
        <w:tc>
          <w:tcPr>
            <w:tcW w:w="258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42"/>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238"/>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(LOSS) ATTRIBUTABLE TO PORTILLO'S INC.</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4"/>
        </w:trPr>
        <w:tc>
          <w:tcPr>
            <w:tcW w:w="7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-2939415</wp:posOffset>
            </wp:positionV>
            <wp:extent cx="7132955" cy="153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-2632710</wp:posOffset>
            </wp:positionV>
            <wp:extent cx="7132955" cy="15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-2317115</wp:posOffset>
            </wp:positionV>
            <wp:extent cx="7132955"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-2070100</wp:posOffset>
            </wp:positionV>
            <wp:extent cx="7132955" cy="15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-1763395</wp:posOffset>
            </wp:positionV>
            <wp:extent cx="7132955" cy="15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7132955" cy="153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-195580</wp:posOffset>
            </wp:positionV>
            <wp:extent cx="7132955" cy="179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90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-510540</wp:posOffset>
            </wp:positionV>
            <wp:extent cx="7132955" cy="16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-826135</wp:posOffset>
            </wp:positionV>
            <wp:extent cx="7132955" cy="16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-1141095</wp:posOffset>
            </wp:positionV>
            <wp:extent cx="7132955" cy="161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-1456690</wp:posOffset>
            </wp:positionV>
            <wp:extent cx="7132955" cy="16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35,024</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31,030</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6,784</w:t>
      </w:r>
    </w:p>
    <w:p>
      <w:pPr>
        <w:spacing w:after="0" w:line="58"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14,708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35560</wp:posOffset>
            </wp:positionV>
            <wp:extent cx="911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87,546</w:t>
      </w:r>
    </w:p>
    <w:p>
      <w:pPr>
        <w:spacing w:after="0" w:line="205"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11,835</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1,289</w:t>
      </w:r>
    </w:p>
    <w:p>
      <w:pPr>
        <w:spacing w:after="0" w:line="5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6,289</w:t>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(64)</w:t>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(441)</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10,853</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10,729</w:t>
      </w:r>
    </w:p>
    <w:p>
      <w:pPr>
        <w:spacing w:after="0" w:line="71"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124</w:t>
      </w:r>
    </w:p>
    <w:p>
      <w:pPr>
        <w:spacing w:after="0" w:line="5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w:t>
      </w:r>
    </w:p>
    <w:p>
      <w:pPr>
        <w:spacing w:after="0" w:line="71"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124</w:t>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(5,515)</w:t>
      </w:r>
    </w:p>
    <w:p>
      <w:pPr>
        <w:spacing w:after="0" w:line="7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(5,391)</w:t>
      </w:r>
    </w:p>
    <w:p>
      <w:pPr>
        <w:spacing w:after="0" w:line="5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(5,391)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53975</wp:posOffset>
            </wp:positionV>
            <wp:extent cx="911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9960" w:space="720"/>
            <w:col w:w="560"/>
          </w:cols>
          <w:pgMar w:left="320" w:top="121" w:right="33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per common share attributable to Portillo's Inc.: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0"/>
        </w:trPr>
        <w:tc>
          <w:tcPr>
            <w:tcW w:w="8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82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r>
        <w:trPr>
          <w:trHeight w:val="202"/>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2"/>
        </w:trPr>
        <w:tc>
          <w:tcPr>
            <w:tcW w:w="8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r>
      <w:tr>
        <w:trPr>
          <w:trHeight w:val="242"/>
        </w:trPr>
        <w:tc>
          <w:tcPr>
            <w:tcW w:w="826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35,807,171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51,192,285</w:t>
            </w:r>
          </w:p>
        </w:tc>
      </w:tr>
      <w:tr>
        <w:trPr>
          <w:trHeight w:val="20"/>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0"/>
        </w:trPr>
        <w:tc>
          <w:tcPr>
            <w:tcW w:w="8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DBDBDB"/>
          </w:tcPr>
          <w:p>
            <w:pPr>
              <w:spacing w:after="0"/>
              <w:rPr>
                <w:sz w:val="22"/>
                <w:szCs w:val="2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39,944,086</w:t>
            </w:r>
          </w:p>
        </w:tc>
        <w:tc>
          <w:tcPr>
            <w:tcW w:w="10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51,192,285</w:t>
            </w:r>
          </w:p>
        </w:tc>
      </w:tr>
      <w:tr>
        <w:trPr>
          <w:trHeight w:val="20"/>
        </w:trPr>
        <w:tc>
          <w:tcPr>
            <w:tcW w:w="82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ind w:right="3440"/>
        <w:spacing w:after="0" w:line="250" w:lineRule="auto"/>
        <w:rPr>
          <w:sz w:val="20"/>
          <w:szCs w:val="20"/>
          <w:color w:val="auto"/>
        </w:rPr>
      </w:pPr>
      <w:r>
        <w:rPr>
          <w:rFonts w:ascii="Arial" w:cs="Arial" w:eastAsia="Arial" w:hAnsi="Arial"/>
          <w:sz w:val="18"/>
          <w:szCs w:val="18"/>
          <w:b w:val="1"/>
          <w:bCs w:val="1"/>
          <w:color w:val="auto"/>
        </w:rPr>
        <w:t>CONDENSED CONSOLIDATED STATEMENTS OF STOCKHOLDERS' AND MEMBERS' EQUITY (UNAUDITED)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40" w:type="dxa"/>
            <w:vAlign w:val="bottom"/>
            <w:gridSpan w:val="23"/>
          </w:tcPr>
          <w:p>
            <w:pPr>
              <w:ind w:left="80"/>
              <w:spacing w:after="0"/>
              <w:rPr>
                <w:sz w:val="20"/>
                <w:szCs w:val="20"/>
                <w:color w:val="auto"/>
              </w:rPr>
            </w:pPr>
            <w:r>
              <w:rPr>
                <w:rFonts w:ascii="Arial" w:cs="Arial" w:eastAsia="Arial" w:hAnsi="Arial"/>
                <w:sz w:val="16"/>
                <w:szCs w:val="16"/>
                <w:b w:val="1"/>
                <w:bCs w:val="1"/>
                <w:color w:val="auto"/>
              </w:rPr>
              <w:t>Quarter Ended March 27, 2022 and March 28, 2021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5"/>
            <w:vMerge w:val="restart"/>
          </w:tcPr>
          <w:p>
            <w:pPr>
              <w:jc w:val="right"/>
              <w:ind w:right="180"/>
              <w:spacing w:after="0"/>
              <w:rPr>
                <w:sz w:val="20"/>
                <w:szCs w:val="20"/>
                <w:color w:val="auto"/>
              </w:rPr>
            </w:pPr>
            <w:r>
              <w:rPr>
                <w:rFonts w:ascii="Arial" w:cs="Arial" w:eastAsia="Arial" w:hAnsi="Arial"/>
                <w:sz w:val="16"/>
                <w:szCs w:val="16"/>
                <w:b w:val="1"/>
                <w:bCs w:val="1"/>
                <w:color w:val="auto"/>
                <w:w w:val="98"/>
              </w:rPr>
              <w:t>Preferred Units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top w:val="single" w:sz="8" w:color="auto"/>
            </w:tcBorders>
            <w:gridSpan w:val="9"/>
            <w:vMerge w:val="restart"/>
          </w:tcPr>
          <w:p>
            <w:pPr>
              <w:ind w:left="160"/>
              <w:spacing w:after="0"/>
              <w:rPr>
                <w:sz w:val="20"/>
                <w:szCs w:val="20"/>
                <w:color w:val="auto"/>
              </w:rPr>
            </w:pPr>
            <w:r>
              <w:rPr>
                <w:rFonts w:ascii="Arial" w:cs="Arial" w:eastAsia="Arial" w:hAnsi="Arial"/>
                <w:sz w:val="16"/>
                <w:szCs w:val="16"/>
                <w:b w:val="1"/>
                <w:bCs w:val="1"/>
                <w:color w:val="auto"/>
              </w:rPr>
              <w:t>Class A Common</w:t>
            </w:r>
          </w:p>
        </w:tc>
        <w:tc>
          <w:tcPr>
            <w:tcW w:w="16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gridSpan w:val="8"/>
            <w:vMerge w:val="restart"/>
          </w:tcPr>
          <w:p>
            <w:pPr>
              <w:spacing w:after="0"/>
              <w:rPr>
                <w:sz w:val="20"/>
                <w:szCs w:val="20"/>
                <w:color w:val="auto"/>
              </w:rPr>
            </w:pPr>
            <w:r>
              <w:rPr>
                <w:rFonts w:ascii="Arial" w:cs="Arial" w:eastAsia="Arial" w:hAnsi="Arial"/>
                <w:sz w:val="16"/>
                <w:szCs w:val="16"/>
                <w:b w:val="1"/>
                <w:bCs w:val="1"/>
                <w:color w:val="auto"/>
              </w:rPr>
              <w:t>Class B Common</w:t>
            </w: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9"/>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6"/>
                <w:szCs w:val="16"/>
                <w:b w:val="1"/>
                <w:bCs w:val="1"/>
                <w:color w:val="auto"/>
              </w:rPr>
              <w:t>Stock</w:t>
            </w: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top w:val="single" w:sz="8" w:color="auto"/>
            </w:tcBorders>
            <w:gridSpan w:val="5"/>
          </w:tcPr>
          <w:p>
            <w:pPr>
              <w:ind w:left="440"/>
              <w:spacing w:after="0" w:line="155" w:lineRule="exact"/>
              <w:rPr>
                <w:sz w:val="20"/>
                <w:szCs w:val="20"/>
                <w:color w:val="auto"/>
              </w:rPr>
            </w:pPr>
            <w:r>
              <w:rPr>
                <w:rFonts w:ascii="Arial" w:cs="Arial" w:eastAsia="Arial" w:hAnsi="Arial"/>
                <w:sz w:val="16"/>
                <w:szCs w:val="16"/>
                <w:b w:val="1"/>
                <w:bCs w:val="1"/>
                <w:color w:val="auto"/>
              </w:rPr>
              <w:t>Stock</w:t>
            </w:r>
          </w:p>
        </w:tc>
        <w:tc>
          <w:tcPr>
            <w:tcW w:w="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Member's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64"/>
        </w:trPr>
        <w:tc>
          <w:tcPr>
            <w:tcW w:w="1180" w:type="dxa"/>
            <w:vAlign w:val="bottom"/>
            <w:tcBorders>
              <w:bottom w:val="single" w:sz="8" w:color="auto"/>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7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Units</w:t>
            </w: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Amounts</w:t>
            </w:r>
          </w:p>
        </w:tc>
        <w:tc>
          <w:tcPr>
            <w:tcW w:w="80" w:type="dxa"/>
            <w:vAlign w:val="bottom"/>
            <w:tcBorders>
              <w:bottom w:val="single" w:sz="8" w:color="auto"/>
            </w:tcBorders>
            <w:shd w:val="clear" w:color="auto" w:fill="000000"/>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Equity</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78"/>
        </w:trPr>
        <w:tc>
          <w:tcPr>
            <w:tcW w:w="1260" w:type="dxa"/>
            <w:vAlign w:val="bottom"/>
            <w:tcBorders>
              <w:top w:val="single" w:sz="8" w:color="DBDBDB"/>
            </w:tcBorders>
            <w:gridSpan w:val="2"/>
            <w:shd w:val="clear" w:color="auto" w:fill="DBDBDB"/>
          </w:tcPr>
          <w:p>
            <w:pPr>
              <w:ind w:left="20"/>
              <w:spacing w:after="0" w:line="178" w:lineRule="exact"/>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shd w:val="clear" w:color="auto" w:fill="DBDBDB"/>
          </w:tcPr>
          <w:p>
            <w:pPr>
              <w:spacing w:after="0"/>
              <w:rPr>
                <w:sz w:val="15"/>
                <w:szCs w:val="15"/>
                <w:color w:val="auto"/>
              </w:rPr>
            </w:pPr>
          </w:p>
        </w:tc>
        <w:tc>
          <w:tcPr>
            <w:tcW w:w="4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480" w:type="dxa"/>
            <w:vAlign w:val="bottom"/>
            <w:tcBorders>
              <w:top w:val="single" w:sz="8" w:color="auto"/>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6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440" w:type="dxa"/>
            <w:vAlign w:val="bottom"/>
            <w:tcBorders>
              <w:top w:val="single" w:sz="8" w:color="auto"/>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60" w:type="dxa"/>
            <w:vAlign w:val="bottom"/>
            <w:tcBorders>
              <w:top w:val="single" w:sz="8" w:color="auto"/>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44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4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8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76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DBDBDB"/>
            </w:tcBorders>
            <w:shd w:val="clear" w:color="auto" w:fill="DBDBDB"/>
          </w:tcPr>
          <w:p>
            <w:pPr>
              <w:spacing w:after="0"/>
              <w:rPr>
                <w:sz w:val="15"/>
                <w:szCs w:val="15"/>
                <w:color w:val="auto"/>
              </w:rPr>
            </w:pPr>
          </w:p>
        </w:tc>
        <w:tc>
          <w:tcPr>
            <w:tcW w:w="880" w:type="dxa"/>
            <w:vAlign w:val="bottom"/>
            <w:tcBorders>
              <w:top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27,</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2020</w:t>
            </w:r>
          </w:p>
        </w:tc>
        <w:tc>
          <w:tcPr>
            <w:tcW w:w="8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200,571</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140,709</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DBDBDB"/>
          </w:tcPr>
          <w:p>
            <w:pPr>
              <w:spacing w:after="0"/>
              <w:rPr>
                <w:sz w:val="19"/>
                <w:szCs w:val="19"/>
                <w:color w:val="auto"/>
              </w:rPr>
            </w:pPr>
          </w:p>
        </w:tc>
        <w:tc>
          <w:tcPr>
            <w:tcW w:w="5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140,709</w:t>
            </w: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5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Repayment of</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Redeemable</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preferred</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accretion</w:t>
            </w:r>
          </w:p>
        </w:tc>
        <w:tc>
          <w:tcPr>
            <w:tcW w:w="180" w:type="dxa"/>
            <w:vAlign w:val="bottom"/>
            <w:shd w:val="clear" w:color="auto" w:fill="DBDBDB"/>
          </w:tcPr>
          <w:p>
            <w:pPr>
              <w:spacing w:after="0"/>
              <w:rPr>
                <w:sz w:val="20"/>
                <w:szCs w:val="20"/>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5,515</w:t>
            </w:r>
          </w:p>
        </w:tc>
        <w:tc>
          <w:tcPr>
            <w:tcW w:w="80" w:type="dxa"/>
            <w:vAlign w:val="bottom"/>
            <w:shd w:val="clear" w:color="auto" w:fill="000000"/>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(5,515)</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5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(5,515)</w:t>
            </w:r>
          </w:p>
        </w:tc>
        <w:tc>
          <w:tcPr>
            <w:tcW w:w="0" w:type="dxa"/>
            <w:vAlign w:val="bottom"/>
          </w:tcPr>
          <w:p>
            <w:pPr>
              <w:spacing w:after="0"/>
              <w:rPr>
                <w:sz w:val="1"/>
                <w:szCs w:val="1"/>
                <w:color w:val="auto"/>
              </w:rPr>
            </w:pPr>
          </w:p>
        </w:tc>
      </w:tr>
      <w:tr>
        <w:trPr>
          <w:trHeight w:val="201"/>
        </w:trPr>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28,</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206,086</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135,673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135,673</w:t>
            </w:r>
          </w:p>
        </w:tc>
        <w:tc>
          <w:tcPr>
            <w:tcW w:w="0" w:type="dxa"/>
            <w:vAlign w:val="bottom"/>
          </w:tcPr>
          <w:p>
            <w:pPr>
              <w:spacing w:after="0"/>
              <w:rPr>
                <w:sz w:val="1"/>
                <w:szCs w:val="1"/>
                <w:color w:val="auto"/>
              </w:rPr>
            </w:pPr>
          </w:p>
        </w:tc>
      </w:tr>
      <w:tr>
        <w:trPr>
          <w:trHeight w:val="239"/>
        </w:trPr>
        <w:tc>
          <w:tcPr>
            <w:tcW w:w="11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auto"/>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spacing w:after="0"/>
              <w:rPr>
                <w:sz w:val="20"/>
                <w:szCs w:val="20"/>
                <w:color w:val="auto"/>
              </w:rPr>
            </w:pPr>
          </w:p>
        </w:tc>
        <w:tc>
          <w:tcPr>
            <w:tcW w:w="4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spacing w:after="0"/>
              <w:rPr>
                <w:sz w:val="20"/>
                <w:szCs w:val="20"/>
                <w:color w:val="auto"/>
              </w:rPr>
            </w:pPr>
          </w:p>
        </w:tc>
        <w:tc>
          <w:tcPr>
            <w:tcW w:w="480" w:type="dxa"/>
            <w:vAlign w:val="bottom"/>
            <w:tcBorders>
              <w:top w:val="single" w:sz="8" w:color="auto"/>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6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60" w:type="dxa"/>
            <w:vAlign w:val="bottom"/>
            <w:tcBorders>
              <w:top w:val="single" w:sz="8" w:color="auto"/>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80" w:type="dxa"/>
            <w:vAlign w:val="bottom"/>
            <w:tcBorders>
              <w:top w:val="single" w:sz="8" w:color="auto"/>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spacing w:after="0"/>
              <w:rPr>
                <w:sz w:val="20"/>
                <w:szCs w:val="20"/>
                <w:color w:val="auto"/>
              </w:rPr>
            </w:pPr>
          </w:p>
        </w:tc>
        <w:tc>
          <w:tcPr>
            <w:tcW w:w="240" w:type="dxa"/>
            <w:vAlign w:val="bottom"/>
            <w:tcBorders>
              <w:top w:val="single" w:sz="8" w:color="auto"/>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76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26,</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186,856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252,142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423,406</w:t>
            </w:r>
          </w:p>
        </w:tc>
        <w:tc>
          <w:tcPr>
            <w:tcW w:w="0" w:type="dxa"/>
            <w:vAlign w:val="bottom"/>
          </w:tcPr>
          <w:p>
            <w:pPr>
              <w:spacing w:after="0"/>
              <w:rPr>
                <w:sz w:val="1"/>
                <w:szCs w:val="1"/>
                <w:color w:val="auto"/>
              </w:rPr>
            </w:pPr>
          </w:p>
        </w:tc>
      </w:tr>
      <w:tr>
        <w:trPr>
          <w:trHeight w:val="245"/>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5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1,896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3,785</w:t>
            </w:r>
          </w:p>
        </w:tc>
        <w:tc>
          <w:tcPr>
            <w:tcW w:w="0" w:type="dxa"/>
            <w:vAlign w:val="bottom"/>
          </w:tcPr>
          <w:p>
            <w:pPr>
              <w:spacing w:after="0"/>
              <w:rPr>
                <w:sz w:val="1"/>
                <w:szCs w:val="1"/>
                <w:color w:val="auto"/>
              </w:rPr>
            </w:pPr>
          </w:p>
        </w:tc>
      </w:tr>
      <w:tr>
        <w:trPr>
          <w:trHeight w:val="201"/>
        </w:trPr>
        <w:tc>
          <w:tcPr>
            <w:tcW w:w="126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shd w:val="clear" w:color="auto" w:fill="DBDBDB"/>
          </w:tcPr>
          <w:p>
            <w:pPr>
              <w:spacing w:after="0"/>
              <w:rPr>
                <w:sz w:val="17"/>
                <w:szCs w:val="17"/>
                <w:color w:val="auto"/>
              </w:rPr>
            </w:pPr>
          </w:p>
        </w:tc>
        <w:tc>
          <w:tcPr>
            <w:tcW w:w="4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480" w:type="dxa"/>
            <w:vAlign w:val="bottom"/>
            <w:tcBorders>
              <w:top w:val="single" w:sz="8" w:color="auto"/>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6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440" w:type="dxa"/>
            <w:vAlign w:val="bottom"/>
            <w:tcBorders>
              <w:top w:val="single" w:sz="8" w:color="auto"/>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60" w:type="dxa"/>
            <w:vAlign w:val="bottom"/>
            <w:tcBorders>
              <w:top w:val="single" w:sz="8" w:color="auto"/>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440" w:type="dxa"/>
            <w:vAlign w:val="bottom"/>
            <w:tcBorders>
              <w:top w:val="single" w:sz="8" w:color="auto"/>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auto"/>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4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8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7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spacing w:after="0"/>
              <w:rPr>
                <w:sz w:val="17"/>
                <w:szCs w:val="17"/>
                <w:color w:val="auto"/>
              </w:rPr>
            </w:pPr>
          </w:p>
        </w:tc>
        <w:tc>
          <w:tcPr>
            <w:tcW w:w="88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March 27,</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2022</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shd w:val="clear" w:color="auto" w:fill="DBDBDB"/>
          </w:tcPr>
          <w:p>
            <w:pPr>
              <w:spacing w:after="0"/>
              <w:rPr>
                <w:sz w:val="21"/>
                <w:szCs w:val="21"/>
                <w:color w:val="auto"/>
              </w:rPr>
            </w:pPr>
          </w:p>
        </w:tc>
        <w:tc>
          <w:tcPr>
            <w:tcW w:w="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DBDBDB"/>
          </w:tcPr>
          <w:p>
            <w:pPr>
              <w:spacing w:after="0"/>
              <w:rPr>
                <w:sz w:val="21"/>
                <w:szCs w:val="21"/>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shd w:val="clear" w:color="auto" w:fill="DBDBDB"/>
          </w:tcPr>
          <w:p>
            <w:pPr>
              <w:spacing w:after="0"/>
              <w:rPr>
                <w:sz w:val="21"/>
                <w:szCs w:val="21"/>
                <w:color w:val="auto"/>
              </w:rPr>
            </w:pPr>
          </w:p>
        </w:tc>
        <w:tc>
          <w:tcPr>
            <w:tcW w:w="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188,752</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(15,756)</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254,387</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427,741</w:t>
            </w:r>
          </w:p>
        </w:tc>
        <w:tc>
          <w:tcPr>
            <w:tcW w:w="0" w:type="dxa"/>
            <w:vAlign w:val="bottom"/>
          </w:tcPr>
          <w:p>
            <w:pPr>
              <w:spacing w:after="0"/>
              <w:rPr>
                <w:sz w:val="1"/>
                <w:szCs w:val="1"/>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PORTILLO'S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27, 2022</w:t>
            </w:r>
          </w:p>
        </w:tc>
        <w:tc>
          <w:tcPr>
            <w:tcW w:w="140" w:type="dxa"/>
            <w:vAlign w:val="bottom"/>
          </w:tcPr>
          <w:p>
            <w:pPr>
              <w:spacing w:after="0"/>
              <w:rPr>
                <w:sz w:val="21"/>
                <w:szCs w:val="21"/>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28, 2021</w:t>
            </w:r>
          </w:p>
        </w:tc>
      </w:tr>
      <w:tr>
        <w:trPr>
          <w:trHeight w:val="225"/>
        </w:trPr>
        <w:tc>
          <w:tcPr>
            <w:tcW w:w="8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tcBorders>
              <w:top w:val="single" w:sz="8" w:color="auto"/>
            </w:tcBorders>
            <w:shd w:val="clear" w:color="auto" w:fill="DBDBDB"/>
          </w:tcPr>
          <w:p>
            <w:pPr>
              <w:spacing w:after="0"/>
              <w:rPr>
                <w:sz w:val="19"/>
                <w:szCs w:val="19"/>
                <w:color w:val="auto"/>
              </w:rPr>
            </w:pPr>
          </w:p>
        </w:tc>
        <w:tc>
          <w:tcPr>
            <w:tcW w:w="13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380" w:type="dxa"/>
            <w:vAlign w:val="bottom"/>
            <w:tcBorders>
              <w:top w:val="single" w:sz="8" w:color="auto"/>
            </w:tcBorders>
            <w:shd w:val="clear" w:color="auto" w:fill="DBDBDB"/>
          </w:tcPr>
          <w:p>
            <w:pPr>
              <w:spacing w:after="0"/>
              <w:rPr>
                <w:sz w:val="19"/>
                <w:szCs w:val="19"/>
                <w:color w:val="auto"/>
              </w:rPr>
            </w:pPr>
          </w:p>
        </w:tc>
      </w:tr>
      <w:tr>
        <w:trPr>
          <w:trHeight w:val="234"/>
        </w:trPr>
        <w:tc>
          <w:tcPr>
            <w:tcW w:w="8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49"/>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6,289</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Amortization of debt issuance costs and discount</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961</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Loss (gain) on sales of assets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Equity-based compensation</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3,785</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Deferred rent and tenant allowance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Deferred income tax expense</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Amortization of deferred lease incentives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Gift card breakage</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w:t>
            </w:r>
          </w:p>
        </w:tc>
      </w:tr>
      <w:tr>
        <w:trPr>
          <w:trHeight w:val="234"/>
        </w:trPr>
        <w:tc>
          <w:tcPr>
            <w:tcW w:w="808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1,816</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201</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Receivables from related parties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931</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1,300</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(3,708)</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(4,173)</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Deferred lease incentives</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0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Other assets and liabilities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8"/>
        </w:trPr>
        <w:tc>
          <w:tcPr>
            <w:tcW w:w="80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14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auto"/>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5,048</w:t>
            </w: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5"/>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Purchase of property and equipment</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(6,279)</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(10,966)</w:t>
            </w: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Purchase of investment securities</w:t>
            </w:r>
          </w:p>
        </w:tc>
        <w:tc>
          <w:tcPr>
            <w:tcW w:w="1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43"/>
        </w:trPr>
        <w:tc>
          <w:tcPr>
            <w:tcW w:w="808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140" w:type="dxa"/>
            <w:vAlign w:val="bottom"/>
            <w:tcBorders>
              <w:bottom w:val="single" w:sz="8" w:color="auto"/>
            </w:tcBorders>
            <w:shd w:val="clear" w:color="auto" w:fill="DBDBDB"/>
          </w:tcPr>
          <w:p>
            <w:pPr>
              <w:spacing w:after="0"/>
              <w:rPr>
                <w:sz w:val="21"/>
                <w:szCs w:val="21"/>
                <w:color w:val="auto"/>
              </w:rPr>
            </w:pPr>
          </w:p>
        </w:tc>
        <w:tc>
          <w:tcPr>
            <w:tcW w:w="150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BDBDB"/>
          </w:tcPr>
          <w:p>
            <w:pPr>
              <w:spacing w:after="0"/>
              <w:rPr>
                <w:sz w:val="21"/>
                <w:szCs w:val="21"/>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w:t>
            </w:r>
          </w:p>
        </w:tc>
      </w:tr>
      <w:tr>
        <w:trPr>
          <w:trHeight w:val="238"/>
        </w:trPr>
        <w:tc>
          <w:tcPr>
            <w:tcW w:w="80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(6,279)</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w:t>
            </w:r>
          </w:p>
        </w:tc>
      </w:tr>
      <w:tr>
        <w:trPr>
          <w:trHeight w:val="239"/>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Payments of long-term debt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49"/>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Repayment of stock subscription receivable</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38"/>
        </w:trPr>
        <w:tc>
          <w:tcPr>
            <w:tcW w:w="80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14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auto"/>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(581)</w:t>
            </w: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(6,665)</w:t>
            </w:r>
          </w:p>
        </w:tc>
      </w:tr>
      <w:tr>
        <w:trPr>
          <w:trHeight w:val="242"/>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 PERIOD</w:t>
            </w:r>
          </w:p>
        </w:tc>
        <w:tc>
          <w:tcPr>
            <w:tcW w:w="140" w:type="dxa"/>
            <w:vAlign w:val="bottom"/>
            <w:tcBorders>
              <w:bottom w:val="single" w:sz="8" w:color="auto"/>
            </w:tcBorders>
            <w:shd w:val="clear" w:color="auto" w:fill="DBDBDB"/>
          </w:tcPr>
          <w:p>
            <w:pPr>
              <w:spacing w:after="0"/>
              <w:rPr>
                <w:sz w:val="21"/>
                <w:szCs w:val="21"/>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c>
          <w:tcPr>
            <w:tcW w:w="12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r>
      <w:tr>
        <w:trPr>
          <w:trHeight w:val="235"/>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34,767</w:t>
            </w:r>
          </w:p>
        </w:tc>
      </w:tr>
      <w:tr>
        <w:trPr>
          <w:trHeight w:val="24"/>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29"/>
        </w:trPr>
        <w:tc>
          <w:tcPr>
            <w:tcW w:w="808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35"/>
        </w:trPr>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jc w:val="right"/>
              <w:ind w:right="19"/>
              <w:spacing w:after="0"/>
              <w:rPr>
                <w:sz w:val="20"/>
                <w:szCs w:val="20"/>
                <w:color w:val="auto"/>
              </w:rPr>
            </w:pPr>
            <w:r>
              <w:rPr>
                <w:rFonts w:ascii="Arial" w:cs="Arial" w:eastAsia="Arial" w:hAnsi="Arial"/>
                <w:sz w:val="18"/>
                <w:szCs w:val="18"/>
                <w:color w:val="auto"/>
              </w:rPr>
              <w:t>Portillo's Inc.</w:t>
            </w:r>
          </w:p>
        </w:tc>
        <w:tc>
          <w:tcPr>
            <w:tcW w:w="1380" w:type="dxa"/>
            <w:vAlign w:val="bottom"/>
          </w:tcPr>
          <w:p>
            <w:pPr>
              <w:jc w:val="right"/>
              <w:spacing w:after="0"/>
              <w:rPr>
                <w:sz w:val="20"/>
                <w:szCs w:val="20"/>
                <w:color w:val="auto"/>
              </w:rPr>
            </w:pPr>
            <w:r>
              <w:rPr>
                <w:rFonts w:ascii="Arial" w:cs="Arial" w:eastAsia="Arial" w:hAnsi="Arial"/>
                <w:sz w:val="18"/>
                <w:szCs w:val="18"/>
                <w:color w:val="auto"/>
              </w:rPr>
              <w:t>Form 10-Q | 6</w:t>
            </w:r>
          </w:p>
        </w:tc>
      </w:tr>
      <w:tr>
        <w:trPr>
          <w:trHeight w:val="112"/>
        </w:trPr>
        <w:tc>
          <w:tcPr>
            <w:tcW w:w="8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6234430</wp:posOffset>
            </wp:positionH>
            <wp:positionV relativeFrom="paragraph">
              <wp:posOffset>-314960</wp:posOffset>
            </wp:positionV>
            <wp:extent cx="170180" cy="161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0180" cy="161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PORTILLO'S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4"/>
          </w:tcPr>
          <w:p>
            <w:pPr>
              <w:jc w:val="right"/>
              <w:ind w:right="978"/>
              <w:spacing w:after="0"/>
              <w:rPr>
                <w:sz w:val="20"/>
                <w:szCs w:val="20"/>
                <w:color w:val="auto"/>
              </w:rPr>
            </w:pPr>
            <w:r>
              <w:rPr>
                <w:rFonts w:ascii="Arial" w:cs="Arial" w:eastAsia="Arial" w:hAnsi="Arial"/>
                <w:sz w:val="16"/>
                <w:szCs w:val="16"/>
                <w:b w:val="1"/>
                <w:bCs w:val="1"/>
                <w:color w:val="auto"/>
              </w:rPr>
              <w:t>Quarter Ended</w:t>
            </w:r>
          </w:p>
        </w:tc>
      </w:tr>
      <w:tr>
        <w:trPr>
          <w:trHeight w:val="242"/>
        </w:trPr>
        <w:tc>
          <w:tcPr>
            <w:tcW w:w="8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27, 2022</w:t>
            </w:r>
          </w:p>
        </w:tc>
        <w:tc>
          <w:tcPr>
            <w:tcW w:w="160" w:type="dxa"/>
            <w:vAlign w:val="bottom"/>
          </w:tcPr>
          <w:p>
            <w:pPr>
              <w:spacing w:after="0"/>
              <w:rPr>
                <w:sz w:val="21"/>
                <w:szCs w:val="21"/>
                <w:color w:val="auto"/>
              </w:rPr>
            </w:pPr>
          </w:p>
        </w:tc>
        <w:tc>
          <w:tcPr>
            <w:tcW w:w="1400" w:type="dxa"/>
            <w:vAlign w:val="bottom"/>
          </w:tcPr>
          <w:p>
            <w:pPr>
              <w:jc w:val="right"/>
              <w:ind w:right="118"/>
              <w:spacing w:after="0"/>
              <w:rPr>
                <w:sz w:val="20"/>
                <w:szCs w:val="20"/>
                <w:color w:val="auto"/>
              </w:rPr>
            </w:pPr>
            <w:r>
              <w:rPr>
                <w:rFonts w:ascii="Arial" w:cs="Arial" w:eastAsia="Arial" w:hAnsi="Arial"/>
                <w:sz w:val="16"/>
                <w:szCs w:val="16"/>
                <w:b w:val="1"/>
                <w:bCs w:val="1"/>
                <w:color w:val="auto"/>
              </w:rPr>
              <w:t>March 28, 2021</w:t>
            </w:r>
          </w:p>
        </w:tc>
      </w:tr>
      <w:tr>
        <w:trPr>
          <w:trHeight w:val="225"/>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45"/>
        </w:trPr>
        <w:tc>
          <w:tcPr>
            <w:tcW w:w="80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5,356</w:t>
            </w:r>
          </w:p>
        </w:tc>
        <w:tc>
          <w:tcPr>
            <w:tcW w:w="14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9,803</w:t>
            </w:r>
          </w:p>
        </w:tc>
      </w:tr>
      <w:tr>
        <w:trPr>
          <w:trHeight w:val="234"/>
        </w:trPr>
        <w:tc>
          <w:tcPr>
            <w:tcW w:w="802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r>
      <w:tr>
        <w:trPr>
          <w:trHeight w:val="234"/>
        </w:trPr>
        <w:tc>
          <w:tcPr>
            <w:tcW w:w="802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1,626</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3,714</w:t>
            </w:r>
          </w:p>
        </w:tc>
      </w:tr>
      <w:tr>
        <w:trPr>
          <w:trHeight w:val="249"/>
        </w:trPr>
        <w:tc>
          <w:tcPr>
            <w:tcW w:w="80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Redeemable preferred units accretion</w:t>
            </w:r>
          </w:p>
        </w:tc>
        <w:tc>
          <w:tcPr>
            <w:tcW w:w="140" w:type="dxa"/>
            <w:vAlign w:val="bottom"/>
            <w:shd w:val="clear" w:color="auto" w:fill="DBDBDB"/>
          </w:tcPr>
          <w:p>
            <w:pPr>
              <w:spacing w:after="0"/>
              <w:rPr>
                <w:sz w:val="21"/>
                <w:szCs w:val="21"/>
                <w:color w:val="auto"/>
              </w:rPr>
            </w:pPr>
          </w:p>
        </w:tc>
        <w:tc>
          <w:tcPr>
            <w:tcW w:w="1520" w:type="dxa"/>
            <w:vAlign w:val="bottom"/>
            <w:gridSpan w:val="2"/>
            <w:shd w:val="clear" w:color="auto" w:fill="DBDBDB"/>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(5,515)</w:t>
            </w:r>
          </w:p>
        </w:tc>
      </w:tr>
      <w:tr>
        <w:trPr>
          <w:trHeight w:val="535"/>
        </w:trPr>
        <w:tc>
          <w:tcPr>
            <w:tcW w:w="802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35"/>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Portillo's Inc.</w:t>
            </w:r>
          </w:p>
        </w:tc>
        <w:tc>
          <w:tcPr>
            <w:tcW w:w="1400" w:type="dxa"/>
            <w:vAlign w:val="bottom"/>
          </w:tcPr>
          <w:p>
            <w:pPr>
              <w:jc w:val="right"/>
              <w:spacing w:after="0"/>
              <w:rPr>
                <w:sz w:val="20"/>
                <w:szCs w:val="20"/>
                <w:color w:val="auto"/>
              </w:rPr>
            </w:pPr>
            <w:r>
              <w:rPr>
                <w:rFonts w:ascii="Arial" w:cs="Arial" w:eastAsia="Arial" w:hAnsi="Arial"/>
                <w:sz w:val="18"/>
                <w:szCs w:val="18"/>
                <w:color w:val="auto"/>
              </w:rPr>
              <w:t>Form 10-Q | 7</w:t>
            </w:r>
          </w:p>
        </w:tc>
      </w:tr>
      <w:tr>
        <w:trPr>
          <w:trHeight w:val="112"/>
        </w:trPr>
        <w:tc>
          <w:tcPr>
            <w:tcW w:w="8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6234430</wp:posOffset>
            </wp:positionH>
            <wp:positionV relativeFrom="paragraph">
              <wp:posOffset>-314960</wp:posOffset>
            </wp:positionV>
            <wp:extent cx="170180" cy="161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0180" cy="161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 public offering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operates fast-casual restaurants in Illinois, Indiana, California, Arizona, Florida, Wisconsin, Minnesota, Iowa and Michigan, along with two food production commissaries in Illinois. As of March 27, 2022 and December 26, 2021, the Company had 69 and 68 restaurants in operation, respectively, excluding a restaurant owned by C&amp;O Chicago, LLC ("C&amp;O"), of which Portillo's owns 50% of the equity. The Company also had three non-traditional locations in operation as of March 27, 2022 and December 26, 2021. These non-traditional locations include a food truck, ghost kitchen (small kitchen with no store-front presence, used to fill online orders), and concessions. Portillo's additionally has a 50% interest in a single restaurant owned by C&amp;O, that is referred to in Note 7. The Company’s principal corporate offices are located in Oak Brook, IL.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initial public offering ("IPO") was declared effective October 20, 2021, and the Company's Class A common stock began trading on the Nasdaq Global Select Market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49" w:lineRule="exact"/>
        <w:rPr>
          <w:sz w:val="20"/>
          <w:szCs w:val="20"/>
          <w:color w:val="auto"/>
        </w:rPr>
      </w:pPr>
    </w:p>
    <w:p>
      <w:pPr>
        <w:ind w:left="660" w:right="400" w:hanging="331"/>
        <w:spacing w:after="0" w:line="265"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amended and restated the limited liability company agreement of Portillo’s OpCo ("LLC Agreement") to, among other things, convert all outstanding equity interests (except for those redeemable preferred units which were redeemed in connection with the IPO) into LLC Units.</w:t>
      </w:r>
    </w:p>
    <w:p>
      <w:pPr>
        <w:spacing w:after="0" w:line="200" w:lineRule="exact"/>
        <w:rPr>
          <w:rFonts w:ascii="Arial" w:cs="Arial" w:eastAsia="Arial" w:hAnsi="Arial"/>
          <w:sz w:val="18"/>
          <w:szCs w:val="18"/>
          <w:color w:val="auto"/>
        </w:rPr>
      </w:pPr>
    </w:p>
    <w:p>
      <w:pPr>
        <w:ind w:left="660" w:right="180" w:hanging="331"/>
        <w:spacing w:after="0" w:line="273" w:lineRule="auto"/>
        <w:tabs>
          <w:tab w:leader="none" w:pos="669"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consolidated the financial results of Portillo’s OpCo, and a portion of our net income was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195" w:lineRule="exact"/>
        <w:rPr>
          <w:rFonts w:ascii="Arial" w:cs="Arial" w:eastAsia="Arial" w:hAnsi="Arial"/>
          <w:sz w:val="17"/>
          <w:szCs w:val="17"/>
          <w:color w:val="auto"/>
        </w:rPr>
      </w:pPr>
    </w:p>
    <w:p>
      <w:pPr>
        <w:ind w:left="660" w:hanging="331"/>
        <w:spacing w:after="0" w:line="260"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classes of common stock: Class A common stock and Class B common stock. Each share of Class A common stock and Class B common stock entitles its holder to one vote per share on all matters submitted to a vote of our stockholders. The Class B common stock is not entitled to economic interests in Portillo’s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and cash on hand were used as follows:</w:t>
      </w:r>
    </w:p>
    <w:p>
      <w:pPr>
        <w:spacing w:after="0" w:line="249"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5" w:lineRule="exact"/>
        <w:rPr>
          <w:rFonts w:ascii="Arial" w:cs="Arial" w:eastAsia="Arial" w:hAnsi="Arial"/>
          <w:sz w:val="18"/>
          <w:szCs w:val="18"/>
          <w:color w:val="auto"/>
        </w:rPr>
      </w:pPr>
    </w:p>
    <w:p>
      <w:pPr>
        <w:ind w:left="660" w:right="840" w:hanging="331"/>
        <w:spacing w:after="0" w:line="248"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LLC Members, in which the Company will be generally obligated to pay 85% of the amount of applicable cash savings, if any, in U.S. federal, state, and local income tax that the Company actually realizes or is deemed to realize as a result of (i) our allocable share of existing tax basis in depreciable or amortizable assets relating to LLC Units acquired in the IPO, (ii) certain favorable tax attributes acquired by the Company from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or exchanges of LLC Units by pre-IPO LLC Members for Class A common stock and (iv) certain other tax benefits related to entering into the TRA, including payments made under the TRA. We will retain the benefit of the remaining 15% of these tax savings.</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5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financial statements and notes thereto for the fiscal year ended December 26, 2021 included in our Annual Report on Form 10-K for the fiscal year ended December 26,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4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consolidated financial statements, and therefore, does not separately present a statement of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5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Company owns and operates fast-casual restaurants in the United States, along with two food production commissaries in Illinois. The Company’s chief operating decision maker (the “CODM”) is its Chief Executive Officer ("CEO"). The CODM reviews financial performance and allocates resources at a consolidated level on a recurring basis. The Company has one operating segment and one reportable segment.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44" w:lineRule="exact"/>
        <w:rPr>
          <w:sz w:val="20"/>
          <w:szCs w:val="20"/>
          <w:color w:val="auto"/>
        </w:rPr>
      </w:pPr>
    </w:p>
    <w:p>
      <w:pPr>
        <w:jc w:val="both"/>
        <w:ind w:right="60"/>
        <w:spacing w:after="0" w:line="265" w:lineRule="auto"/>
        <w:rPr>
          <w:sz w:val="20"/>
          <w:szCs w:val="20"/>
          <w:color w:val="auto"/>
        </w:rPr>
      </w:pPr>
      <w:r>
        <w:rPr>
          <w:rFonts w:ascii="Arial" w:cs="Arial" w:eastAsia="Arial" w:hAnsi="Arial"/>
          <w:sz w:val="18"/>
          <w:szCs w:val="18"/>
          <w:color w:val="auto"/>
        </w:rPr>
        <w:t>We use a 52- or 53-week fiscal year ending on the Sunday prior to December 31. In a 52-week fiscal year, each quarterly period is comprised of 13 weeks. The additional week in a 53-week fiscal year is added to the fourth quarter. Fiscal 2022 and 2021 each consist of 52 weeks. The fiscal periods presented in this report are the quarters ended March 27, 2022 and March 28,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5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Reverse Common Unit Split</w:t>
      </w:r>
    </w:p>
    <w:p>
      <w:pPr>
        <w:spacing w:after="0" w:line="24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On October 20, 2021, the members of Portillo's OpCo executed the Second Amended and Restated Limited Liability Company Agreement for Portillo's OpCo, effecting a 7.4-for-1 reverse common unit split. All applicable unit data, per unit amounts and related information in the consolidated financial statements and notes thereto have been adjusted retroactively to give effect to the 7.4-for-1 reverse common unit split.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 Recognition</w:t>
      </w:r>
    </w:p>
    <w:p>
      <w:pPr>
        <w:spacing w:after="0" w:line="25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offers delivery services to its customers. For delivery sales through Portillos.com or the Portillo's App, the Company recognizes revenue, including delivery fees, when the performance obligation is complete and the food is transferred to the customer. For delivery sales through a non-Company owned channel, such as the delivery partner’s website or app, as of the end of 2021, we recognize marketplace sales, including third-party delivery menu price premiums, as revenue when the control of the food is transferred to the delivery service, excluding any delivery or service fees charged to the customer. Prior to the end of 2021, this price premium was previously recorded in cost of goods sold, excluding depreciation and amortization. The amount of the price premium recorded in 2021 and prior periods is not material and there is no anticipated or actual impact on operating income or net income for any period.</w:t>
      </w:r>
    </w:p>
    <w:p>
      <w:pPr>
        <w:spacing w:after="0" w:line="211"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Generally, revenue is recognized as promised goods or services transfer to the guest or customer in an amount that reflects the consideration we expect to be entitled to in exchange for those goods or services. Revenues are recognized when payment is tendered at the point of sale as the performance obligation has been satisfied. Refer to Note 3. Revenue Recognition for additional detail.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February 2016, the FASB issued Accounting Standards Update ("ASU") No. 2016-02, Leases (Topic 842) ("ASC 842"), along with related clarifications and improvements. The pronouncement requires lessees to recognize a lease liability,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will adopt this standard for the annual period ending December 25, 2022. We expect the adoption of this standard will have a significant impact on the Company’s consolidated balance sheet as we recognize the operating lease assets and lease liabilities for our operating leases. We anticipate the adoption will have an immaterial impact on the condensed consolidated statements of operations, stockholders' equity, and cash flows.</w:t>
      </w:r>
    </w:p>
    <w:p>
      <w:pPr>
        <w:spacing w:after="0" w:line="2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on its consolidated financial statements.</w:t>
      </w:r>
    </w:p>
    <w:p>
      <w:pPr>
        <w:spacing w:after="0" w:line="21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r>
      <w:r>
        <w:rPr>
          <w:sz w:val="20"/>
          <w:szCs w:val="20"/>
          <w:color w:val="auto"/>
        </w:rPr>
        <w:tab/>
      </w:r>
      <w:r>
        <w:rPr>
          <w:rFonts w:ascii="Arial" w:cs="Arial" w:eastAsia="Arial" w:hAnsi="Arial"/>
          <w:sz w:val="24"/>
          <w:szCs w:val="24"/>
          <w:b w:val="1"/>
          <w:bCs w:val="1"/>
          <w:color w:val="414042"/>
        </w:rPr>
        <w:t>REVENUE RECOGNITION</w:t>
      </w:r>
    </w:p>
    <w:p>
      <w:pPr>
        <w:spacing w:after="0" w:line="255"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00"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The Company offers delivery services to its customers. Delivery services are fulfilled by the Company and third-party service providers. In some cases, the Company makes delivery sales through Portillos.com or the Portillo's App ("Dispatch Sales"). In other cases, the Company makes delivery sales through a non-Company owned channel, such as the delivery partner’s website or app (“Marketplace Sales”).</w:t>
      </w:r>
    </w:p>
    <w:p>
      <w:pPr>
        <w:spacing w:after="0" w:line="182"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With respect to Dispatch Sales, delivery may be performed by the Company or through a third-party service provider. The Company recognizes revenue, including delivery fees, when the performance obligation is complete and the food is transferred to the customer. For these sales, the Company receives payment directly from the customer at the time of sale.</w:t>
      </w:r>
    </w:p>
    <w:p>
      <w:pPr>
        <w:spacing w:after="0" w:line="20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With respect to Marketplace Sales, the Company recognizes revenue, including third-party menu price premiums, excluding delivery fees collected by the delivery partner, when the performance obligation is complete, and control of the food is transferred to the delivery partner. The Company receives payment subsequent to the transfer of food. The payment terms with respect to Marketplace Sales are short-term in nature and are generally paid one week in arrears.</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in the condensed consolidated statements of operations. The Company recognized gift card breakage of $0.3 million for each of the quarters ended March 27, 2022 and March 28, 2021, respectively.</w:t>
      </w:r>
    </w:p>
    <w:p>
      <w:pPr>
        <w:spacing w:after="0" w:line="21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included in current deferred revenue on the consolidated balance sheets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00" w:type="dxa"/>
            <w:vAlign w:val="bottom"/>
          </w:tcPr>
          <w:p>
            <w:pPr>
              <w:spacing w:after="0"/>
              <w:rPr>
                <w:sz w:val="19"/>
                <w:szCs w:val="19"/>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4,992</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6,606</w:t>
            </w:r>
          </w:p>
        </w:tc>
      </w:tr>
    </w:tbl>
    <w:p>
      <w:pPr>
        <w:spacing w:after="0" w:line="3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Revenue recognized in the condensed consolidated statement of operations for the redemption of gift cards that were included in their respective liability balances at the beginning of the year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gridSpan w:val="4"/>
          </w:tcPr>
          <w:p>
            <w:pPr>
              <w:jc w:val="right"/>
              <w:ind w:right="141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7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60" w:type="dxa"/>
            <w:vAlign w:val="bottom"/>
          </w:tcPr>
          <w:p>
            <w:pPr>
              <w:spacing w:after="0"/>
              <w:rPr>
                <w:sz w:val="21"/>
                <w:szCs w:val="21"/>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 beginning of the year</w:t>
            </w: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1,688</w:t>
            </w: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240" w:type="dxa"/>
            <w:vAlign w:val="bottom"/>
          </w:tcPr>
          <w:p>
            <w:pPr>
              <w:spacing w:after="0"/>
              <w:rPr>
                <w:sz w:val="20"/>
                <w:szCs w:val="20"/>
                <w:color w:val="auto"/>
              </w:rPr>
            </w:pPr>
            <w:r>
              <w:rPr>
                <w:rFonts w:ascii="Arial" w:cs="Arial" w:eastAsia="Arial" w:hAnsi="Arial"/>
                <w:sz w:val="25"/>
                <w:szCs w:val="25"/>
                <w:b w:val="1"/>
                <w:bCs w:val="1"/>
                <w:color w:val="414042"/>
              </w:rPr>
              <w:t>NOTE 4.</w:t>
            </w:r>
          </w:p>
        </w:tc>
        <w:tc>
          <w:tcPr>
            <w:tcW w:w="6180" w:type="dxa"/>
            <w:vAlign w:val="bottom"/>
            <w:gridSpan w:val="2"/>
          </w:tcPr>
          <w:p>
            <w:pPr>
              <w:jc w:val="right"/>
              <w:ind w:right="4720"/>
              <w:spacing w:after="0"/>
              <w:rPr>
                <w:sz w:val="20"/>
                <w:szCs w:val="20"/>
                <w:color w:val="auto"/>
              </w:rPr>
            </w:pPr>
            <w:r>
              <w:rPr>
                <w:rFonts w:ascii="Arial" w:cs="Arial" w:eastAsia="Arial" w:hAnsi="Arial"/>
                <w:sz w:val="25"/>
                <w:szCs w:val="25"/>
                <w:b w:val="1"/>
                <w:bCs w:val="1"/>
                <w:color w:val="414042"/>
                <w:w w:val="98"/>
              </w:rPr>
              <w:t>INVENTORY</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4"/>
        </w:trPr>
        <w:tc>
          <w:tcPr>
            <w:tcW w:w="742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 (in thousands):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3"/>
        </w:trPr>
        <w:tc>
          <w:tcPr>
            <w:tcW w:w="1240" w:type="dxa"/>
            <w:vAlign w:val="bottom"/>
            <w:tcBorders>
              <w:bottom w:val="single" w:sz="8" w:color="DBDBDB"/>
            </w:tcBorders>
          </w:tcPr>
          <w:p>
            <w:pPr>
              <w:spacing w:after="0"/>
              <w:rPr>
                <w:sz w:val="22"/>
                <w:szCs w:val="22"/>
                <w:color w:val="auto"/>
              </w:rPr>
            </w:pPr>
          </w:p>
        </w:tc>
        <w:tc>
          <w:tcPr>
            <w:tcW w:w="5900" w:type="dxa"/>
            <w:vAlign w:val="bottom"/>
            <w:tcBorders>
              <w:bottom w:val="single" w:sz="8" w:color="DBDBDB"/>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27, 2022</w:t>
            </w:r>
          </w:p>
        </w:tc>
        <w:tc>
          <w:tcPr>
            <w:tcW w:w="100" w:type="dxa"/>
            <w:vAlign w:val="bottom"/>
            <w:tcBorders>
              <w:bottom w:val="single" w:sz="8" w:color="DBDBDB"/>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1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61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3,399</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4,181</w:t>
            </w:r>
          </w:p>
        </w:tc>
      </w:tr>
      <w:tr>
        <w:trPr>
          <w:trHeight w:val="234"/>
        </w:trPr>
        <w:tc>
          <w:tcPr>
            <w:tcW w:w="1240" w:type="dxa"/>
            <w:vAlign w:val="bottom"/>
          </w:tcPr>
          <w:p>
            <w:pPr>
              <w:ind w:left="20"/>
              <w:spacing w:after="0"/>
              <w:rPr>
                <w:sz w:val="20"/>
                <w:szCs w:val="20"/>
                <w:color w:val="auto"/>
              </w:rPr>
            </w:pPr>
            <w:r>
              <w:rPr>
                <w:rFonts w:ascii="Arial" w:cs="Arial" w:eastAsia="Arial" w:hAnsi="Arial"/>
                <w:sz w:val="16"/>
                <w:szCs w:val="16"/>
                <w:color w:val="auto"/>
                <w:w w:val="99"/>
              </w:rPr>
              <w:t>Work in progress</w:t>
            </w:r>
          </w:p>
        </w:tc>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49"/>
        </w:trPr>
        <w:tc>
          <w:tcPr>
            <w:tcW w:w="1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59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1,395</w:t>
            </w:r>
          </w:p>
        </w:tc>
      </w:tr>
      <w:tr>
        <w:trPr>
          <w:trHeight w:val="235"/>
        </w:trPr>
        <w:tc>
          <w:tcPr>
            <w:tcW w:w="714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Consigned inventory</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55"/>
        </w:trPr>
        <w:tc>
          <w:tcPr>
            <w:tcW w:w="1240" w:type="dxa"/>
            <w:vAlign w:val="bottom"/>
            <w:shd w:val="clear" w:color="auto" w:fill="DBDBDB"/>
          </w:tcPr>
          <w:p>
            <w:pPr>
              <w:spacing w:after="0"/>
              <w:rPr>
                <w:sz w:val="22"/>
                <w:szCs w:val="22"/>
                <w:color w:val="auto"/>
              </w:rPr>
            </w:pPr>
          </w:p>
        </w:tc>
        <w:tc>
          <w:tcPr>
            <w:tcW w:w="61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5,147</w:t>
            </w:r>
          </w:p>
        </w:tc>
        <w:tc>
          <w:tcPr>
            <w:tcW w:w="100" w:type="dxa"/>
            <w:vAlign w:val="bottom"/>
            <w:shd w:val="clear" w:color="auto" w:fill="DBDBDB"/>
          </w:tcPr>
          <w:p>
            <w:pPr>
              <w:spacing w:after="0"/>
              <w:rPr>
                <w:sz w:val="22"/>
                <w:szCs w:val="22"/>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6,078</w:t>
            </w:r>
          </w:p>
        </w:tc>
      </w:tr>
      <w:tr>
        <w:trPr>
          <w:trHeight w:val="20"/>
        </w:trPr>
        <w:tc>
          <w:tcPr>
            <w:tcW w:w="1240" w:type="dxa"/>
            <w:vAlign w:val="bottom"/>
            <w:tcBorders>
              <w:top w:val="single" w:sz="8" w:color="DBDBDB"/>
            </w:tcBorders>
          </w:tcPr>
          <w:p>
            <w:pPr>
              <w:spacing w:after="0" w:line="20" w:lineRule="exact"/>
              <w:rPr>
                <w:sz w:val="1"/>
                <w:szCs w:val="1"/>
                <w:color w:val="auto"/>
              </w:rPr>
            </w:pPr>
          </w:p>
        </w:tc>
        <w:tc>
          <w:tcPr>
            <w:tcW w:w="59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00" w:type="dxa"/>
            <w:vAlign w:val="bottom"/>
          </w:tcPr>
          <w:p>
            <w:pPr>
              <w:spacing w:after="0"/>
              <w:rPr>
                <w:sz w:val="19"/>
                <w:szCs w:val="19"/>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15,560</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15,451</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116,734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115,187</w:t>
            </w:r>
          </w:p>
        </w:tc>
      </w:tr>
      <w:tr>
        <w:trPr>
          <w:trHeight w:val="249"/>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shd w:val="clear" w:color="auto" w:fill="DBDBDB"/>
          </w:tcPr>
          <w:p>
            <w:pPr>
              <w:spacing w:after="0"/>
              <w:rPr>
                <w:sz w:val="21"/>
                <w:szCs w:val="21"/>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142,294</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138,923</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8,902</w:t>
            </w:r>
          </w:p>
        </w:tc>
        <w:tc>
          <w:tcPr>
            <w:tcW w:w="10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8,300</w:t>
            </w:r>
          </w:p>
        </w:tc>
      </w:tr>
      <w:tr>
        <w:trPr>
          <w:trHeight w:val="234"/>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285,693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280,064</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(93,600)</w:t>
            </w:r>
          </w:p>
        </w:tc>
        <w:tc>
          <w:tcPr>
            <w:tcW w:w="10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(89,230)</w:t>
            </w:r>
          </w:p>
        </w:tc>
      </w:tr>
      <w:tr>
        <w:trPr>
          <w:trHeight w:val="235"/>
        </w:trPr>
        <w:tc>
          <w:tcPr>
            <w:tcW w:w="714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192,093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190,834</w:t>
            </w:r>
          </w:p>
        </w:tc>
      </w:tr>
      <w:tr>
        <w:trPr>
          <w:trHeight w:val="27"/>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31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Depreciation expense was $ 4.4 million and $4.1 million for the quarters ended March 27, 2022 and March 28, 2021, respectively, and is included in depreciation and amortization in the condensed consolidated statements of operations.</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r>
      <w:r>
        <w:rPr>
          <w:sz w:val="20"/>
          <w:szCs w:val="20"/>
          <w:color w:val="auto"/>
        </w:rPr>
        <w:tab/>
      </w:r>
      <w:r>
        <w:rPr>
          <w:rFonts w:ascii="Arial" w:cs="Arial" w:eastAsia="Arial" w:hAnsi="Arial"/>
          <w:sz w:val="24"/>
          <w:szCs w:val="24"/>
          <w:b w:val="1"/>
          <w:bCs w:val="1"/>
          <w:color w:val="414042"/>
        </w:rPr>
        <w:t>GOODWILL &amp;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As of March 27, 2022</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51"/>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5"/>
        </w:trPr>
        <w:tc>
          <w:tcPr>
            <w:tcW w:w="5020" w:type="dxa"/>
            <w:vAlign w:val="bottom"/>
          </w:tcPr>
          <w:p>
            <w:pPr>
              <w:spacing w:after="0"/>
              <w:rPr>
                <w:sz w:val="19"/>
                <w:szCs w:val="19"/>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160" w:type="dxa"/>
            <w:vAlign w:val="bottom"/>
          </w:tcPr>
          <w:p>
            <w:pPr>
              <w:spacing w:after="0"/>
              <w:rPr>
                <w:sz w:val="19"/>
                <w:szCs w:val="19"/>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1860" w:type="dxa"/>
            <w:vAlign w:val="bottom"/>
          </w:tcPr>
          <w:p>
            <w:pPr>
              <w:jc w:val="right"/>
              <w:ind w:right="99"/>
              <w:spacing w:after="0"/>
              <w:rPr>
                <w:sz w:val="20"/>
                <w:szCs w:val="20"/>
                <w:color w:val="auto"/>
              </w:rPr>
            </w:pPr>
            <w:r>
              <w:rPr>
                <w:rFonts w:ascii="Arial" w:cs="Arial" w:eastAsia="Arial" w:hAnsi="Arial"/>
                <w:sz w:val="16"/>
                <w:szCs w:val="16"/>
                <w:b w:val="1"/>
                <w:bCs w:val="1"/>
                <w:color w:val="auto"/>
              </w:rPr>
              <w:t>Net Carrying Amount</w:t>
            </w:r>
          </w:p>
        </w:tc>
      </w:tr>
      <w:tr>
        <w:trPr>
          <w:trHeight w:val="252"/>
        </w:trPr>
        <w:tc>
          <w:tcPr>
            <w:tcW w:w="50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r>
      <w:tr>
        <w:trPr>
          <w:trHeight w:val="242"/>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(22,150)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33,967</w:t>
            </w:r>
          </w:p>
        </w:tc>
      </w:tr>
      <w:tr>
        <w:trPr>
          <w:trHeight w:val="243"/>
        </w:trPr>
        <w:tc>
          <w:tcPr>
            <w:tcW w:w="5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(1,911)</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1,080</w:t>
            </w:r>
          </w:p>
        </w:tc>
      </w:tr>
      <w:tr>
        <w:trPr>
          <w:trHeight w:val="235"/>
        </w:trPr>
        <w:tc>
          <w:tcPr>
            <w:tcW w:w="5020" w:type="dxa"/>
            <w:vAlign w:val="bottom"/>
          </w:tcPr>
          <w:p>
            <w:pPr>
              <w:spacing w:after="0"/>
              <w:rPr>
                <w:sz w:val="20"/>
                <w:szCs w:val="20"/>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283,033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258,972</w:t>
            </w:r>
          </w:p>
        </w:tc>
      </w:tr>
      <w:tr>
        <w:trPr>
          <w:trHeight w:val="20"/>
        </w:trPr>
        <w:tc>
          <w:tcPr>
            <w:tcW w:w="5020" w:type="dxa"/>
            <w:vAlign w:val="bottom"/>
            <w:tcBorders>
              <w:bottom w:val="single" w:sz="8" w:color="DBDBDB"/>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42"/>
        </w:trPr>
        <w:tc>
          <w:tcPr>
            <w:tcW w:w="502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As of December 26, 2021</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51"/>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5"/>
        </w:trPr>
        <w:tc>
          <w:tcPr>
            <w:tcW w:w="5020" w:type="dxa"/>
            <w:vAlign w:val="bottom"/>
          </w:tcPr>
          <w:p>
            <w:pPr>
              <w:spacing w:after="0"/>
              <w:rPr>
                <w:sz w:val="19"/>
                <w:szCs w:val="19"/>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300" w:type="dxa"/>
            <w:vAlign w:val="bottom"/>
          </w:tcPr>
          <w:p>
            <w:pPr>
              <w:spacing w:after="0"/>
              <w:rPr>
                <w:sz w:val="19"/>
                <w:szCs w:val="19"/>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1860" w:type="dxa"/>
            <w:vAlign w:val="bottom"/>
          </w:tcPr>
          <w:p>
            <w:pPr>
              <w:jc w:val="right"/>
              <w:ind w:right="99"/>
              <w:spacing w:after="0"/>
              <w:rPr>
                <w:sz w:val="20"/>
                <w:szCs w:val="20"/>
                <w:color w:val="auto"/>
              </w:rPr>
            </w:pPr>
            <w:r>
              <w:rPr>
                <w:rFonts w:ascii="Arial" w:cs="Arial" w:eastAsia="Arial" w:hAnsi="Arial"/>
                <w:sz w:val="16"/>
                <w:szCs w:val="16"/>
                <w:b w:val="1"/>
                <w:bCs w:val="1"/>
                <w:color w:val="auto"/>
              </w:rPr>
              <w:t>Net Carrying Amount</w:t>
            </w:r>
          </w:p>
        </w:tc>
      </w:tr>
      <w:tr>
        <w:trPr>
          <w:trHeight w:val="252"/>
        </w:trPr>
        <w:tc>
          <w:tcPr>
            <w:tcW w:w="50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r>
      <w:tr>
        <w:trPr>
          <w:trHeight w:val="242"/>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20" w:type="dxa"/>
            <w:vAlign w:val="bottom"/>
            <w:gridSpan w:val="2"/>
          </w:tcPr>
          <w:p>
            <w:pPr>
              <w:ind w:left="14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(21,427)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34,690</w:t>
            </w:r>
          </w:p>
        </w:tc>
      </w:tr>
      <w:tr>
        <w:trPr>
          <w:trHeight w:val="243"/>
        </w:trPr>
        <w:tc>
          <w:tcPr>
            <w:tcW w:w="5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1,142</w:t>
            </w:r>
          </w:p>
        </w:tc>
      </w:tr>
      <w:tr>
        <w:trPr>
          <w:trHeight w:val="235"/>
        </w:trPr>
        <w:tc>
          <w:tcPr>
            <w:tcW w:w="5020" w:type="dxa"/>
            <w:vAlign w:val="bottom"/>
          </w:tcPr>
          <w:p>
            <w:pPr>
              <w:spacing w:after="0"/>
              <w:rPr>
                <w:sz w:val="20"/>
                <w:szCs w:val="20"/>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283,033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259,757</w:t>
            </w:r>
          </w:p>
        </w:tc>
      </w:tr>
      <w:tr>
        <w:trPr>
          <w:trHeight w:val="27"/>
        </w:trPr>
        <w:tc>
          <w:tcPr>
            <w:tcW w:w="5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Amortization expense was $ 0.8 million and $2.2 million for the quarters ended March 27, 2022 and March 28, 2021, respectively, and is included in depreciation and amortization in the condensed consolidated statements of operations.</w:t>
      </w:r>
    </w:p>
    <w:p>
      <w:pPr>
        <w:spacing w:after="0" w:line="18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estimated aggregate amortization expense for the intangibles for the remainder of this year and the succeeding five years and thereafter are $2.3 million, $3.1 million, $3.1 million, $3.0 million, $2.9 million, $2.7 million and $17.9 million, respectively.</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r>
      <w:r>
        <w:rPr>
          <w:sz w:val="20"/>
          <w:szCs w:val="20"/>
          <w:color w:val="auto"/>
        </w:rPr>
        <w:tab/>
      </w:r>
      <w:r>
        <w:rPr>
          <w:rFonts w:ascii="Arial" w:cs="Arial" w:eastAsia="Arial" w:hAnsi="Arial"/>
          <w:sz w:val="24"/>
          <w:szCs w:val="24"/>
          <w:b w:val="1"/>
          <w:bCs w:val="1"/>
          <w:color w:val="414042"/>
        </w:rPr>
        <w:t>EQUITY METHOD INVESTMENT</w:t>
      </w:r>
    </w:p>
    <w:p>
      <w:pPr>
        <w:spacing w:after="0" w:line="255"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The Company has a 50% interest in C&amp;O. The Company accounts for the investment and financial results in the consolidated financial statements under the equity method of accounting as the Company has significant influence but does not have control. The investment is adjusted to reflect the Company’s share of C&amp;O’s earnings and losses to date and any distributions received.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information for C&amp;O is as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180" w:type="dxa"/>
            <w:vAlign w:val="bottom"/>
          </w:tcPr>
          <w:p>
            <w:pPr>
              <w:spacing w:after="0"/>
              <w:rPr>
                <w:sz w:val="19"/>
                <w:szCs w:val="19"/>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25"/>
        </w:trPr>
        <w:tc>
          <w:tcPr>
            <w:tcW w:w="7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Borders>
              <w:top w:val="single" w:sz="8" w:color="auto"/>
            </w:tcBorders>
            <w:shd w:val="clear" w:color="auto" w:fill="DBDBDB"/>
          </w:tcPr>
          <w:p>
            <w:pPr>
              <w:spacing w:after="0"/>
              <w:rPr>
                <w:sz w:val="19"/>
                <w:szCs w:val="19"/>
                <w:color w:val="auto"/>
              </w:rPr>
            </w:pPr>
          </w:p>
        </w:tc>
        <w:tc>
          <w:tcPr>
            <w:tcW w:w="17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1820" w:type="dxa"/>
            <w:vAlign w:val="bottom"/>
            <w:tcBorders>
              <w:top w:val="single" w:sz="8" w:color="auto"/>
            </w:tcBorders>
            <w:shd w:val="clear" w:color="auto" w:fill="DBDBDB"/>
          </w:tcPr>
          <w:p>
            <w:pPr>
              <w:spacing w:after="0"/>
              <w:rPr>
                <w:sz w:val="19"/>
                <w:szCs w:val="19"/>
                <w:color w:val="auto"/>
              </w:rPr>
            </w:pPr>
          </w:p>
        </w:tc>
      </w:tr>
      <w:tr>
        <w:trPr>
          <w:trHeight w:val="234"/>
        </w:trPr>
        <w:tc>
          <w:tcPr>
            <w:tcW w:w="7120" w:type="dxa"/>
            <w:vAlign w:val="bottom"/>
          </w:tcPr>
          <w:p>
            <w:pPr>
              <w:ind w:left="120"/>
              <w:spacing w:after="0"/>
              <w:rPr>
                <w:sz w:val="20"/>
                <w:szCs w:val="20"/>
                <w:color w:val="auto"/>
              </w:rPr>
            </w:pPr>
            <w:r>
              <w:rPr>
                <w:rFonts w:ascii="Arial" w:cs="Arial" w:eastAsia="Arial" w:hAnsi="Arial"/>
                <w:sz w:val="16"/>
                <w:szCs w:val="16"/>
                <w:color w:val="auto"/>
              </w:rPr>
              <w:t>Current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1,957</w:t>
            </w:r>
          </w:p>
        </w:tc>
      </w:tr>
      <w:tr>
        <w:trPr>
          <w:trHeight w:val="243"/>
        </w:trPr>
        <w:tc>
          <w:tcPr>
            <w:tcW w:w="71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Property, plant, and equipment, net of accumulated depreciation $5,932 and $5,951, respectively</w:t>
            </w: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817</w:t>
            </w:r>
          </w:p>
        </w:tc>
      </w:tr>
      <w:tr>
        <w:trPr>
          <w:trHeight w:val="242"/>
        </w:trPr>
        <w:tc>
          <w:tcPr>
            <w:tcW w:w="712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w:t>
            </w:r>
          </w:p>
        </w:tc>
      </w:tr>
      <w:tr>
        <w:trPr>
          <w:trHeight w:val="20"/>
        </w:trPr>
        <w:tc>
          <w:tcPr>
            <w:tcW w:w="7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2"/>
        </w:trPr>
        <w:tc>
          <w:tcPr>
            <w:tcW w:w="7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20" w:type="dxa"/>
            <w:vAlign w:val="bottom"/>
            <w:shd w:val="clear" w:color="auto" w:fill="DBDBDB"/>
          </w:tcPr>
          <w:p>
            <w:pPr>
              <w:spacing w:after="0"/>
              <w:rPr>
                <w:sz w:val="19"/>
                <w:szCs w:val="19"/>
                <w:color w:val="auto"/>
              </w:rPr>
            </w:pPr>
          </w:p>
        </w:tc>
      </w:tr>
      <w:tr>
        <w:trPr>
          <w:trHeight w:val="234"/>
        </w:trPr>
        <w:tc>
          <w:tcPr>
            <w:tcW w:w="71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9"/>
        </w:trPr>
        <w:tc>
          <w:tcPr>
            <w:tcW w:w="71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DBDBDB"/>
          </w:tcPr>
          <w:p>
            <w:pPr>
              <w:spacing w:after="0"/>
              <w:rPr>
                <w:sz w:val="21"/>
                <w:szCs w:val="21"/>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757</w:t>
            </w:r>
          </w:p>
        </w:tc>
      </w:tr>
      <w:tr>
        <w:trPr>
          <w:trHeight w:val="234"/>
        </w:trPr>
        <w:tc>
          <w:tcPr>
            <w:tcW w:w="7120" w:type="dxa"/>
            <w:vAlign w:val="bottom"/>
          </w:tcPr>
          <w:p>
            <w:pPr>
              <w:ind w:left="120"/>
              <w:spacing w:after="0"/>
              <w:rPr>
                <w:sz w:val="20"/>
                <w:szCs w:val="20"/>
                <w:color w:val="auto"/>
              </w:rPr>
            </w:pPr>
            <w:r>
              <w:rPr>
                <w:rFonts w:ascii="Arial" w:cs="Arial" w:eastAsia="Arial" w:hAnsi="Arial"/>
                <w:sz w:val="16"/>
                <w:szCs w:val="16"/>
                <w:color w:val="auto"/>
              </w:rPr>
              <w:t>Non-current liabilities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3"/>
        </w:trPr>
        <w:tc>
          <w:tcPr>
            <w:tcW w:w="71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rent</w:t>
            </w: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1,211</w:t>
            </w:r>
          </w:p>
        </w:tc>
      </w:tr>
      <w:tr>
        <w:trPr>
          <w:trHeight w:val="234"/>
        </w:trPr>
        <w:tc>
          <w:tcPr>
            <w:tcW w:w="7120" w:type="dxa"/>
            <w:vAlign w:val="bottom"/>
          </w:tcPr>
          <w:p>
            <w:pPr>
              <w:ind w:left="52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1,968</w:t>
            </w:r>
          </w:p>
        </w:tc>
      </w:tr>
      <w:tr>
        <w:trPr>
          <w:trHeight w:val="263"/>
        </w:trPr>
        <w:tc>
          <w:tcPr>
            <w:tcW w:w="712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7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820" w:type="dxa"/>
            <w:vAlign w:val="bottom"/>
            <w:shd w:val="clear" w:color="auto" w:fill="DBDBDB"/>
          </w:tcPr>
          <w:p>
            <w:pPr>
              <w:spacing w:after="0"/>
              <w:rPr>
                <w:sz w:val="22"/>
                <w:szCs w:val="22"/>
                <w:color w:val="auto"/>
              </w:rPr>
            </w:pPr>
          </w:p>
        </w:tc>
      </w:tr>
      <w:tr>
        <w:trPr>
          <w:trHeight w:val="235"/>
        </w:trPr>
        <w:tc>
          <w:tcPr>
            <w:tcW w:w="7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Members’ equity</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r>
      <w:tr>
        <w:trPr>
          <w:trHeight w:val="267"/>
        </w:trPr>
        <w:tc>
          <w:tcPr>
            <w:tcW w:w="7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liabilities and members' equity</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2,774</w:t>
            </w:r>
          </w:p>
        </w:tc>
      </w:tr>
      <w:tr>
        <w:trPr>
          <w:trHeight w:val="20"/>
        </w:trPr>
        <w:tc>
          <w:tcPr>
            <w:tcW w:w="7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r>
    </w:tbl>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gridSpan w:val="4"/>
          </w:tcPr>
          <w:p>
            <w:pPr>
              <w:jc w:val="right"/>
              <w:ind w:right="141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7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60" w:type="dxa"/>
            <w:vAlign w:val="bottom"/>
          </w:tcPr>
          <w:p>
            <w:pPr>
              <w:spacing w:after="0"/>
              <w:rPr>
                <w:sz w:val="21"/>
                <w:szCs w:val="21"/>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28, 2021</w:t>
            </w:r>
          </w:p>
        </w:tc>
      </w:tr>
      <w:tr>
        <w:trPr>
          <w:trHeight w:val="225"/>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Results from operations:</w:t>
            </w:r>
          </w:p>
        </w:tc>
        <w:tc>
          <w:tcPr>
            <w:tcW w:w="260" w:type="dxa"/>
            <w:vAlign w:val="bottom"/>
            <w:tcBorders>
              <w:top w:val="single" w:sz="8" w:color="auto"/>
            </w:tcBorders>
            <w:shd w:val="clear" w:color="auto" w:fill="DBDBDB"/>
          </w:tcPr>
          <w:p>
            <w:pPr>
              <w:spacing w:after="0"/>
              <w:rPr>
                <w:sz w:val="19"/>
                <w:szCs w:val="19"/>
                <w:color w:val="auto"/>
              </w:rPr>
            </w:pPr>
          </w:p>
        </w:tc>
        <w:tc>
          <w:tcPr>
            <w:tcW w:w="17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1740" w:type="dxa"/>
            <w:vAlign w:val="bottom"/>
            <w:tcBorders>
              <w:top w:val="single" w:sz="8" w:color="auto"/>
            </w:tcBorders>
            <w:shd w:val="clear" w:color="auto" w:fill="DBDBDB"/>
          </w:tcPr>
          <w:p>
            <w:pPr>
              <w:spacing w:after="0"/>
              <w:rPr>
                <w:sz w:val="19"/>
                <w:szCs w:val="19"/>
                <w:color w:val="auto"/>
              </w:rPr>
            </w:pP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2,858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2,357</w:t>
            </w:r>
          </w:p>
        </w:tc>
      </w:tr>
      <w:tr>
        <w:trPr>
          <w:trHeight w:val="249"/>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DBDBDB"/>
          </w:tcPr>
          <w:p>
            <w:pPr>
              <w:spacing w:after="0"/>
              <w:rPr>
                <w:sz w:val="21"/>
                <w:szCs w:val="21"/>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r>
      <w:r>
        <w:rPr>
          <w:sz w:val="20"/>
          <w:szCs w:val="20"/>
          <w:color w:val="auto"/>
        </w:rPr>
        <w:tab/>
      </w:r>
      <w:r>
        <w:rPr>
          <w:rFonts w:ascii="Arial" w:cs="Arial" w:eastAsia="Arial" w:hAnsi="Arial"/>
          <w:sz w:val="24"/>
          <w:szCs w:val="24"/>
          <w:b w:val="1"/>
          <w:bCs w:val="1"/>
          <w:color w:val="414042"/>
        </w:rPr>
        <w:t>FAIR VALUE OF FINANCIAL INSTRUMENTS</w:t>
      </w:r>
    </w:p>
    <w:p>
      <w:pPr>
        <w:spacing w:after="0" w:line="25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4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5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all other current assets and liabilities approximate fair values due to the short-term nature of these financial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4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 As of March 27, 2022 and December 26, 2021, the fair value of the mutual fund investments and deferred compensation obligations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2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March 27, 2022</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840" w:type="dxa"/>
            <w:vAlign w:val="bottom"/>
            <w:gridSpan w:val="2"/>
            <w:shd w:val="clear" w:color="auto" w:fill="DBDBDB"/>
          </w:tcPr>
          <w:p>
            <w:pPr>
              <w:jc w:val="center"/>
              <w:ind w:right="360"/>
              <w:spacing w:after="0"/>
              <w:rPr>
                <w:sz w:val="20"/>
                <w:szCs w:val="20"/>
                <w:color w:val="auto"/>
              </w:rPr>
            </w:pPr>
            <w:r>
              <w:rPr>
                <w:rFonts w:ascii="Arial" w:cs="Arial" w:eastAsia="Arial" w:hAnsi="Arial"/>
                <w:sz w:val="16"/>
                <w:szCs w:val="16"/>
                <w:b w:val="1"/>
                <w:bCs w:val="1"/>
                <w:color w:val="auto"/>
              </w:rPr>
              <w:t>Level 1</w:t>
            </w:r>
          </w:p>
        </w:tc>
        <w:tc>
          <w:tcPr>
            <w:tcW w:w="180" w:type="dxa"/>
            <w:vAlign w:val="bottom"/>
            <w:shd w:val="clear" w:color="auto" w:fill="DBDBDB"/>
          </w:tcPr>
          <w:p>
            <w:pPr>
              <w:spacing w:after="0"/>
              <w:rPr>
                <w:sz w:val="20"/>
                <w:szCs w:val="20"/>
                <w:color w:val="auto"/>
              </w:rPr>
            </w:pPr>
          </w:p>
        </w:tc>
        <w:tc>
          <w:tcPr>
            <w:tcW w:w="1820" w:type="dxa"/>
            <w:vAlign w:val="bottom"/>
            <w:shd w:val="clear" w:color="auto" w:fill="DBDBDB"/>
          </w:tcPr>
          <w:p>
            <w:pPr>
              <w:jc w:val="right"/>
              <w:ind w:right="659"/>
              <w:spacing w:after="0"/>
              <w:rPr>
                <w:sz w:val="20"/>
                <w:szCs w:val="20"/>
                <w:color w:val="auto"/>
              </w:rPr>
            </w:pPr>
            <w:r>
              <w:rPr>
                <w:rFonts w:ascii="Arial" w:cs="Arial" w:eastAsia="Arial" w:hAnsi="Arial"/>
                <w:sz w:val="16"/>
                <w:szCs w:val="16"/>
                <w:b w:val="1"/>
                <w:bCs w:val="1"/>
                <w:color w:val="auto"/>
              </w:rPr>
              <w:t>Level 1</w:t>
            </w:r>
          </w:p>
        </w:tc>
      </w:tr>
      <w:tr>
        <w:trPr>
          <w:trHeight w:val="195"/>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2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42"/>
        </w:trPr>
        <w:tc>
          <w:tcPr>
            <w:tcW w:w="71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1,482</w:t>
            </w:r>
          </w:p>
        </w:tc>
      </w:tr>
      <w:tr>
        <w:trPr>
          <w:trHeight w:val="235"/>
        </w:trPr>
        <w:tc>
          <w:tcPr>
            <w:tcW w:w="71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r>
      <w:tr>
        <w:trPr>
          <w:trHeight w:val="267"/>
        </w:trPr>
        <w:tc>
          <w:tcPr>
            <w:tcW w:w="712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4,257</w:t>
            </w:r>
          </w:p>
        </w:tc>
        <w:tc>
          <w:tcPr>
            <w:tcW w:w="10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4,667</w:t>
            </w:r>
          </w:p>
        </w:tc>
      </w:tr>
      <w:tr>
        <w:trPr>
          <w:trHeight w:val="20"/>
        </w:trPr>
        <w:tc>
          <w:tcPr>
            <w:tcW w:w="7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March 27, 2022 and December 26, 2021, we had no Level 2 or Level 3 assets.</w:t>
      </w:r>
    </w:p>
    <w:p>
      <w:pPr>
        <w:spacing w:after="0" w:line="1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mutual fund investments and deferred compensation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Debt for additional information relating to the fair value of the Company's outstanding debt instruments.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4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quarters ended March 27, 2022 and March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r>
      <w:r>
        <w:rPr>
          <w:sz w:val="20"/>
          <w:szCs w:val="20"/>
          <w:color w:val="auto"/>
        </w:rPr>
        <w:tab/>
      </w:r>
      <w:r>
        <w:rPr>
          <w:rFonts w:ascii="Arial" w:cs="Arial" w:eastAsia="Arial" w:hAnsi="Arial"/>
          <w:sz w:val="24"/>
          <w:szCs w:val="24"/>
          <w:b w:val="1"/>
          <w:bCs w:val="1"/>
          <w:color w:val="414042"/>
        </w:rPr>
        <w:t>DEBT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00" w:type="dxa"/>
            <w:vAlign w:val="bottom"/>
          </w:tcPr>
          <w:p>
            <w:pPr>
              <w:spacing w:after="0"/>
              <w:rPr>
                <w:sz w:val="19"/>
                <w:szCs w:val="19"/>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First Lien Term B-3 Loans</w:t>
            </w: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324,921</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325,752</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Revolving Loans</w:t>
            </w:r>
          </w:p>
        </w:tc>
        <w:tc>
          <w:tcPr>
            <w:tcW w:w="26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(5,978)</w:t>
            </w:r>
          </w:p>
        </w:tc>
        <w:tc>
          <w:tcPr>
            <w:tcW w:w="10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(6,599)</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318,943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319,153</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current portion</w:t>
            </w: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42"/>
        </w:trPr>
        <w:tc>
          <w:tcPr>
            <w:tcW w:w="714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315,619</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315,829</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First Lien</w:t>
      </w:r>
    </w:p>
    <w:p>
      <w:pPr>
        <w:spacing w:after="0" w:line="2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PHD Intermediate LLC (“Holdings”), Portillo’s Holdings LLC (the “Borrower”) and certain of its subsidiaries entered into the First Lien Credit Agreement ("First Lien Credit Agreement"), dated as of August 1, 2014 and as amended October 25, 2016, May 18, 2018 and December 6, 2019, with UBS AG, Stamford Branch, as the administrative agent and collateral agent, and other lenders from time to time party thereto (the “First Lien Lenders”). The First Lien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“Revolving Facility” and the loans thereunder, the “Revolving Loans”).</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6, 2019, the Borrower entered a third amendment to the First Lien Credit Agreement (the “Third Amendment to First Lien Credit Agreement”) whereby the aggregate principal amount of the term loans as of the effective date of the Third Amendment to First Lien Credit Agreement was $332.4 million (the “First Lien Term B-3 Loans”), and the Revolving Facility was increased to $50.0 million. The maturity date with respect to the First Lien Term B-3 Loans was extended to September 6, 2024 and the maturity date with respect to the Revolving Loans date was extended to June 6, 2024.</w:t>
      </w:r>
    </w:p>
    <w:p>
      <w:pPr>
        <w:spacing w:after="0" w:line="2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Third Amendment to First Lien Credit Agreement, the interest rates spread for the First Lien Term B-3 Loans increased by 100 basis points to 5.50% for the adjusted London interbank offered rate ("Eurocurrency Rate") loans. As of March 27, 2022, the interest rate on the Term Loans was 6.50%. As of March 27, 2022 and March 28, 2021, the effective interest rate on the Term Loans was 7.74% and 7.28%, respectively. Beginning with December 31, 2019, the Company is required to pay on the last business day of each calendar quarter, March 31, June 30, September 30, and December 31, an aggregate principal amount of $0.8 million.</w:t>
      </w:r>
    </w:p>
    <w:p>
      <w:pPr>
        <w:spacing w:after="0" w:line="2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March 27, 2022 and December 26, 2021, the Company had no borrowings under the Revolver outstanding, respectively. As of both March 27, 2022 and March 28, 2021, the interest rate on the Revolver was 3.25%, subject to change based on a consolidated first lien net leverage ratio as defined in the First Lien Credit Agreement. As of both March 27, 2022 and March 28, 2021, the commitment fees, pursuant to the First Lien, to maintain the Revolver were 0.250%. Also pursuant to the First Lien Credit Agreement, as of both March 27, 2022 and March 28, 2021, letter of credit fronting fees were 0.125%. Commitment fees and letter of credit fronting fees are recorded as interest expense in the condensed consolidated statements of operations.</w:t>
      </w:r>
    </w:p>
    <w:p>
      <w:pPr>
        <w:spacing w:after="0" w:line="21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 Company had $5.0 million of letters of credit issued against the Revolving Facility as of both March 27, 2022 and December 26, 2021, respectively. As of March 27, 2022, the Company had $45.0 million of availability under the Revolving Facility.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 Lien</w:t>
      </w:r>
    </w:p>
    <w:p>
      <w:pPr>
        <w:spacing w:after="0" w:line="24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Holdings, the Borrower and certain of its subsidiaries entered into the Second Lien Credit Agreement (the “Second Lien Credit Agreement”) dated as of August 1, 2014 and as amended on October 25, 2016 and December 6, 2019 with UBS AG, Stamford Branch, as administrative agent and collateral agent, and other lenders from time to time party thereto (the “Second Lien Lenders”). The Second Lien Lenders extended credit in the form of initial second lien term loans in an initial aggregate principal amount of $80.0 million.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6, 2019, the Borrower entered into second amendment to the Second Lien Credit Agreement (the “Second Amendment to Second Lien Credit Agreement”) whereby the aggregate principal amount of the term loans as of the effective date of the Second Amendment to the Second Lien Credit Agreement was $155.0 million (the “Second Lien Term B-3 Loans”). The maturity date of the Second Lien Term B-3 Loans was extended to December 6, 2024 (the “Second Lien Maturity Date”). In addition to the increased principal amount, the interest rates spread for the Second Lien Term B-3 Loans increased by 150 basis points to 9.50% for Eurocurrency Rate loans. The Borrower determined interest on the Second Lien at the Eurocurrency Rate, plus 9.50%.</w:t>
      </w:r>
    </w:p>
    <w:p>
      <w:pPr>
        <w:spacing w:after="0" w:line="210"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 full, including a $3.1 million prepayment penalty, which was recorded as a loss on debt extinguishment during the year ended December 26, 2021 in the consolidated statement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58"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In connection with entering into the Third Amendment to First Lien Credit Agreement and the Second Amendment to Second Lien Credit Agreement, in each case, dated as of December 6, 2019, the Borrower paid debt issuance costs of $14.5 million, of which $13.3 million were capitalized and are being amortized over the term of the related debt agreements, and $1.2 million were expensed as incurred.</w:t>
      </w:r>
    </w:p>
    <w:p>
      <w:pPr>
        <w:spacing w:after="0" w:line="200"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In connection with the repayment of the Second Lien Term B-3 Loans as described above, deferred financing costs and original issuance discount of $ 4.2 million were recorded as a loss on debt extinguishment during the year ended December 26, 2021 in the consolidated statement of operations.</w:t>
      </w:r>
    </w:p>
    <w:p>
      <w:pPr>
        <w:spacing w:after="0" w:line="20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Company amortized $ 0.4 million and $0.6 million of deferred financing costs, respectively, during each of the quarters ended March 27, 2022 and March 28, 2021, which is included in interest expense in the condensed consolidated statements of operations. In addition, the Company also amortized $0.2 million and $ 0.4 million in original issue discount related to the long-term debt in each of the quarters ended March 27, 2022 and March 28, 2021 which is included in interest expense in the condensed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Total interest costs incurred were $6.1 million and $10.7 million for the quarters ended March 27, 2022 and March 28, 2021, respectively.</w:t>
      </w:r>
    </w:p>
    <w:p>
      <w:pPr>
        <w:spacing w:after="0" w:line="249"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As of March 27, 2022 and December 26, 2021,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200"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color w:val="auto"/>
        </w:rPr>
        <w:t>Borrowings under the First Lien Credit Agreement are guaranteed by Holdings,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00"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color w:val="auto"/>
        </w:rPr>
        <w:t>The Borrower is subject to certain financial and reporting covenants pursuant to the terms of the First Lien Credit Agreement. These covenants are customary for these types of debt agreements. As of March 27, 2022, the Company was in compliance with all covenants.</w:t>
      </w:r>
    </w:p>
    <w:p>
      <w:pPr>
        <w:spacing w:after="0" w:line="156"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r>
      <w:r>
        <w:rPr>
          <w:sz w:val="20"/>
          <w:szCs w:val="20"/>
          <w:color w:val="auto"/>
        </w:rPr>
        <w:tab/>
      </w:r>
      <w:r>
        <w:rPr>
          <w:rFonts w:ascii="Arial" w:cs="Arial" w:eastAsia="Arial" w:hAnsi="Arial"/>
          <w:sz w:val="24"/>
          <w:szCs w:val="24"/>
          <w:b w:val="1"/>
          <w:bCs w:val="1"/>
          <w:color w:val="414042"/>
        </w:rPr>
        <w:t>NON-CONTROLLING INTERESTS</w:t>
      </w:r>
    </w:p>
    <w:p>
      <w:pPr>
        <w:spacing w:after="0" w:line="2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Transactions described in Note 1. Description Of Business we are the sole managing member of Portillo's OpCo, and as a result, consolidated the financial results of Portillo's OpCo. We report a non-controlling interest representing the LLC interests in Portillo's OpCo held by pre-IPO LLC Members. Changes in our ownership interest in Portillo's OpCo while we retain our controlling interest in Portillo's OpCo will be accounted for as equity transactions. As such, future redemptions or direct exchanges of LLC interests in Portillo's OpCo by the pre-IPO LLC members will result in a change in ownership and reduce the amount recorded as non-controlling interest and increase additional paid-in capital.</w:t>
      </w:r>
    </w:p>
    <w:p>
      <w:pPr>
        <w:spacing w:after="0" w:line="21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As of March 27, 2022, there were 71,480,492 LLC interests outstanding, of which we owned 35,807,171 LLC interests, representing a 50.1% ownership interest in Portillo's OpCo.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PORTILLO'S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NOTE 11.</w:t>
      </w:r>
      <w:r>
        <w:rPr>
          <w:sz w:val="20"/>
          <w:szCs w:val="20"/>
          <w:color w:val="auto"/>
        </w:rPr>
        <w:tab/>
      </w:r>
      <w:r>
        <w:rPr>
          <w:rFonts w:ascii="Arial" w:cs="Arial" w:eastAsia="Arial" w:hAnsi="Arial"/>
          <w:sz w:val="24"/>
          <w:szCs w:val="24"/>
          <w:b w:val="1"/>
          <w:bCs w:val="1"/>
          <w:color w:val="414042"/>
        </w:rPr>
        <w:t>EQUITY-BASED COMPENSATION</w:t>
      </w:r>
    </w:p>
    <w:p>
      <w:pPr>
        <w:spacing w:after="0" w:line="121"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Equity-based compensation expense is calculated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included in the Company’s consolidated statements of operations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gridSpan w:val="4"/>
          </w:tcPr>
          <w:p>
            <w:pPr>
              <w:jc w:val="right"/>
              <w:ind w:right="139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60" w:type="dxa"/>
            <w:vAlign w:val="bottom"/>
          </w:tcPr>
          <w:p>
            <w:pPr>
              <w:spacing w:after="0"/>
              <w:rPr>
                <w:sz w:val="21"/>
                <w:szCs w:val="21"/>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67"/>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3,785</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71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r>
      <w:r>
        <w:rPr>
          <w:sz w:val="20"/>
          <w:szCs w:val="20"/>
          <w:color w:val="auto"/>
        </w:rPr>
        <w:tab/>
      </w:r>
      <w:r>
        <w:rPr>
          <w:rFonts w:ascii="Arial" w:cs="Arial" w:eastAsia="Arial" w:hAnsi="Arial"/>
          <w:sz w:val="24"/>
          <w:szCs w:val="24"/>
          <w:b w:val="1"/>
          <w:bCs w:val="1"/>
          <w:color w:val="414042"/>
        </w:rPr>
        <w:t>INCOME TAXES</w:t>
      </w:r>
    </w:p>
    <w:p>
      <w:pPr>
        <w:spacing w:after="0" w:line="2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result of the IPO and Transactions described in Note 1. Description Of Business we became the sole managing member of Portillo's OpCo, and as a result, began consolidating the financial results of Portillo's OpCo. Portillo's OpCo is treated as a partnership for U.S. federal and most applicable state and local income tax purposes. As a partnership, Portillo's OpCo is not subject to U.S. federal and certain state and local income taxes. Any taxable income or loss generated by Portillo's OpCo is passed through to and included in the taxable income or loss of its members, including us, on a pro rata basis. Beginning at the time of the IPO in 2021, we are subject to U.S. federal income taxes, in addition to state and local income taxes with respect to our allocable share of any taxable income or loss of Portillo's OpCo subsequent to the IPO and Transactions, as well as any stand-alone income or loss generated by Portillo's Inc.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58"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color w:val="auto"/>
        </w:rPr>
        <w:t>The effective income tax rate for the quarter ended March 27, 2022 was 16.6%. The Company’s annual effective tax rate was less than the statutory rate of 21% primarily because the Company is not liable for income taxes on the portion of OpCo’s earnings that are attributable to non-controlling interests.</w:t>
      </w:r>
    </w:p>
    <w:p>
      <w:pPr>
        <w:spacing w:after="0" w:line="30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r>
      <w:r>
        <w:rPr>
          <w:sz w:val="20"/>
          <w:szCs w:val="20"/>
          <w:color w:val="auto"/>
        </w:rPr>
        <w:tab/>
      </w:r>
      <w:r>
        <w:rPr>
          <w:rFonts w:ascii="Arial" w:cs="Arial" w:eastAsia="Arial" w:hAnsi="Arial"/>
          <w:sz w:val="24"/>
          <w:szCs w:val="24"/>
          <w:b w:val="1"/>
          <w:bCs w:val="1"/>
          <w:color w:val="414042"/>
        </w:rPr>
        <w:t>EARNINGS (LOSS) PER SHARE</w:t>
      </w:r>
    </w:p>
    <w:p>
      <w:pPr>
        <w:spacing w:after="0" w:line="25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Basic net earnings (loss) per share of Class A Common Stock is computed by dividing net income (loss) attributable to Portillo's Inc. by the weighted-average number of Class A common stock outstanding.</w:t>
      </w:r>
    </w:p>
    <w:p>
      <w:pPr>
        <w:spacing w:after="0" w:line="1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described in Note 1. Description Of Business, in connection with the IPO, the Portillo's OpCo LLC Agreement was amended and restated to, among other things, (i) to authorize the issuance of two classes of common stock and (ii) convert all outstanding equity interests (except for those redeemable preferred units which were redeemed in connection with the IPO) into LLC Units. For purposes of calculating earnings per share, the prior period amounts have been retroactively adjusted to give effect to the above-mentioned amendment and resulting recapitalization. The computations of earnings per share for periods prior to our IPO do not consider the 23,310,810 shares of Class A common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 issued to investors in our IPO.</w:t>
      </w:r>
    </w:p>
    <w:p>
      <w:pPr>
        <w:spacing w:after="0" w:line="23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Diluted earnings (loss) per share is computed by dividing net income (loss) attributable to Portillo's Inc. by the weighted-average number of dilutive securities,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computations of basic and diluted earnings (loss) per share for the quarters ended March 27, 2022 and March 28, 2021 are as follows (in thousands):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7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0" w:type="dxa"/>
            <w:vAlign w:val="bottom"/>
            <w:gridSpan w:val="4"/>
          </w:tcPr>
          <w:p>
            <w:pPr>
              <w:jc w:val="right"/>
              <w:ind w:right="137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60" w:type="dxa"/>
            <w:vAlign w:val="bottom"/>
          </w:tcPr>
          <w:p>
            <w:pPr>
              <w:spacing w:after="0"/>
              <w:rPr>
                <w:sz w:val="21"/>
                <w:szCs w:val="21"/>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7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common unit holders</w:t>
            </w: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(5,391)</w:t>
            </w:r>
          </w:p>
        </w:tc>
      </w:tr>
      <w:tr>
        <w:trPr>
          <w:trHeight w:val="235"/>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7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Portillo's Inc.</w:t>
            </w: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(5,391)</w:t>
            </w: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r>
        <w:trPr>
          <w:trHeight w:val="215"/>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71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26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r>
      <w:tr>
        <w:trPr>
          <w:trHeight w:val="234"/>
        </w:trPr>
        <w:tc>
          <w:tcPr>
            <w:tcW w:w="71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outstanding-basic</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35,807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51,192</w:t>
            </w:r>
          </w:p>
        </w:tc>
      </w:tr>
      <w:tr>
        <w:trPr>
          <w:trHeight w:val="249"/>
        </w:trPr>
        <w:tc>
          <w:tcPr>
            <w:tcW w:w="71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share awards</w:t>
            </w:r>
          </w:p>
        </w:tc>
        <w:tc>
          <w:tcPr>
            <w:tcW w:w="260" w:type="dxa"/>
            <w:vAlign w:val="bottom"/>
            <w:shd w:val="clear" w:color="auto" w:fill="DBDBDB"/>
          </w:tcPr>
          <w:p>
            <w:pPr>
              <w:spacing w:after="0"/>
              <w:rPr>
                <w:sz w:val="21"/>
                <w:szCs w:val="21"/>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4,137</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1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outstanding-diluted</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39,944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51,192</w:t>
            </w:r>
          </w:p>
        </w:tc>
      </w:tr>
      <w:tr>
        <w:trPr>
          <w:trHeight w:val="276"/>
        </w:trPr>
        <w:tc>
          <w:tcPr>
            <w:tcW w:w="710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17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1720" w:type="dxa"/>
            <w:vAlign w:val="bottom"/>
            <w:shd w:val="clear" w:color="auto" w:fill="DBDBDB"/>
          </w:tcPr>
          <w:p>
            <w:pPr>
              <w:spacing w:after="0"/>
              <w:rPr>
                <w:sz w:val="23"/>
                <w:szCs w:val="23"/>
                <w:color w:val="auto"/>
              </w:rPr>
            </w:pPr>
          </w:p>
        </w:tc>
      </w:tr>
      <w:tr>
        <w:trPr>
          <w:trHeight w:val="234"/>
        </w:trPr>
        <w:tc>
          <w:tcPr>
            <w:tcW w:w="7100" w:type="dxa"/>
            <w:vAlign w:val="bottom"/>
          </w:tcPr>
          <w:p>
            <w:pPr>
              <w:ind w:left="20"/>
              <w:spacing w:after="0"/>
              <w:rPr>
                <w:sz w:val="20"/>
                <w:szCs w:val="20"/>
                <w:color w:val="auto"/>
              </w:rPr>
            </w:pPr>
            <w:r>
              <w:rPr>
                <w:rFonts w:ascii="Arial" w:cs="Arial" w:eastAsia="Arial" w:hAnsi="Arial"/>
                <w:sz w:val="16"/>
                <w:szCs w:val="16"/>
                <w:color w:val="auto"/>
              </w:rPr>
              <w:t>Basic net income (loss) per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49"/>
        </w:trPr>
        <w:tc>
          <w:tcPr>
            <w:tcW w:w="71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income (loss) per share</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(0.11)</w:t>
            </w:r>
          </w:p>
        </w:tc>
      </w:tr>
    </w:tbl>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7120" w:type="dxa"/>
            <w:vAlign w:val="bottom"/>
          </w:tcPr>
          <w:p>
            <w:pPr>
              <w:spacing w:after="0"/>
              <w:rPr>
                <w:sz w:val="19"/>
                <w:szCs w:val="19"/>
                <w:color w:val="auto"/>
              </w:rPr>
            </w:pPr>
          </w:p>
        </w:tc>
        <w:tc>
          <w:tcPr>
            <w:tcW w:w="4040" w:type="dxa"/>
            <w:vAlign w:val="bottom"/>
            <w:gridSpan w:val="3"/>
          </w:tcPr>
          <w:p>
            <w:pPr>
              <w:jc w:val="right"/>
              <w:ind w:right="137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7120" w:type="dxa"/>
            <w:vAlign w:val="bottom"/>
          </w:tcPr>
          <w:p>
            <w:pPr>
              <w:spacing w:after="0"/>
              <w:rPr>
                <w:sz w:val="21"/>
                <w:szCs w:val="21"/>
                <w:color w:val="auto"/>
              </w:rPr>
            </w:pPr>
          </w:p>
        </w:tc>
        <w:tc>
          <w:tcPr>
            <w:tcW w:w="2060" w:type="dxa"/>
            <w:vAlign w:val="bottom"/>
            <w:gridSpan w:val="2"/>
          </w:tcPr>
          <w:p>
            <w:pPr>
              <w:ind w:left="420"/>
              <w:spacing w:after="0"/>
              <w:rPr>
                <w:sz w:val="20"/>
                <w:szCs w:val="20"/>
                <w:color w:val="auto"/>
              </w:rPr>
            </w:pPr>
            <w:r>
              <w:rPr>
                <w:rFonts w:ascii="Arial" w:cs="Arial" w:eastAsia="Arial" w:hAnsi="Arial"/>
                <w:sz w:val="16"/>
                <w:szCs w:val="16"/>
                <w:b w:val="1"/>
                <w:bCs w:val="1"/>
                <w:color w:val="auto"/>
              </w:rPr>
              <w:t>March 27, 2022</w:t>
            </w: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7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subject to performance conditions</w:t>
            </w:r>
          </w:p>
        </w:tc>
        <w:tc>
          <w:tcPr>
            <w:tcW w:w="1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Borders>
              <w:top w:val="single" w:sz="8" w:color="DBDBDB"/>
            </w:tcBorders>
            <w:shd w:val="clear" w:color="auto" w:fill="DBDBDB"/>
          </w:tcPr>
          <w:p>
            <w:pPr>
              <w:spacing w:after="0"/>
              <w:rPr>
                <w:sz w:val="20"/>
                <w:szCs w:val="20"/>
                <w:color w:val="auto"/>
              </w:rPr>
            </w:pPr>
          </w:p>
        </w:tc>
        <w:tc>
          <w:tcPr>
            <w:tcW w:w="1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r>
      <w:tr>
        <w:trPr>
          <w:trHeight w:val="235"/>
        </w:trPr>
        <w:tc>
          <w:tcPr>
            <w:tcW w:w="7120" w:type="dxa"/>
            <w:vAlign w:val="bottom"/>
          </w:tcPr>
          <w:p>
            <w:pPr>
              <w:ind w:left="20"/>
              <w:spacing w:after="0"/>
              <w:rPr>
                <w:sz w:val="20"/>
                <w:szCs w:val="20"/>
                <w:color w:val="auto"/>
              </w:rPr>
            </w:pPr>
            <w:r>
              <w:rPr>
                <w:rFonts w:ascii="Arial" w:cs="Arial" w:eastAsia="Arial" w:hAnsi="Arial"/>
                <w:sz w:val="16"/>
                <w:szCs w:val="16"/>
                <w:color w:val="auto"/>
              </w:rPr>
              <w:t>Shares that were antidilutive</w:t>
            </w:r>
          </w:p>
        </w:tc>
        <w:tc>
          <w:tcPr>
            <w:tcW w:w="2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67"/>
        </w:trPr>
        <w:tc>
          <w:tcPr>
            <w:tcW w:w="71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income (loss) per share</w:t>
            </w:r>
          </w:p>
        </w:tc>
        <w:tc>
          <w:tcPr>
            <w:tcW w:w="1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1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684</w:t>
            </w:r>
          </w:p>
        </w:tc>
      </w:tr>
      <w:tr>
        <w:trPr>
          <w:trHeight w:val="20"/>
        </w:trPr>
        <w:tc>
          <w:tcPr>
            <w:tcW w:w="7120" w:type="dxa"/>
            <w:vAlign w:val="bottom"/>
            <w:tcBorders>
              <w:top w:val="single" w:sz="8" w:color="DBDBDB"/>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r>
      <w:r>
        <w:rPr>
          <w:sz w:val="20"/>
          <w:szCs w:val="20"/>
          <w:color w:val="auto"/>
        </w:rPr>
        <w:tab/>
      </w:r>
      <w:r>
        <w:rPr>
          <w:rFonts w:ascii="Arial" w:cs="Arial" w:eastAsia="Arial" w:hAnsi="Arial"/>
          <w:sz w:val="24"/>
          <w:szCs w:val="24"/>
          <w:b w:val="1"/>
          <w:bCs w:val="1"/>
          <w:color w:val="414042"/>
        </w:rPr>
        <w:t>CONTINGENCIES</w:t>
      </w:r>
    </w:p>
    <w:p>
      <w:pPr>
        <w:spacing w:after="0" w:line="255"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consolidated financial statements.</w:t>
      </w:r>
    </w:p>
    <w:p>
      <w:pPr>
        <w:spacing w:after="0" w:line="19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r>
      <w:r>
        <w:rPr>
          <w:sz w:val="20"/>
          <w:szCs w:val="20"/>
          <w:color w:val="auto"/>
        </w:rPr>
        <w:tab/>
      </w:r>
      <w:r>
        <w:rPr>
          <w:rFonts w:ascii="Arial" w:cs="Arial" w:eastAsia="Arial" w:hAnsi="Arial"/>
          <w:sz w:val="24"/>
          <w:szCs w:val="24"/>
          <w:b w:val="1"/>
          <w:bCs w:val="1"/>
          <w:color w:val="414042"/>
        </w:rPr>
        <w:t>RELATED PARTY TRANSACTIONS</w:t>
      </w:r>
    </w:p>
    <w:p>
      <w:pPr>
        <w:spacing w:after="0" w:line="26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As of March 27, 2022 and December 26, 2021, the related parties’ receivables consisted of a receivable balance due from C&amp;O of $0.3 million and $0.4 million, respectively, which is included in accounts receivable in the condensed consolidated balance sheets.</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the following Olo-related costs for the quarter ended March 27, 2022 and March 28, 2021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60" w:type="dxa"/>
            <w:vAlign w:val="bottom"/>
          </w:tcPr>
          <w:p>
            <w:pPr>
              <w:spacing w:after="0"/>
              <w:rPr>
                <w:sz w:val="19"/>
                <w:szCs w:val="19"/>
                <w:color w:val="auto"/>
              </w:rPr>
            </w:pPr>
          </w:p>
        </w:tc>
        <w:tc>
          <w:tcPr>
            <w:tcW w:w="370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9"/>
                <w:szCs w:val="19"/>
                <w:color w:val="auto"/>
              </w:rPr>
            </w:pPr>
          </w:p>
        </w:tc>
      </w:tr>
      <w:tr>
        <w:trPr>
          <w:trHeight w:val="245"/>
        </w:trPr>
        <w:tc>
          <w:tcPr>
            <w:tcW w:w="716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27, 2022</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28, 2021</w:t>
            </w:r>
          </w:p>
        </w:tc>
        <w:tc>
          <w:tcPr>
            <w:tcW w:w="380" w:type="dxa"/>
            <w:vAlign w:val="bottom"/>
            <w:tcBorders>
              <w:bottom w:val="single" w:sz="8" w:color="auto"/>
            </w:tcBorders>
          </w:tcPr>
          <w:p>
            <w:pPr>
              <w:spacing w:after="0"/>
              <w:rPr>
                <w:sz w:val="21"/>
                <w:szCs w:val="21"/>
                <w:color w:val="auto"/>
              </w:rPr>
            </w:pPr>
          </w:p>
        </w:tc>
      </w:tr>
      <w:tr>
        <w:trPr>
          <w:trHeight w:val="239"/>
        </w:trPr>
        <w:tc>
          <w:tcPr>
            <w:tcW w:w="7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goods sold, excluding depreciation and amortization</w:t>
            </w:r>
          </w:p>
        </w:tc>
        <w:tc>
          <w:tcPr>
            <w:tcW w:w="1600" w:type="dxa"/>
            <w:vAlign w:val="bottom"/>
            <w:shd w:val="clear" w:color="auto" w:fill="DBDBDB"/>
          </w:tcPr>
          <w:p>
            <w:pPr>
              <w:jc w:val="right"/>
              <w:ind w:right="14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DBDBDB"/>
          </w:tcPr>
          <w:p>
            <w:pPr>
              <w:spacing w:after="0"/>
              <w:rPr>
                <w:sz w:val="20"/>
                <w:szCs w:val="20"/>
                <w:color w:val="auto"/>
              </w:rPr>
            </w:pPr>
          </w:p>
        </w:tc>
        <w:tc>
          <w:tcPr>
            <w:tcW w:w="1620" w:type="dxa"/>
            <w:vAlign w:val="bottom"/>
            <w:shd w:val="clear" w:color="auto" w:fill="DBDBDB"/>
          </w:tcPr>
          <w:p>
            <w:pPr>
              <w:jc w:val="right"/>
              <w:ind w:right="14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w:t>
            </w:r>
          </w:p>
        </w:tc>
      </w:tr>
      <w:tr>
        <w:trPr>
          <w:trHeight w:val="235"/>
        </w:trPr>
        <w:tc>
          <w:tcPr>
            <w:tcW w:w="7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DBDBDB"/>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67"/>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1600" w:type="dxa"/>
            <w:vAlign w:val="bottom"/>
            <w:tcBorders>
              <w:bottom w:val="single" w:sz="8" w:color="auto"/>
            </w:tcBorders>
            <w:shd w:val="clear" w:color="auto" w:fill="DBDBDB"/>
          </w:tcPr>
          <w:p>
            <w:pPr>
              <w:jc w:val="right"/>
              <w:ind w:right="14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DBDBDB"/>
            </w:tcBorders>
            <w:shd w:val="clear" w:color="auto" w:fill="DBDBDB"/>
          </w:tcPr>
          <w:p>
            <w:pPr>
              <w:spacing w:after="0"/>
              <w:rPr>
                <w:sz w:val="22"/>
                <w:szCs w:val="22"/>
                <w:color w:val="auto"/>
              </w:rPr>
            </w:pPr>
          </w:p>
        </w:tc>
        <w:tc>
          <w:tcPr>
            <w:tcW w:w="1620" w:type="dxa"/>
            <w:vAlign w:val="bottom"/>
            <w:tcBorders>
              <w:bottom w:val="single" w:sz="8" w:color="auto"/>
            </w:tcBorders>
            <w:shd w:val="clear" w:color="auto" w:fill="DBDBDB"/>
          </w:tcPr>
          <w:p>
            <w:pPr>
              <w:jc w:val="right"/>
              <w:ind w:right="14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284</w:t>
            </w:r>
          </w:p>
        </w:tc>
      </w:tr>
      <w:tr>
        <w:trPr>
          <w:trHeight w:val="20"/>
        </w:trPr>
        <w:tc>
          <w:tcPr>
            <w:tcW w:w="716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As of March 27, 2022 and December 26, 2021, $0.1 million and $0.0 million was payable to Olo and was included in accounts payable in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58"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As described in Note 1. Description Of Business, we entered into a TRA with certain members of Portillo's OpCo that provides for the payment by us of 85% of the amount of tax benefits, if any, that Portillo's Inc. actually realizes or in some cases is deemed to realize as a result of certain transactions.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18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w:t>
            </w: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156,638</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156,638</w:t>
            </w:r>
          </w:p>
        </w:tc>
      </w:tr>
    </w:tbl>
    <w:p>
      <w:pPr>
        <w:spacing w:after="0" w:line="29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16.</w:t>
      </w:r>
      <w:r>
        <w:rPr>
          <w:sz w:val="20"/>
          <w:szCs w:val="20"/>
          <w:color w:val="auto"/>
        </w:rPr>
        <w:tab/>
      </w:r>
      <w:r>
        <w:rPr>
          <w:rFonts w:ascii="Arial" w:cs="Arial" w:eastAsia="Arial" w:hAnsi="Arial"/>
          <w:sz w:val="24"/>
          <w:szCs w:val="24"/>
          <w:b w:val="1"/>
          <w:bCs w:val="1"/>
          <w:color w:val="414042"/>
        </w:rPr>
        <w:t>SUBSEQUENT EVENTS</w:t>
      </w:r>
    </w:p>
    <w:p>
      <w:pPr>
        <w:spacing w:after="0" w:line="268"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The Company opened one new restaurant subsequent to March 27, 2022 for a total of 70 restaurants, excluding a restaurant owned by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40" w:right="560"/>
        <w:spacing w:after="0" w:line="294" w:lineRule="auto"/>
        <w:rPr>
          <w:sz w:val="20"/>
          <w:szCs w:val="20"/>
          <w:color w:val="auto"/>
        </w:rPr>
      </w:pPr>
      <w:r>
        <w:rPr>
          <w:rFonts w:ascii="Arial" w:cs="Arial" w:eastAsia="Arial" w:hAnsi="Arial"/>
          <w:sz w:val="25"/>
          <w:szCs w:val="25"/>
          <w:b w:val="1"/>
          <w:bCs w:val="1"/>
          <w:color w:val="414042"/>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-47625</wp:posOffset>
            </wp:positionV>
            <wp:extent cx="5931535" cy="323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accompanying notes. 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“Cautionary Statements Concerning Forward-Looking Statements” in this report and under the heading “Risk Factors” in Part I, Item IA of our Annual Report on Form 10-K for the fiscal year ended December 26, 2021 and Part II, Item 1A of this Form 10-Q. The following discussion should be read in conjunction with our Annual Report on Form 10-K for the fiscal year ended December 26, 2021 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10"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spacing w:after="0" w:line="200" w:lineRule="exact"/>
        <w:rPr>
          <w:sz w:val="20"/>
          <w:szCs w:val="20"/>
          <w:color w:val="auto"/>
        </w:rPr>
      </w:pPr>
    </w:p>
    <w:p>
      <w:pPr>
        <w:jc w:val="both"/>
        <w:ind w:right="80"/>
        <w:spacing w:after="0" w:line="265"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periods presented below. The following discussion and analysis should be read in conjunction with our Registration Statement and the unaudited consolidated financial statements and the accompanying notes thereto included herein.</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We have prepared the unaudited consolidated financial statements in accordance with accounting principles generally accepted in the United States of America ("GAAP") for interim financial statements and pursuant to the rules and regulations of the Securities and Exchange Commission (the "SEC").</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Overview</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 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1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As of March 27, 2022, we owned and operated 70 Portillo’s restaurants across nine states, including a restaurant owned by C&amp;O Chicago, L.L.C.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3" w:name="page24"/>
    <w:bookmarkEnd w:id="23"/>
    <w:p>
      <w:pPr>
        <w:spacing w:after="0"/>
        <w:rPr>
          <w:sz w:val="20"/>
          <w:szCs w:val="20"/>
          <w:color w:val="auto"/>
        </w:rPr>
      </w:pPr>
      <w:r>
        <w:rPr>
          <w:rFonts w:ascii="Arial" w:cs="Arial" w:eastAsia="Arial" w:hAnsi="Arial"/>
          <w:sz w:val="21"/>
          <w:szCs w:val="21"/>
          <w:b w:val="1"/>
          <w:bCs w:val="1"/>
          <w:color w:val="414042"/>
        </w:rPr>
        <w:t>Financial Highlights for the Quarter Ended March 27, 2022 vs. Quarter Ended March 28, 2021:</w:t>
      </w:r>
    </w:p>
    <w:p>
      <w:pPr>
        <w:spacing w:after="0" w:line="251" w:lineRule="exact"/>
        <w:rPr>
          <w:sz w:val="20"/>
          <w:szCs w:val="20"/>
          <w:color w:val="auto"/>
        </w:rPr>
      </w:pPr>
    </w:p>
    <w:p>
      <w:pPr>
        <w:ind w:left="660" w:hanging="331"/>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revenue increased 14.6% or $17.2 million to $134.5 million;</w:t>
      </w:r>
    </w:p>
    <w:p>
      <w:pPr>
        <w:spacing w:after="0" w:line="25" w:lineRule="exact"/>
        <w:rPr>
          <w:rFonts w:ascii="Arial" w:cs="Arial" w:eastAsia="Arial" w:hAnsi="Arial"/>
          <w:sz w:val="18"/>
          <w:szCs w:val="18"/>
          <w:color w:val="auto"/>
        </w:rPr>
      </w:pPr>
    </w:p>
    <w:p>
      <w:pPr>
        <w:ind w:left="660" w:hanging="331"/>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Same restaurant sales increased 8.2%;</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income decreased $4.0 million to $6.8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income increased $0.4 million to $0.6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Restaurant-Level Adjusted EBITDA* decreased $1.8 million to $28.0 million; and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decreased $0.9 million to $17.6 million.</w:t>
      </w:r>
    </w:p>
    <w:p>
      <w:pPr>
        <w:spacing w:after="0" w:line="236" w:lineRule="exact"/>
        <w:rPr>
          <w:rFonts w:ascii="Arial" w:cs="Arial" w:eastAsia="Arial" w:hAnsi="Arial"/>
          <w:sz w:val="18"/>
          <w:szCs w:val="18"/>
          <w:color w:val="auto"/>
        </w:rPr>
      </w:pPr>
    </w:p>
    <w:p>
      <w:pPr>
        <w:ind w:right="120"/>
        <w:spacing w:after="0" w:line="273" w:lineRule="auto"/>
        <w:rPr>
          <w:rFonts w:ascii="Arial" w:cs="Arial" w:eastAsia="Arial" w:hAnsi="Arial"/>
          <w:sz w:val="18"/>
          <w:szCs w:val="18"/>
          <w:color w:val="auto"/>
        </w:rPr>
      </w:pPr>
      <w:r>
        <w:rPr>
          <w:rFonts w:ascii="Arial" w:cs="Arial" w:eastAsia="Arial" w:hAnsi="Arial"/>
          <w:sz w:val="16"/>
          <w:szCs w:val="16"/>
          <w:color w:val="auto"/>
        </w:rPr>
        <w:t>* Adjusted EBITDA and Restaurant-Level Adjusted EBITDA are non-GAAP measures. Definitions and reconciliations of Adjusted EBITDA to net income and Restaurant-Level Adjusted EBITDA to operating income the most directly comparable financial measures presented in accordance with GAAP, are set forth under the section "Key Performance Indicators and Non-GAAP Financial Measures".</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Recent Developments and Trends</w:t>
      </w:r>
    </w:p>
    <w:p>
      <w:pPr>
        <w:spacing w:after="0" w:line="265"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As the COVID-19 Omicron variant began quickly spreading in late 2021 and into the first several weeks of January 2022, our sales and staffing levels were negatively impacted. However, we saw improvements in sales trends and staffing levels beginning in mid-January 2022. Same-restaurant sales during period one of 2022 grew 9.2% and improved to 13.6% growth in period two of 2022 and grew 2.5% in period three of 2022. During period three of 2022, we were comparing against a same-restaurant sales increase of 24.6% in period three of 2021.</w:t>
      </w:r>
    </w:p>
    <w:p>
      <w:pPr>
        <w:spacing w:after="0" w:line="1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first quarter ended March 27, 2022, we also experienced unprecedented commodity inflation, with the highest impact in pork, chicken and beef prices. While we expect these commodity pressures to continue in fiscal 2022, we do not believe they will have a material impact to our long-term growth and profitability. Additionally, we experienced higher labor expenses during the first quarter of 2022 versus the first quarter of 2021 and anticipate additional wage investments in fiscal 2022. These wage investments, along with expected commodity inflation in the range of 13% to 15%, will have an impact to Restaurant-Level Adjusted EBITDA Margin in fiscal 2022. We plan to partially offset these expense increases through menu price increases and operational efficiencies. During the first quarter of 2022, we increased certain menu prices by approximately 1.5%, and expect additional menu price increases during the second quarter of 2022. Absent significant and prolonged COVID-19 relapses or global economic disruptions, and based on the current trend of our business operations and our focused efforts to elevate guest experiences and enhance digital capabilities, we believe the strength of our brand will deliver consistent, long-term growth.</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Development Highlights</w:t>
      </w:r>
    </w:p>
    <w:p>
      <w:pPr>
        <w:spacing w:after="0" w:line="25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One new restaurant was opened during the first quarter ending March 27, 2022. The opening of this restaurant brings the total restaurant count to 70 as of March 27, 2022, including a restaurant owned by C&amp;O of which Portillo’s owns 50% of the equity.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6600" w:type="dxa"/>
            <w:vAlign w:val="bottom"/>
            <w:tcBorders>
              <w:bottom w:val="single" w:sz="8" w:color="auto"/>
            </w:tcBorders>
          </w:tcPr>
          <w:p>
            <w:pPr>
              <w:ind w:left="3700"/>
              <w:spacing w:after="0"/>
              <w:rPr>
                <w:sz w:val="20"/>
                <w:szCs w:val="20"/>
                <w:color w:val="auto"/>
              </w:rPr>
            </w:pPr>
            <w:r>
              <w:rPr>
                <w:rFonts w:ascii="Arial" w:cs="Arial" w:eastAsia="Arial" w:hAnsi="Arial"/>
                <w:sz w:val="16"/>
                <w:szCs w:val="16"/>
                <w:b w:val="1"/>
                <w:bCs w:val="1"/>
                <w:color w:val="auto"/>
              </w:rPr>
              <w:t>Opening Date</w:t>
            </w:r>
          </w:p>
        </w:tc>
      </w:tr>
      <w:tr>
        <w:trPr>
          <w:trHeight w:val="239"/>
        </w:trPr>
        <w:tc>
          <w:tcPr>
            <w:tcW w:w="4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Joliet, Illinois</w:t>
            </w:r>
          </w:p>
        </w:tc>
        <w:tc>
          <w:tcPr>
            <w:tcW w:w="6600" w:type="dxa"/>
            <w:vAlign w:val="bottom"/>
            <w:shd w:val="clear" w:color="auto" w:fill="DBDBDB"/>
          </w:tcPr>
          <w:p>
            <w:pPr>
              <w:ind w:left="3700"/>
              <w:spacing w:after="0"/>
              <w:rPr>
                <w:sz w:val="20"/>
                <w:szCs w:val="20"/>
                <w:color w:val="auto"/>
              </w:rPr>
            </w:pPr>
            <w:r>
              <w:rPr>
                <w:rFonts w:ascii="Arial" w:cs="Arial" w:eastAsia="Arial" w:hAnsi="Arial"/>
                <w:sz w:val="16"/>
                <w:szCs w:val="16"/>
                <w:color w:val="auto"/>
              </w:rPr>
              <w:t>February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Consolidated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quarters ended March 27, 2022 and March 28, 2021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00" w:type="dxa"/>
            <w:vAlign w:val="bottom"/>
            <w:gridSpan w:val="6"/>
          </w:tcPr>
          <w:p>
            <w:pPr>
              <w:ind w:left="120"/>
              <w:spacing w:after="0"/>
              <w:rPr>
                <w:sz w:val="20"/>
                <w:szCs w:val="20"/>
                <w:color w:val="auto"/>
              </w:rPr>
            </w:pPr>
            <w:r>
              <w:rPr>
                <w:rFonts w:ascii="Arial" w:cs="Arial" w:eastAsia="Arial" w:hAnsi="Arial"/>
                <w:sz w:val="16"/>
                <w:szCs w:val="16"/>
                <w:b w:val="1"/>
                <w:bCs w:val="1"/>
                <w:color w:val="auto"/>
              </w:rPr>
              <w:t>Quarter Ended</w:t>
            </w:r>
          </w:p>
        </w:tc>
        <w:tc>
          <w:tcPr>
            <w:tcW w:w="620" w:type="dxa"/>
            <w:vAlign w:val="bottom"/>
          </w:tcPr>
          <w:p>
            <w:pPr>
              <w:spacing w:after="0"/>
              <w:rPr>
                <w:sz w:val="19"/>
                <w:szCs w:val="19"/>
                <w:color w:val="auto"/>
              </w:rPr>
            </w:pPr>
          </w:p>
        </w:tc>
      </w:tr>
      <w:tr>
        <w:trPr>
          <w:trHeight w:val="245"/>
        </w:trPr>
        <w:tc>
          <w:tcPr>
            <w:tcW w:w="632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w w:val="98"/>
              </w:rPr>
              <w:t>March 27, 2022</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w w:val="98"/>
              </w:rPr>
              <w:t>March 28, 2021</w:t>
            </w:r>
          </w:p>
        </w:tc>
        <w:tc>
          <w:tcPr>
            <w:tcW w:w="620" w:type="dxa"/>
            <w:vAlign w:val="bottom"/>
            <w:tcBorders>
              <w:bottom w:val="single" w:sz="8" w:color="auto"/>
            </w:tcBorders>
          </w:tcPr>
          <w:p>
            <w:pPr>
              <w:spacing w:after="0"/>
              <w:rPr>
                <w:sz w:val="21"/>
                <w:szCs w:val="21"/>
                <w:color w:val="auto"/>
              </w:rPr>
            </w:pPr>
          </w:p>
        </w:tc>
      </w:tr>
      <w:tr>
        <w:trPr>
          <w:trHeight w:val="239"/>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134,482</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8"/>
              </w:rPr>
              <w:t>100.0 %</w:t>
            </w: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117,307</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8"/>
              </w:rPr>
              <w:t>100.0 %</w:t>
            </w:r>
          </w:p>
        </w:tc>
      </w:tr>
      <w:tr>
        <w:trPr>
          <w:trHeight w:val="268"/>
        </w:trPr>
        <w:tc>
          <w:tcPr>
            <w:tcW w:w="6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42"/>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r>
      <w:tr>
        <w:trPr>
          <w:trHeight w:val="234"/>
        </w:trPr>
        <w:tc>
          <w:tcPr>
            <w:tcW w:w="6320" w:type="dxa"/>
            <w:vAlign w:val="bottom"/>
          </w:tcPr>
          <w:p>
            <w:pPr>
              <w:ind w:left="20"/>
              <w:spacing w:after="0"/>
              <w:rPr>
                <w:sz w:val="20"/>
                <w:szCs w:val="20"/>
                <w:color w:val="auto"/>
              </w:rPr>
            </w:pPr>
            <w:r>
              <w:rPr>
                <w:rFonts w:ascii="Arial" w:cs="Arial" w:eastAsia="Arial" w:hAnsi="Arial"/>
                <w:sz w:val="16"/>
                <w:szCs w:val="16"/>
                <w:color w:val="auto"/>
              </w:rPr>
              <w:t>Restaurant operating expenses: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9"/>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46,266</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34.4 %</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35,024</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29.9 %</w:t>
            </w:r>
          </w:p>
        </w:tc>
      </w:tr>
      <w:tr>
        <w:trPr>
          <w:trHeight w:val="234"/>
        </w:trPr>
        <w:tc>
          <w:tcPr>
            <w:tcW w:w="6320" w:type="dxa"/>
            <w:vAlign w:val="bottom"/>
          </w:tcPr>
          <w:p>
            <w:pPr>
              <w:ind w:left="220"/>
              <w:spacing w:after="0"/>
              <w:rPr>
                <w:sz w:val="20"/>
                <w:szCs w:val="20"/>
                <w:color w:val="auto"/>
              </w:rPr>
            </w:pPr>
            <w:r>
              <w:rPr>
                <w:rFonts w:ascii="Arial" w:cs="Arial" w:eastAsia="Arial" w:hAnsi="Arial"/>
                <w:sz w:val="16"/>
                <w:szCs w:val="16"/>
                <w:color w:val="auto"/>
              </w:rPr>
              <w:t>Labor</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37,313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26.5 %</w:t>
            </w:r>
          </w:p>
        </w:tc>
      </w:tr>
      <w:tr>
        <w:trPr>
          <w:trHeight w:val="249"/>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7,755</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5.8 %</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6,784</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5.8 %</w:t>
            </w:r>
          </w:p>
        </w:tc>
      </w:tr>
      <w:tr>
        <w:trPr>
          <w:trHeight w:val="235"/>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15,165</w:t>
            </w:r>
          </w:p>
        </w:tc>
        <w:tc>
          <w:tcPr>
            <w:tcW w:w="100" w:type="dxa"/>
            <w:vAlign w:val="bottom"/>
            <w:tcBorders>
              <w:bottom w:val="single" w:sz="8" w:color="DBDBDB"/>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14,708</w:t>
            </w:r>
          </w:p>
        </w:tc>
        <w:tc>
          <w:tcPr>
            <w:tcW w:w="100" w:type="dxa"/>
            <w:vAlign w:val="bottom"/>
            <w:tcBorders>
              <w:bottom w:val="single" w:sz="8" w:color="DBDBDB"/>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12.5 %</w:t>
            </w:r>
          </w:p>
        </w:tc>
      </w:tr>
      <w:tr>
        <w:trPr>
          <w:trHeight w:val="242"/>
        </w:trPr>
        <w:tc>
          <w:tcPr>
            <w:tcW w:w="632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106,499</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79.2 %</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87,546</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74.6 %</w:t>
            </w:r>
          </w:p>
        </w:tc>
      </w:tr>
      <w:tr>
        <w:trPr>
          <w:trHeight w:val="234"/>
        </w:trPr>
        <w:tc>
          <w:tcPr>
            <w:tcW w:w="632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15,687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11,835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49"/>
        </w:trPr>
        <w:tc>
          <w:tcPr>
            <w:tcW w:w="6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Pre-opening expenses</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1,289</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1.1 %</w:t>
            </w:r>
          </w:p>
        </w:tc>
      </w:tr>
      <w:tr>
        <w:trPr>
          <w:trHeight w:val="234"/>
        </w:trPr>
        <w:tc>
          <w:tcPr>
            <w:tcW w:w="63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5,205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6,289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49"/>
        </w:trPr>
        <w:tc>
          <w:tcPr>
            <w:tcW w:w="6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income attributable to equity method investment</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63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DBDBDB"/>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DBDBDB"/>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42"/>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6,814</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10,853</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9.3 %</w:t>
            </w:r>
          </w:p>
        </w:tc>
      </w:tr>
      <w:tr>
        <w:trPr>
          <w:trHeight w:val="235"/>
        </w:trPr>
        <w:tc>
          <w:tcPr>
            <w:tcW w:w="63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6,099</w:t>
            </w:r>
          </w:p>
        </w:tc>
        <w:tc>
          <w:tcPr>
            <w:tcW w:w="100" w:type="dxa"/>
            <w:vAlign w:val="bottom"/>
            <w:tcBorders>
              <w:bottom w:val="single" w:sz="8" w:color="DBDBDB"/>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10,729</w:t>
            </w:r>
          </w:p>
        </w:tc>
        <w:tc>
          <w:tcPr>
            <w:tcW w:w="100" w:type="dxa"/>
            <w:vAlign w:val="bottom"/>
            <w:tcBorders>
              <w:bottom w:val="single" w:sz="8" w:color="DBDBDB"/>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9.1 %</w:t>
            </w:r>
          </w:p>
        </w:tc>
      </w:tr>
      <w:tr>
        <w:trPr>
          <w:trHeight w:val="242"/>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0.1 %</w:t>
            </w:r>
          </w:p>
        </w:tc>
      </w:tr>
      <w:tr>
        <w:trPr>
          <w:trHeight w:val="235"/>
        </w:trPr>
        <w:tc>
          <w:tcPr>
            <w:tcW w:w="63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2"/>
        </w:trPr>
        <w:tc>
          <w:tcPr>
            <w:tcW w:w="63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top w:val="single" w:sz="8" w:color="auto"/>
            </w:tcBorders>
            <w:shd w:val="clear" w:color="auto" w:fill="DBDBDB"/>
          </w:tcPr>
          <w:p>
            <w:pPr>
              <w:spacing w:after="0"/>
              <w:rPr>
                <w:sz w:val="21"/>
                <w:szCs w:val="21"/>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DBDBDB"/>
            </w:tcBorders>
            <w:shd w:val="clear" w:color="auto" w:fill="DBDBDB"/>
          </w:tcPr>
          <w:p>
            <w:pPr>
              <w:spacing w:after="0"/>
              <w:rPr>
                <w:sz w:val="21"/>
                <w:szCs w:val="21"/>
                <w:color w:val="auto"/>
              </w:rPr>
            </w:pPr>
          </w:p>
        </w:tc>
        <w:tc>
          <w:tcPr>
            <w:tcW w:w="580" w:type="dxa"/>
            <w:vAlign w:val="bottom"/>
            <w:tcBorders>
              <w:top w:val="single" w:sz="8" w:color="auto"/>
            </w:tcBorders>
            <w:shd w:val="clear" w:color="auto" w:fill="DBDBDB"/>
          </w:tcPr>
          <w:p>
            <w:pPr>
              <w:spacing w:after="0"/>
              <w:rPr>
                <w:sz w:val="21"/>
                <w:szCs w:val="21"/>
                <w:color w:val="auto"/>
              </w:rPr>
            </w:pP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top w:val="single" w:sz="8" w:color="DBDBDB"/>
            </w:tcBorders>
            <w:shd w:val="clear" w:color="auto" w:fill="DBDBDB"/>
          </w:tcPr>
          <w:p>
            <w:pPr>
              <w:spacing w:after="0"/>
              <w:rPr>
                <w:sz w:val="21"/>
                <w:szCs w:val="21"/>
                <w:color w:val="auto"/>
              </w:rPr>
            </w:pPr>
          </w:p>
        </w:tc>
        <w:tc>
          <w:tcPr>
            <w:tcW w:w="260" w:type="dxa"/>
            <w:vAlign w:val="bottom"/>
            <w:tcBorders>
              <w:top w:val="single" w:sz="8" w:color="auto"/>
            </w:tcBorders>
            <w:shd w:val="clear" w:color="auto" w:fill="DBDBDB"/>
          </w:tcPr>
          <w:p>
            <w:pPr>
              <w:spacing w:after="0"/>
              <w:rPr>
                <w:sz w:val="21"/>
                <w:szCs w:val="21"/>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DBDBDB"/>
            </w:tcBorders>
            <w:shd w:val="clear" w:color="auto" w:fill="DBDBDB"/>
          </w:tcPr>
          <w:p>
            <w:pPr>
              <w:spacing w:after="0"/>
              <w:rPr>
                <w:sz w:val="21"/>
                <w:szCs w:val="21"/>
                <w:color w:val="auto"/>
              </w:rPr>
            </w:pPr>
          </w:p>
        </w:tc>
        <w:tc>
          <w:tcPr>
            <w:tcW w:w="580" w:type="dxa"/>
            <w:vAlign w:val="bottom"/>
            <w:tcBorders>
              <w:top w:val="single" w:sz="8" w:color="auto"/>
            </w:tcBorders>
            <w:shd w:val="clear" w:color="auto" w:fill="DBDBDB"/>
          </w:tcPr>
          <w:p>
            <w:pPr>
              <w:spacing w:after="0"/>
              <w:rPr>
                <w:sz w:val="21"/>
                <w:szCs w:val="21"/>
                <w:color w:val="auto"/>
              </w:rPr>
            </w:pP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0.1 %</w:t>
            </w:r>
          </w:p>
        </w:tc>
      </w:tr>
      <w:tr>
        <w:trPr>
          <w:trHeight w:val="235"/>
        </w:trPr>
        <w:tc>
          <w:tcPr>
            <w:tcW w:w="6320" w:type="dxa"/>
            <w:vAlign w:val="bottom"/>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260" w:type="dxa"/>
            <w:vAlign w:val="bottom"/>
          </w:tcPr>
          <w:p>
            <w:pPr>
              <w:spacing w:after="0"/>
              <w:rPr>
                <w:sz w:val="20"/>
                <w:szCs w:val="20"/>
                <w:color w:val="auto"/>
              </w:rPr>
            </w:pPr>
          </w:p>
        </w:tc>
        <w:tc>
          <w:tcPr>
            <w:tcW w:w="1500" w:type="dxa"/>
            <w:vAlign w:val="bottom"/>
            <w:gridSpan w:val="3"/>
          </w:tcPr>
          <w:p>
            <w:pPr>
              <w:jc w:val="right"/>
              <w:ind w:right="7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2"/>
        </w:trPr>
        <w:tc>
          <w:tcPr>
            <w:tcW w:w="63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 ATTRIBUTABLE TO COMMON HOLDERS</w:t>
            </w:r>
          </w:p>
        </w:tc>
        <w:tc>
          <w:tcPr>
            <w:tcW w:w="260" w:type="dxa"/>
            <w:vAlign w:val="bottom"/>
            <w:tcBorders>
              <w:top w:val="single" w:sz="8" w:color="auto"/>
            </w:tcBorders>
            <w:shd w:val="clear" w:color="auto" w:fill="DBDBDB"/>
          </w:tcPr>
          <w:p>
            <w:pPr>
              <w:spacing w:after="0"/>
              <w:rPr>
                <w:sz w:val="21"/>
                <w:szCs w:val="21"/>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DBDBDB"/>
            </w:tcBorders>
            <w:shd w:val="clear" w:color="auto" w:fill="DBDBDB"/>
          </w:tcPr>
          <w:p>
            <w:pPr>
              <w:spacing w:after="0"/>
              <w:rPr>
                <w:sz w:val="21"/>
                <w:szCs w:val="21"/>
                <w:color w:val="auto"/>
              </w:rPr>
            </w:pPr>
          </w:p>
        </w:tc>
        <w:tc>
          <w:tcPr>
            <w:tcW w:w="580" w:type="dxa"/>
            <w:vAlign w:val="bottom"/>
            <w:tcBorders>
              <w:top w:val="single" w:sz="8" w:color="auto"/>
            </w:tcBorders>
            <w:shd w:val="clear" w:color="auto" w:fill="DBDBDB"/>
          </w:tcPr>
          <w:p>
            <w:pPr>
              <w:spacing w:after="0"/>
              <w:rPr>
                <w:sz w:val="21"/>
                <w:szCs w:val="21"/>
                <w:color w:val="auto"/>
              </w:rPr>
            </w:pP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top w:val="single" w:sz="8" w:color="DBDBDB"/>
            </w:tcBorders>
            <w:shd w:val="clear" w:color="auto" w:fill="DBDBDB"/>
          </w:tcPr>
          <w:p>
            <w:pPr>
              <w:spacing w:after="0"/>
              <w:rPr>
                <w:sz w:val="21"/>
                <w:szCs w:val="21"/>
                <w:color w:val="auto"/>
              </w:rPr>
            </w:pPr>
          </w:p>
        </w:tc>
        <w:tc>
          <w:tcPr>
            <w:tcW w:w="260" w:type="dxa"/>
            <w:vAlign w:val="bottom"/>
            <w:tcBorders>
              <w:top w:val="single" w:sz="8" w:color="auto"/>
            </w:tcBorders>
            <w:shd w:val="clear" w:color="auto" w:fill="DBDBDB"/>
          </w:tcPr>
          <w:p>
            <w:pPr>
              <w:spacing w:after="0"/>
              <w:rPr>
                <w:sz w:val="21"/>
                <w:szCs w:val="21"/>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(5,391)</w:t>
            </w:r>
          </w:p>
        </w:tc>
        <w:tc>
          <w:tcPr>
            <w:tcW w:w="100" w:type="dxa"/>
            <w:vAlign w:val="bottom"/>
            <w:tcBorders>
              <w:top w:val="single" w:sz="8" w:color="DBDBDB"/>
            </w:tcBorders>
            <w:shd w:val="clear" w:color="auto" w:fill="DBDBDB"/>
          </w:tcPr>
          <w:p>
            <w:pPr>
              <w:spacing w:after="0"/>
              <w:rPr>
                <w:sz w:val="21"/>
                <w:szCs w:val="21"/>
                <w:color w:val="auto"/>
              </w:rPr>
            </w:pPr>
          </w:p>
        </w:tc>
        <w:tc>
          <w:tcPr>
            <w:tcW w:w="580" w:type="dxa"/>
            <w:vAlign w:val="bottom"/>
            <w:tcBorders>
              <w:top w:val="single" w:sz="8" w:color="auto"/>
            </w:tcBorders>
            <w:shd w:val="clear" w:color="auto" w:fill="DBDBDB"/>
          </w:tcPr>
          <w:p>
            <w:pPr>
              <w:spacing w:after="0"/>
              <w:rPr>
                <w:sz w:val="21"/>
                <w:szCs w:val="21"/>
                <w:color w:val="auto"/>
              </w:rPr>
            </w:pP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w:t>
            </w:r>
          </w:p>
        </w:tc>
      </w:tr>
      <w:tr>
        <w:trPr>
          <w:trHeight w:val="235"/>
        </w:trPr>
        <w:tc>
          <w:tcPr>
            <w:tcW w:w="63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63"/>
        </w:trPr>
        <w:tc>
          <w:tcPr>
            <w:tcW w:w="63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 ATTRIBUTABLE TO PORTILLO'S INC.</w:t>
            </w:r>
          </w:p>
        </w:tc>
        <w:tc>
          <w:tcPr>
            <w:tcW w:w="260" w:type="dxa"/>
            <w:vAlign w:val="bottom"/>
            <w:tcBorders>
              <w:top w:val="single" w:sz="8" w:color="auto"/>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580" w:type="dxa"/>
            <w:vAlign w:val="bottom"/>
            <w:tcBorders>
              <w:top w:val="single" w:sz="8" w:color="auto"/>
              <w:bottom w:val="single" w:sz="8" w:color="auto"/>
            </w:tcBorders>
            <w:shd w:val="clear" w:color="auto" w:fill="DBDBDB"/>
          </w:tcPr>
          <w:p>
            <w:pPr>
              <w:spacing w:after="0"/>
              <w:rPr>
                <w:sz w:val="22"/>
                <w:szCs w:val="22"/>
                <w:color w:val="auto"/>
              </w:rPr>
            </w:pPr>
          </w:p>
        </w:tc>
        <w:tc>
          <w:tcPr>
            <w:tcW w:w="6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top w:val="single" w:sz="8" w:color="DBDBDB"/>
              <w:bottom w:val="single" w:sz="8" w:color="DBDBDB"/>
            </w:tcBorders>
            <w:shd w:val="clear" w:color="auto" w:fill="DBDBDB"/>
          </w:tcPr>
          <w:p>
            <w:pPr>
              <w:spacing w:after="0"/>
              <w:rPr>
                <w:sz w:val="22"/>
                <w:szCs w:val="22"/>
                <w:color w:val="auto"/>
              </w:rPr>
            </w:pPr>
          </w:p>
        </w:tc>
        <w:tc>
          <w:tcPr>
            <w:tcW w:w="260" w:type="dxa"/>
            <w:vAlign w:val="bottom"/>
            <w:tcBorders>
              <w:top w:val="single" w:sz="8" w:color="auto"/>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(5,391)</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580" w:type="dxa"/>
            <w:vAlign w:val="bottom"/>
            <w:tcBorders>
              <w:top w:val="single" w:sz="8" w:color="auto"/>
              <w:bottom w:val="single" w:sz="8" w:color="auto"/>
            </w:tcBorders>
            <w:shd w:val="clear" w:color="auto" w:fill="DBDBDB"/>
          </w:tcPr>
          <w:p>
            <w:pPr>
              <w:spacing w:after="0"/>
              <w:rPr>
                <w:sz w:val="22"/>
                <w:szCs w:val="22"/>
                <w:color w:val="auto"/>
              </w:rPr>
            </w:pPr>
          </w:p>
        </w:tc>
        <w:tc>
          <w:tcPr>
            <w:tcW w:w="6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632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Revenues, Net</w:t>
      </w:r>
    </w:p>
    <w:p>
      <w:pPr>
        <w:spacing w:after="0" w:line="2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 At the end of 2021, the Company began to record the difference in higher third-party delivery menu prices, versus regular menu prices, in revenues. This markup was previously recorded in cost of goods sold, excluding depreciation and amortization. As a result, we anticipate this change to positively impact our same-restaurant sales growth by 2%-3% in each quarter in 2022 and for the full fiscal year 2022, with a corresponding increase to costs of goods sold, excluding depreciation and amortization. There is no anticipated or actual impact on operating income for any period. See Note 2. Summary Of Significant Accounting Policies-Revenue Recognition,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Revenues for the quarter ended March 27, 2022 were $134.5 million compared to $117.3 million for the quarter ended March 28, 2021, an increase of $17.2 million or 14.6%. The increase in revenues was primarily attributed to an increase in our same-restaurant sales and the opening of five new restaurants in 2021 and one new restaurant during the quarter ended March 27, 2022. The new restaurants positively impacted revenues by approximately $8.5 million in the quarter ended March 27, 2022. Same-restaurant sales increased 8.2% during the first quarter ended March 27, 2022, which was attributable to an increase in average check of 7.5% and a 2.9% impact from the change in recording third-party delivery pricing, offset by a decline in traffic of 2.2%. The higher average check was primarily driven by an increase in menu prices and to a lesser extent, mix of items sold. We increased prices approximately 1.5% in the first quarter of 2022 and expect to additionally increase prices in the second quarter of 2022 to continue to combat inflationary cost pressures. For the purpose of calculating same-restaurant sales for March 27, 2022, sales for 61 restaurants were included in the Comparable Restaurant Base (as defined in "Selected Operating Data" below) versus 58 as of the quarter ended March 28, 2021.</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Cost of Goods Sold, Excluding Depreciation and Amortization</w:t>
      </w:r>
    </w:p>
    <w:p>
      <w:pPr>
        <w:spacing w:after="0" w:line="2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Cost of goods sold, excluding depreciation and amortization includes the direct costs associated with food and beverages, including paper products and third-party delivery commissions. The components of cost of goods sold, excluding depreciation and amortization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r>
        <w:rPr>
          <w:rFonts w:ascii="Arial" w:cs="Arial" w:eastAsia="Arial" w:hAnsi="Arial"/>
          <w:sz w:val="18"/>
          <w:szCs w:val="18"/>
          <w:color w:val="auto"/>
        </w:rPr>
        <w:t xml:space="preserve"> We anticipate the comparability of cost of goods sold, excluding depreciation and amortization, to be impacted in 2022 versus 2021 due to the aforementioned change in how the Company records third-party delivery menu prices. There is no anticipated or actual impact on operating income for any period.</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 of goods sold, excluding depreciation and amortization for the quarter ended March 27, 2022 was $46.3 million compared to $35.0 million for the quarter ended March 28, 2021, an increase of $ 11.2 million or 32.1%. This increase was primarily driven by a 15.7% increase in all commodity prices, with higher impacts in pork, chicken and beef prices; the impact of how the Company records third-party delivery menu prices; and the opening of five new restaurants in 2021 and one new restaurant during the quarter ended March 27, 2022. As a percentage of revenues, cost of goods sold, excluding depreciation and amortization increased 4.5% during the quarter ended March 27, 2022. The increase was primarily due to an increase in all commodity prices and the impact of how the Company records third-party delivery menu prices, partially offset by an increase in our average check.</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Expenses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Labor expenses include hourly and management wages, bonuses, payroll taxes, workers’ compensation expense and team member benefits.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Factors that influence labor costs include minimum wage and payroll tax legislation, health care costs and the performance of our restaurants</w:t>
      </w:r>
      <w:r>
        <w:rPr>
          <w:rFonts w:ascii="Arial" w:cs="Arial" w:eastAsia="Arial" w:hAnsi="Arial"/>
          <w:sz w:val="17"/>
          <w:szCs w:val="17"/>
          <w:i w:val="1"/>
          <w:iCs w:val="1"/>
          <w:color w:val="auto"/>
        </w:rPr>
        <w:t>.</w:t>
      </w:r>
    </w:p>
    <w:p>
      <w:pPr>
        <w:spacing w:after="0" w:line="2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Labor expenses for the quarter ended March 27, 2022 were $ 37.3 million compared to $31.0 million for the quarter ended March 28, 2021, an increase of $6.3 million or 20.2%. This increase was primarily driven the opening of five new restaurants in 2021 and one new restaurant during the quarter ended March 27, 2022, incremental investments to support our team members, primarily hourly rate increases made in the second quarter of 2021, and the comparative impact of continued expansion of our dine-in capacity. As a percentage of revenues, labor increased 1.2% due primarily to the aforementioned incremental hourly rate increases to support our team members and continued expansion of our dine-in capacity, partially offset by an increase in our average check and the favorable effect resulting from the leverage of higher revenues due to the impact of how the Company records third-party delivery menu prices.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Occupancy Expenses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common area expenses and property taxes.</w:t>
      </w:r>
    </w:p>
    <w:p>
      <w:pPr>
        <w:spacing w:after="0" w:line="249"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Occupancy expenses for the quarter ended March 27, 2022 were $7.8 million compared to $6.8 million for the quarter ended March 28, 2021, an increase of $1.0 million or 14.3%, primarily driven by the opening of five new restaurants in 2021 and one new restaurant during the quarter ended March 27, 2022.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Operating Expenses</w:t>
      </w:r>
    </w:p>
    <w:p>
      <w:pPr>
        <w:spacing w:after="0" w:line="24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Other operating expenses consist of direct marketing expenses, utilities and other operating expenses incidental to operating our restaurants, such as credit card fees and repairs and maintenance.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Other operating expenses for the quarter ended March 27, 2022 were $15.2 million compared to $14.7 million for the quarter ended March 28, 2021, an increase of $0.5 million or 3.1%, primarily driven by the opening of five new restaurants in 2021 and one new restaurant during the quarter ended March 27, 2022 as well as an increase in repair and maintenance, offset by a reduction in utility and uniform costs.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and Administrative Expenses</w:t>
      </w:r>
    </w:p>
    <w:p>
      <w:pPr>
        <w:spacing w:after="0" w:line="25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General and administrative expenses for the quarter ended March 27, 2022 were $15.7 million compared to $11.8 million for the quarter ended March 28, 2021, an increase of $3.9 million or 32.5%. This increase was primarily driven by an increase in equity-based compensation of $3.3 million. The remainder of the increase is related to a $0.7 million increase in transaction-related fees and expenses, consisting primarily of certain professional fees.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Pre-opening expenses consist primarily of occupancy expenses, which represent rent expense recognized during the period between the date of possession of the restaurant facility and the restaurant opening date, wages,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initially experience higher pre-opening expenses than our established geographic market areas, such as the Chicagoland area, where we have greater economies of scale and incur lower travel and lodging costs for our training team.</w:t>
      </w:r>
    </w:p>
    <w:p>
      <w:pPr>
        <w:spacing w:after="0" w:line="211"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Pre-opening expenses for the quarter ended March 27, 2022 were $0.6 million compared to $1.3 million for the quarter ended March 28, 2021, a decrease of $0.7 million or 56.9%. This decrease was due to the timing and geographic location of restaurant openings in the first quarter of 2022 versus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Depreciation and Amortization</w:t>
      </w:r>
    </w:p>
    <w:p>
      <w:pPr>
        <w:spacing w:after="0" w:line="25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w:t>
      </w:r>
    </w:p>
    <w:p>
      <w:pPr>
        <w:spacing w:after="0" w:line="18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Depreciation and amortization expense for the quarter ended March 27, 2022 was $5.2 million compared to $6.3 million for the quarter ended March 28, 2021, a decrease of $1.1 million or 17.2%. This decrease was primarily attributable to an expired non-compete intangible asset, partially offset by incremental depreciation of capital expenditures related to the opening of five new restaurants in 2021 and one new restaurant during the quarter ended March 27, 2022.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Equity Method Investment</w:t>
      </w:r>
    </w:p>
    <w:p>
      <w:pPr>
        <w:spacing w:after="0" w:line="244"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consolidated financial statements under the equity method of accounting as we have significant influence but do not have control.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equity method investment was $0.1 million for each of the quarters ended March 27, 2022 and March 28, 2021.</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Income, Net</w:t>
      </w:r>
    </w:p>
    <w:p>
      <w:pPr>
        <w:spacing w:after="0" w:line="25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Other income, net for the quarter ended March 27, 2022 was $0.2 million compared to $0.4 million for the quarter ended March 28, 2021 a decrease of $0.3 million or 64.6%. This decrease was primarily due to a decrease in trading gains in our deferred compensation plan.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Expense</w:t>
      </w:r>
    </w:p>
    <w:p>
      <w:pPr>
        <w:spacing w:after="0" w:line="25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Interest expense for the quarter ended March 27, 2022 was $6.1 million compared to $10.7 million for quarter ended March 28, 2021, a decrease of $4.6 million or 43.2%. This decrease was primarily driven by the payoff of the Second Term B-3 Loans with the use of IPO proceeds during the year ended December 26, 2021 and decreased borrowings on the First Lien Term B-3 Loans during the quarter ended March 27, 2022. There were no outstanding borrowings under the Revolving Facility during the quarter ended March 27, 2022 or the quarter ended March 28,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44"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passed through to and included in the taxable income or loss of its members on a pro rata basis. As of the IPO, we are subject to U.S. federal, as well as state and local income taxes with respect to our allocable share of any taxable income or loss of Portillo's OpCo, as well as any stand-alone income or loss generated by Portillo's Inc.</w:t>
      </w:r>
    </w:p>
    <w:p>
      <w:pPr>
        <w:spacing w:after="0" w:line="20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Income tax expense for the quarter ended March 27, 2022 was $0.2 million. Our effective income tax rate for quarter ended March 27, 2022 was 16.6%. There was no income tax expense for the quarter ended March 28,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Non-controlling Interests</w:t>
      </w:r>
    </w:p>
    <w:p>
      <w:pPr>
        <w:spacing w:after="0" w:line="2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IPO, we became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pacing w:after="0" w:line="21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Net income attributable to non-controlling interests for the quarter ended March 27, 2022 was $0.4 million. There was no such income (loss) for the quarter ended March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Key Performance Indicators and Non-GAAP Financial Measures</w:t>
      </w:r>
    </w:p>
    <w:p>
      <w:pPr>
        <w:spacing w:after="0" w:line="2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new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6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27, 2022</w:t>
            </w:r>
          </w:p>
        </w:tc>
        <w:tc>
          <w:tcPr>
            <w:tcW w:w="300" w:type="dxa"/>
            <w:vAlign w:val="bottom"/>
          </w:tcPr>
          <w:p>
            <w:pPr>
              <w:spacing w:after="0"/>
              <w:rPr>
                <w:sz w:val="21"/>
                <w:szCs w:val="21"/>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6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280" w:type="dxa"/>
            <w:vAlign w:val="bottom"/>
            <w:tcBorders>
              <w:top w:val="single" w:sz="8" w:color="auto"/>
            </w:tcBorders>
            <w:shd w:val="clear" w:color="auto" w:fill="DBDBDB"/>
          </w:tcPr>
          <w:p>
            <w:pPr>
              <w:spacing w:after="0"/>
              <w:rPr>
                <w:sz w:val="20"/>
                <w:szCs w:val="20"/>
                <w:color w:val="auto"/>
              </w:rPr>
            </w:pP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8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spacing w:after="0"/>
              <w:rPr>
                <w:sz w:val="20"/>
                <w:szCs w:val="20"/>
                <w:color w:val="auto"/>
              </w:rPr>
            </w:pP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w:t>
            </w:r>
          </w:p>
        </w:tc>
      </w:tr>
      <w:tr>
        <w:trPr>
          <w:trHeight w:val="234"/>
        </w:trPr>
        <w:tc>
          <w:tcPr>
            <w:tcW w:w="694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7.6</w:t>
            </w:r>
          </w:p>
        </w:tc>
      </w:tr>
      <w:tr>
        <w:trPr>
          <w:trHeight w:val="24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8.2 %</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0.8 %</w:t>
            </w:r>
          </w:p>
        </w:tc>
      </w:tr>
      <w:tr>
        <w:trPr>
          <w:trHeight w:val="234"/>
        </w:trPr>
        <w:tc>
          <w:tcPr>
            <w:tcW w:w="6940" w:type="dxa"/>
            <w:vAlign w:val="bottom"/>
          </w:tcPr>
          <w:p>
            <w:pPr>
              <w:ind w:left="20"/>
              <w:spacing w:after="0"/>
              <w:rPr>
                <w:sz w:val="20"/>
                <w:szCs w:val="20"/>
                <w:color w:val="auto"/>
              </w:rPr>
            </w:pPr>
            <w:r>
              <w:rPr>
                <w:rFonts w:ascii="Arial" w:cs="Arial" w:eastAsia="Arial" w:hAnsi="Arial"/>
                <w:sz w:val="16"/>
                <w:szCs w:val="16"/>
                <w:color w:val="auto"/>
              </w:rPr>
              <w:t>Adjusted EBITDA (in thousands)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17,630</w:t>
            </w:r>
          </w:p>
        </w:tc>
        <w:tc>
          <w:tcPr>
            <w:tcW w:w="8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18,534</w:t>
            </w:r>
          </w:p>
        </w:tc>
      </w:tr>
      <w:tr>
        <w:trPr>
          <w:trHeight w:val="24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13.1 %</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15.8 %</w:t>
            </w:r>
          </w:p>
        </w:tc>
      </w:tr>
      <w:tr>
        <w:trPr>
          <w:trHeight w:val="234"/>
        </w:trPr>
        <w:tc>
          <w:tcPr>
            <w:tcW w:w="694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27,983</w:t>
            </w:r>
          </w:p>
        </w:tc>
        <w:tc>
          <w:tcPr>
            <w:tcW w:w="8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29,761</w:t>
            </w:r>
          </w:p>
        </w:tc>
      </w:tr>
      <w:tr>
        <w:trPr>
          <w:trHeight w:val="24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20.8 %</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25.4 %</w:t>
            </w:r>
          </w:p>
        </w:tc>
      </w:tr>
    </w:tbl>
    <w:p>
      <w:pPr>
        <w:spacing w:after="0" w:line="80" w:lineRule="exact"/>
        <w:rPr>
          <w:sz w:val="20"/>
          <w:szCs w:val="20"/>
          <w:color w:val="auto"/>
        </w:rPr>
      </w:pPr>
    </w:p>
    <w:p>
      <w:pPr>
        <w:ind w:right="60" w:firstLine="7"/>
        <w:spacing w:after="0" w:line="257" w:lineRule="auto"/>
        <w:tabs>
          <w:tab w:leader="none" w:pos="24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as described in Note 7. Equity Method Investment in the notes to the unaudited condensed consolidated financial statements. AUVs for the quarters ended March 27, 2022 and March 28, 2021 represent AUVs for the twelve months ended March 27, 2022 and March 28, 2021, respectively.</w:t>
      </w:r>
    </w:p>
    <w:p>
      <w:pPr>
        <w:spacing w:after="0" w:line="2" w:lineRule="exact"/>
        <w:rPr>
          <w:rFonts w:ascii="Arial" w:cs="Arial" w:eastAsia="Arial" w:hAnsi="Arial"/>
          <w:sz w:val="16"/>
          <w:szCs w:val="16"/>
          <w:color w:val="auto"/>
        </w:rPr>
      </w:pPr>
    </w:p>
    <w:p>
      <w:pPr>
        <w:ind w:left="240" w:hanging="233"/>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Excludes a restaurant that is owned by C&amp;O of which Portillo’s owns 50% of the equity.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 in Same-Restaurant Sales</w:t>
      </w:r>
    </w:p>
    <w:p>
      <w:pPr>
        <w:spacing w:after="0" w:line="2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quarters ended March 27, 2022 and March 28, 2021, there were 61 and 58 restaurants in our Comparable Restaurant Base, respectively. The Comparable Restaurant Base excludes a restaurant that is owned by C&amp;O, of which Portillo’s owns 50% of the equity, as described in Note 7. Equity Method Investment in the notes to the unaudited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Average Unit Volume ("AUV")</w:t>
      </w:r>
    </w:p>
    <w:p>
      <w:pPr>
        <w:spacing w:after="0" w:line="25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including a restaurant that is owned by C&amp;O, divided by the number of restaurants in the Comparable Restaurant Base by period.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Non-GAAP Financial Measures</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Adjusted EBITDA and Adjusted EBITDA Margin</w:t>
      </w:r>
    </w:p>
    <w:p>
      <w:pPr>
        <w:spacing w:after="0" w:line="25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Adjusted EBITDA represents net income before depreciation and amortization, interest expense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total revenues.</w:t>
      </w:r>
    </w:p>
    <w:p>
      <w:pPr>
        <w:spacing w:after="0" w:line="204"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 (ii)internally as benchmarks to compare our performance to that of our competitors and (iii) as factors in evaluating management’s performance when determining incentive compensation.</w:t>
      </w:r>
    </w:p>
    <w:p>
      <w:pPr>
        <w:spacing w:after="0" w:line="20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and Adjusted EBITDA margin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6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27, 2022</w:t>
            </w:r>
          </w:p>
        </w:tc>
        <w:tc>
          <w:tcPr>
            <w:tcW w:w="300" w:type="dxa"/>
            <w:vAlign w:val="bottom"/>
          </w:tcPr>
          <w:p>
            <w:pPr>
              <w:spacing w:after="0"/>
              <w:rPr>
                <w:sz w:val="21"/>
                <w:szCs w:val="21"/>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6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124</w:t>
            </w:r>
          </w:p>
        </w:tc>
      </w:tr>
      <w:tr>
        <w:trPr>
          <w:trHeight w:val="234"/>
        </w:trPr>
        <w:tc>
          <w:tcPr>
            <w:tcW w:w="69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5,205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6,289</w:t>
            </w:r>
          </w:p>
        </w:tc>
      </w:tr>
      <w:tr>
        <w:trPr>
          <w:trHeight w:val="24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6,099</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10,729</w:t>
            </w:r>
          </w:p>
        </w:tc>
      </w:tr>
      <w:tr>
        <w:trPr>
          <w:trHeight w:val="235"/>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42"/>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12,019</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17,142</w:t>
            </w:r>
          </w:p>
        </w:tc>
      </w:tr>
      <w:tr>
        <w:trPr>
          <w:trHeight w:val="234"/>
        </w:trPr>
        <w:tc>
          <w:tcPr>
            <w:tcW w:w="6940" w:type="dxa"/>
            <w:vAlign w:val="bottom"/>
          </w:tcPr>
          <w:p>
            <w:pPr>
              <w:ind w:left="20"/>
              <w:spacing w:after="0"/>
              <w:rPr>
                <w:sz w:val="20"/>
                <w:szCs w:val="20"/>
                <w:color w:val="auto"/>
              </w:rPr>
            </w:pPr>
            <w:r>
              <w:rPr>
                <w:rFonts w:ascii="Arial" w:cs="Arial" w:eastAsia="Arial" w:hAnsi="Arial"/>
                <w:sz w:val="16"/>
                <w:szCs w:val="16"/>
                <w:color w:val="auto"/>
              </w:rPr>
              <w:t>Deferred rent (1)</w:t>
            </w:r>
          </w:p>
        </w:tc>
        <w:tc>
          <w:tcPr>
            <w:tcW w:w="300" w:type="dxa"/>
            <w:vAlign w:val="bottom"/>
          </w:tcPr>
          <w:p>
            <w:pPr>
              <w:spacing w:after="0"/>
              <w:rPr>
                <w:sz w:val="20"/>
                <w:szCs w:val="20"/>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796</w:t>
            </w:r>
          </w:p>
        </w:tc>
      </w:tr>
      <w:tr>
        <w:trPr>
          <w:trHeight w:val="24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Equity-based compensation</w:t>
            </w: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3,785</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105</w:t>
            </w:r>
          </w:p>
        </w:tc>
      </w:tr>
      <w:tr>
        <w:trPr>
          <w:trHeight w:val="234"/>
        </w:trPr>
        <w:tc>
          <w:tcPr>
            <w:tcW w:w="6940" w:type="dxa"/>
            <w:vAlign w:val="bottom"/>
          </w:tcPr>
          <w:p>
            <w:pPr>
              <w:ind w:left="20"/>
              <w:spacing w:after="0"/>
              <w:rPr>
                <w:sz w:val="20"/>
                <w:szCs w:val="20"/>
                <w:color w:val="auto"/>
              </w:rPr>
            </w:pPr>
            <w:r>
              <w:rPr>
                <w:rFonts w:ascii="Arial" w:cs="Arial" w:eastAsia="Arial" w:hAnsi="Arial"/>
                <w:sz w:val="16"/>
                <w:szCs w:val="16"/>
                <w:color w:val="auto"/>
              </w:rPr>
              <w:t>Consulting fees (2)</w:t>
            </w:r>
          </w:p>
        </w:tc>
        <w:tc>
          <w:tcPr>
            <w:tcW w:w="300" w:type="dxa"/>
            <w:vAlign w:val="bottom"/>
          </w:tcPr>
          <w:p>
            <w:pPr>
              <w:spacing w:after="0"/>
              <w:rPr>
                <w:sz w:val="20"/>
                <w:szCs w:val="20"/>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500</w:t>
            </w:r>
          </w:p>
        </w:tc>
      </w:tr>
      <w:tr>
        <w:trPr>
          <w:trHeight w:val="249"/>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loss (income) (3)</w:t>
            </w: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(9)</w:t>
            </w:r>
          </w:p>
        </w:tc>
      </w:tr>
      <w:tr>
        <w:trPr>
          <w:trHeight w:val="235"/>
        </w:trPr>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Transaction-related fees &amp; expenses (4)</w:t>
            </w: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5"/>
        </w:trPr>
        <w:tc>
          <w:tcPr>
            <w:tcW w:w="6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17,630</w:t>
            </w:r>
          </w:p>
        </w:tc>
        <w:tc>
          <w:tcPr>
            <w:tcW w:w="100" w:type="dxa"/>
            <w:vAlign w:val="bottom"/>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18,534</w:t>
            </w:r>
          </w:p>
        </w:tc>
      </w:tr>
      <w:tr>
        <w:trPr>
          <w:trHeight w:val="242"/>
        </w:trPr>
        <w:tc>
          <w:tcPr>
            <w:tcW w:w="694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3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15.8 %</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240" w:hanging="233"/>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29" w:lineRule="exact"/>
        <w:rPr>
          <w:rFonts w:ascii="Arial" w:cs="Arial" w:eastAsia="Arial" w:hAnsi="Arial"/>
          <w:sz w:val="16"/>
          <w:szCs w:val="16"/>
          <w:color w:val="auto"/>
        </w:rPr>
      </w:pPr>
    </w:p>
    <w:p>
      <w:pPr>
        <w:ind w:left="240" w:hanging="233"/>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consulting fees related to our former owner.</w:t>
      </w:r>
    </w:p>
    <w:p>
      <w:pPr>
        <w:spacing w:after="0" w:line="7" w:lineRule="exact"/>
        <w:rPr>
          <w:rFonts w:ascii="Arial" w:cs="Arial" w:eastAsia="Arial" w:hAnsi="Arial"/>
          <w:sz w:val="16"/>
          <w:szCs w:val="16"/>
          <w:color w:val="auto"/>
        </w:rPr>
      </w:pPr>
    </w:p>
    <w:p>
      <w:pPr>
        <w:ind w:left="240" w:hanging="233"/>
        <w:spacing w:after="0" w:line="227"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loss (gain) on disposal of property and equipment.</w:t>
      </w:r>
    </w:p>
    <w:p>
      <w:pPr>
        <w:ind w:left="240" w:hanging="233"/>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exclusion of certain expenses that management believes are not indicative of ongoing operations, consisting primarily of certain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professional fees.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Restaurant-Level Adjusted EBITDA and Restaurant-Level Adjusted EBITDA Margin</w:t>
      </w:r>
    </w:p>
    <w:p>
      <w:pPr>
        <w:spacing w:after="0" w:line="19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8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27, 2022</w:t>
            </w:r>
          </w:p>
        </w:tc>
        <w:tc>
          <w:tcPr>
            <w:tcW w:w="300" w:type="dxa"/>
            <w:vAlign w:val="bottom"/>
          </w:tcPr>
          <w:p>
            <w:pPr>
              <w:spacing w:after="0"/>
              <w:rPr>
                <w:sz w:val="21"/>
                <w:szCs w:val="21"/>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6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6,814</w:t>
            </w:r>
          </w:p>
        </w:tc>
        <w:tc>
          <w:tcPr>
            <w:tcW w:w="8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10,853</w:t>
            </w:r>
          </w:p>
        </w:tc>
      </w:tr>
      <w:tr>
        <w:trPr>
          <w:trHeight w:val="234"/>
        </w:trPr>
        <w:tc>
          <w:tcPr>
            <w:tcW w:w="6960" w:type="dxa"/>
            <w:vAlign w:val="bottom"/>
          </w:tcPr>
          <w:p>
            <w:pPr>
              <w:ind w:left="20"/>
              <w:spacing w:after="0"/>
              <w:rPr>
                <w:sz w:val="20"/>
                <w:szCs w:val="20"/>
                <w:color w:val="auto"/>
              </w:rPr>
            </w:pPr>
            <w:r>
              <w:rPr>
                <w:rFonts w:ascii="Arial" w:cs="Arial" w:eastAsia="Arial" w:hAnsi="Arial"/>
                <w:sz w:val="16"/>
                <w:szCs w:val="16"/>
                <w:color w:val="auto"/>
              </w:rPr>
              <w:t>Plus:</w:t>
            </w: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9"/>
        </w:trPr>
        <w:tc>
          <w:tcPr>
            <w:tcW w:w="69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15,687</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11,835</w:t>
            </w:r>
          </w:p>
        </w:tc>
      </w:tr>
      <w:tr>
        <w:trPr>
          <w:trHeight w:val="234"/>
        </w:trPr>
        <w:tc>
          <w:tcPr>
            <w:tcW w:w="696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300" w:type="dxa"/>
            <w:vAlign w:val="bottom"/>
          </w:tcPr>
          <w:p>
            <w:pPr>
              <w:spacing w:after="0"/>
              <w:rPr>
                <w:sz w:val="20"/>
                <w:szCs w:val="20"/>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1,289</w:t>
            </w:r>
          </w:p>
        </w:tc>
      </w:tr>
      <w:tr>
        <w:trPr>
          <w:trHeight w:val="249"/>
        </w:trPr>
        <w:tc>
          <w:tcPr>
            <w:tcW w:w="69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5,205</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6,289</w:t>
            </w:r>
          </w:p>
        </w:tc>
      </w:tr>
      <w:tr>
        <w:trPr>
          <w:trHeight w:val="234"/>
        </w:trPr>
        <w:tc>
          <w:tcPr>
            <w:tcW w:w="696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300" w:type="dxa"/>
            <w:vAlign w:val="bottom"/>
          </w:tcPr>
          <w:p>
            <w:pPr>
              <w:spacing w:after="0"/>
              <w:rPr>
                <w:sz w:val="20"/>
                <w:szCs w:val="20"/>
                <w:color w:val="auto"/>
              </w:rPr>
            </w:pP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(64)</w:t>
            </w:r>
          </w:p>
        </w:tc>
      </w:tr>
      <w:tr>
        <w:trPr>
          <w:trHeight w:val="243"/>
        </w:trPr>
        <w:tc>
          <w:tcPr>
            <w:tcW w:w="69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(156)</w:t>
            </w:r>
          </w:p>
        </w:tc>
        <w:tc>
          <w:tcPr>
            <w:tcW w:w="8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(441)</w:t>
            </w:r>
          </w:p>
        </w:tc>
      </w:tr>
      <w:tr>
        <w:trPr>
          <w:trHeight w:val="235"/>
        </w:trPr>
        <w:tc>
          <w:tcPr>
            <w:tcW w:w="6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Restaurant-Level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27,983</w:t>
            </w:r>
          </w:p>
        </w:tc>
        <w:tc>
          <w:tcPr>
            <w:tcW w:w="8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29,761</w:t>
            </w:r>
          </w:p>
        </w:tc>
      </w:tr>
      <w:tr>
        <w:trPr>
          <w:trHeight w:val="267"/>
        </w:trPr>
        <w:tc>
          <w:tcPr>
            <w:tcW w:w="6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300" w:type="dxa"/>
            <w:vAlign w:val="bottom"/>
            <w:tcBorders>
              <w:bottom w:val="single" w:sz="8" w:color="auto"/>
            </w:tcBorders>
            <w:shd w:val="clear" w:color="auto" w:fill="DBDBDB"/>
          </w:tcPr>
          <w:p>
            <w:pPr>
              <w:spacing w:after="0"/>
              <w:rPr>
                <w:sz w:val="22"/>
                <w:szCs w:val="22"/>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20.8 %</w:t>
            </w:r>
          </w:p>
        </w:tc>
        <w:tc>
          <w:tcPr>
            <w:tcW w:w="8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spacing w:after="0"/>
              <w:rPr>
                <w:sz w:val="22"/>
                <w:szCs w:val="22"/>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25.4 %</w:t>
            </w:r>
          </w:p>
        </w:tc>
      </w:tr>
      <w:tr>
        <w:trPr>
          <w:trHeight w:val="20"/>
        </w:trPr>
        <w:tc>
          <w:tcPr>
            <w:tcW w:w="69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Liquidity and Capital Resources</w:t>
      </w:r>
    </w:p>
    <w:p>
      <w:pPr>
        <w:spacing w:after="0" w:line="25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Revolving Facility. As of March 27, 2022, we maintained a cash and cash equivalents and restricted cash balance of $32.2 million and had $45.0 million of availability under our Revolver.</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Liquidity Upon IPO</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25, 2021, Portillo's Inc. completed the IPO of 23,310,810 shares of the Class A common stock (including 3,040,540 shares sold to the underwriters pursuant to their overallotment option). Portillo's Inc. received net proceeds from the offering of approximately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$430.0 million (after deducting underwriting fees and commissions and offering expenses). The net proceeds and cash on hand were used as follows:</w:t>
      </w:r>
    </w:p>
    <w:p>
      <w:pPr>
        <w:spacing w:after="0" w:line="203" w:lineRule="exact"/>
        <w:rPr>
          <w:sz w:val="20"/>
          <w:szCs w:val="20"/>
          <w:color w:val="auto"/>
        </w:rPr>
      </w:pPr>
    </w:p>
    <w:p>
      <w:pPr>
        <w:ind w:left="660" w:hanging="33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5" w:lineRule="exact"/>
        <w:rPr>
          <w:rFonts w:ascii="Arial" w:cs="Arial" w:eastAsia="Arial" w:hAnsi="Arial"/>
          <w:sz w:val="18"/>
          <w:szCs w:val="18"/>
          <w:color w:val="auto"/>
        </w:rPr>
      </w:pPr>
    </w:p>
    <w:p>
      <w:pPr>
        <w:ind w:left="660" w:right="840" w:hanging="331"/>
        <w:spacing w:after="0" w:line="248"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in which we will generally be required to pay 85% of the amount of cash savings, if any, in U.S. federal, state, and local income tax that we actually realize or be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exchanges of LLC Units by pre-IPO LLC Members for Class A common stock and (iv) certain other tax benefits related to entering into the TRA, including payments made under the TRA.</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March 27, 2022, such TRA obligations totaled $156.6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$184.2 million as of March 27, 2022. Under this scenario, we would be required to pay the TRA Parties approximately 85% of such amount, or $156.6 million, primarily over the next 15 years, substantially declining in year 16 through year 47.</w:t>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Summary of Cash Flows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9"/>
                <w:szCs w:val="19"/>
                <w:color w:val="auto"/>
              </w:rPr>
            </w:pPr>
          </w:p>
        </w:tc>
        <w:tc>
          <w:tcPr>
            <w:tcW w:w="3820" w:type="dxa"/>
            <w:vAlign w:val="bottom"/>
            <w:gridSpan w:val="4"/>
          </w:tcPr>
          <w:p>
            <w:pPr>
              <w:jc w:val="right"/>
              <w:ind w:right="1399"/>
              <w:spacing w:after="0"/>
              <w:rPr>
                <w:sz w:val="20"/>
                <w:szCs w:val="20"/>
                <w:color w:val="auto"/>
              </w:rPr>
            </w:pPr>
            <w:r>
              <w:rPr>
                <w:rFonts w:ascii="Arial" w:cs="Arial" w:eastAsia="Arial" w:hAnsi="Arial"/>
                <w:sz w:val="16"/>
                <w:szCs w:val="16"/>
                <w:b w:val="1"/>
                <w:bCs w:val="1"/>
                <w:color w:val="auto"/>
              </w:rPr>
              <w:t>Quarter Ended</w:t>
            </w:r>
          </w:p>
        </w:tc>
      </w:tr>
      <w:tr>
        <w:trPr>
          <w:trHeight w:val="245"/>
        </w:trPr>
        <w:tc>
          <w:tcPr>
            <w:tcW w:w="7140" w:type="dxa"/>
            <w:vAlign w:val="bottom"/>
            <w:tcBorders>
              <w:bottom w:val="single" w:sz="8" w:color="DBDBDB"/>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27, 2022</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28, 2021</w:t>
            </w:r>
          </w:p>
        </w:tc>
      </w:tr>
      <w:tr>
        <w:trPr>
          <w:trHeight w:val="239"/>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5,048</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(6,279)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(11,132)</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(581)</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 and restricted cash</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(7,081)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(6,665)</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28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r>
      <w:tr>
        <w:trPr>
          <w:trHeight w:val="242"/>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34,767</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Activities</w:t>
      </w:r>
    </w:p>
    <w:p>
      <w:pPr>
        <w:spacing w:after="0" w:line="25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Net cash provided by operating activities for the quarter ending March 27, 2022 was $0.8 million compared to net cash provided by operating activities of $5.0 million for the quarter ending March 28, 2021, a decrease of $4.2 million or 84.2%. This decrease was primarily driven by a decrease in the change in operating assets and liabilities of $7.3 million, partially offset by an increase in non-cash charges of $2.6 million and an increase in net income of $0.4 million.</w:t>
      </w:r>
    </w:p>
    <w:p>
      <w:pPr>
        <w:spacing w:after="0" w:line="204"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The $7.3 million change in our operating asset and liability balances was primarily driven by operating assets and liabilities being a use of net cash of $ 10.4 million in the quarter ending March 27, 2022, compared to a use of net cash of $3.1 million in quarter ending March 28, 2021 driven by the change in accounts payable and accrued expenses and other liabilities in the quarter ending March 27, 2022.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Investing Activities</w:t>
      </w:r>
    </w:p>
    <w:p>
      <w:pPr>
        <w:spacing w:after="0" w:line="244" w:lineRule="exact"/>
        <w:rPr>
          <w:sz w:val="20"/>
          <w:szCs w:val="20"/>
          <w:color w:val="auto"/>
        </w:rPr>
      </w:pPr>
    </w:p>
    <w:p>
      <w:pPr>
        <w:jc w:val="both"/>
        <w:ind w:right="140"/>
        <w:spacing w:after="0" w:line="265" w:lineRule="auto"/>
        <w:rPr>
          <w:sz w:val="20"/>
          <w:szCs w:val="20"/>
          <w:color w:val="auto"/>
        </w:rPr>
      </w:pPr>
      <w:r>
        <w:rPr>
          <w:rFonts w:ascii="Arial" w:cs="Arial" w:eastAsia="Arial" w:hAnsi="Arial"/>
          <w:sz w:val="18"/>
          <w:szCs w:val="18"/>
          <w:color w:val="auto"/>
        </w:rPr>
        <w:t>Net cash used in investing activities was $6.3 million for the quarter ending March 27, 2022 compared to net cash used in investing activities of $11.1 million for the quarter ending March 28, 2021, a decrease of $4.9 million or 43.6%. This decrease was primarily due to the timing of restaurant openings in 2022 compared to the timing of restaurant openings in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Financing Activities</w:t>
      </w:r>
    </w:p>
    <w:p>
      <w:pPr>
        <w:spacing w:after="0" w:line="258"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Net cash used in financing activities was $1.6 million for the quarter ending March 27, 2022 compared to net cash used in financing activities of $0.6 million for the quarter ending March 28, 2021, an increase of $1.0 million. This increase is primarily due to a $0.8 million payment of initial public offering issuance costs in the quarter ending March 27, 2022, which were accrued for as of December 26, 2022.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Revolving Facility and Liens</w:t>
      </w:r>
    </w:p>
    <w:p>
      <w:pPr>
        <w:spacing w:after="0" w:line="258" w:lineRule="exact"/>
        <w:rPr>
          <w:sz w:val="20"/>
          <w:szCs w:val="20"/>
          <w:color w:val="auto"/>
        </w:rPr>
      </w:pPr>
    </w:p>
    <w:p>
      <w:pPr>
        <w:jc w:val="both"/>
        <w:ind w:right="280"/>
        <w:spacing w:after="0" w:line="265" w:lineRule="auto"/>
        <w:rPr>
          <w:sz w:val="20"/>
          <w:szCs w:val="20"/>
          <w:color w:val="auto"/>
        </w:rPr>
      </w:pPr>
      <w:r>
        <w:rPr>
          <w:rFonts w:ascii="Arial" w:cs="Arial" w:eastAsia="Arial" w:hAnsi="Arial"/>
          <w:sz w:val="18"/>
          <w:szCs w:val="18"/>
          <w:color w:val="auto"/>
        </w:rPr>
        <w:t>We maintain a Revolving Facility that provides for a revolving total commitment amount of $50.0 million. The Revolving Facility will mature and all amounts outstanding will be due and payable in June 2024. The Revolving Facility permits the issuance of letters of credit upon our request.</w:t>
      </w:r>
    </w:p>
    <w:p>
      <w:pPr>
        <w:spacing w:after="0" w:line="20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As of March 27, 2022, there were no borrowings outstanding under the Revolver. We had $45.0 million of availability, as of March 27, 2022, after giving effect to $5.0 million in outstanding letters of credit.</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500"/>
        <w:spacing w:after="0" w:line="265"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(including prepayment penalties) in full.</w:t>
      </w:r>
    </w:p>
    <w:p>
      <w:pPr>
        <w:spacing w:after="0" w:line="20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Borrowings under the First Lien Credit Agreement are guaranteed by PHD Intermediate LLC ("Holdings"), Portillo’s Holdings LLC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00"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color w:val="auto"/>
        </w:rPr>
        <w:t>The Borrower is subject to certain financial and reporting covenants pursuant to the terms of the First Lien Credit Agreement. These covenants are customary for these types of debt agreements. As of March 27, 2022, the Company was in compliance with all covenants.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Material Cash Requirements</w:t>
      </w:r>
    </w:p>
    <w:p>
      <w:pPr>
        <w:spacing w:after="0" w:line="25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There have been no material changes to the material cash requirements as disclosed in our Annual Report on Form 10-K for the fiscal year ended December 26, 2021, other than those payments made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Critical Accounting Estimates</w:t>
      </w: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condensed consolidated financial statements, which have been prepared in accordance with generally accepted accounting principles in the United States of America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in our Annual Report on Form 10-K for the fiscal year ended December 26, 2021.</w:t>
      </w:r>
    </w:p>
    <w:p>
      <w:pPr>
        <w:spacing w:after="0" w:line="21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See Note 2. Summary of Significant Accounting Policies under Part I, Item 1 of this Form 10-Q for an analysis of recently issued accounting pronouncements.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JOBS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qualify as an emerging growth company ("EGC") pursuant to the provisions of the Jumpstart our Business Startups (“JOBS”) Act. For as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long as we are an EGC, we may take advantage of certain exemptions from various reporting requirements that are applicable to other public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companies that are not EGCs, including, but not limited to, not being required to comply with the auditor attestation requirements of</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Section 404(b) of the Sarbanes-Oxley Act, reduced disclosure obligations regarding executive compensation in our periodic reports and proxy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exemptions from the requirements of holding advisory “say-on-pay” votes on executive compensation and shareholder advisory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votes on golden parachute compensation.</w:t>
      </w:r>
    </w:p>
    <w:p>
      <w:pPr>
        <w:spacing w:after="0" w:line="23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will remain an EGC until the last day of the fiscal year following the fifth anniversary of the date of the first sale of our Class A common stock pursuant to an effective registration statement, which was October 21, 2021, unless, prior to that time, we have more than $1.07 billion in annual gross revenue, have a market value for our Class A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3. Quantitative and Qualitative Disclosures About Market Risk.</w:t>
      </w:r>
    </w:p>
    <w:p>
      <w:pPr>
        <w:spacing w:after="0" w:line="25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There have been no material changes to our exposure to market risks as described in Part II, Item 7A of our Annual Report on Form 10-K for the fiscal year ended December 26, 2021.</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4. 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5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5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27,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1. Legal Proceedings.</w:t>
      </w:r>
    </w:p>
    <w:p>
      <w:pPr>
        <w:spacing w:after="0" w:line="25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Information regarding certain legal proceedings to which the Company is a party are discussed in Note 14. Contingencies in the notes to the unaudited condensed consolidated financial statements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1A. Risk Factors.</w:t>
      </w:r>
    </w:p>
    <w:p>
      <w:pPr>
        <w:spacing w:after="0" w:line="25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There have been no material changes to the risk factors disclosed in the Company's Annual Report on Form 10-K for the fiscal year ended December 26, 2021.</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2. Unregistered Sales of Equity Securities and 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3. Defaults Upon Senior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4. Mine Safety Disclosures.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5.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6. Exhibits.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160" w:type="dxa"/>
            <w:vAlign w:val="bottom"/>
            <w:gridSpan w:val="4"/>
          </w:tcPr>
          <w:p>
            <w:pPr>
              <w:ind w:left="18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5180" w:type="dxa"/>
            <w:vAlign w:val="bottom"/>
            <w:gridSpan w:val="7"/>
          </w:tcPr>
          <w:p>
            <w:pPr>
              <w:ind w:left="18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01"/>
        </w:trPr>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line="201" w:lineRule="exact"/>
              <w:rPr>
                <w:sz w:val="20"/>
                <w:szCs w:val="20"/>
                <w:color w:val="auto"/>
              </w:rPr>
            </w:pPr>
            <w:r>
              <w:rPr>
                <w:rFonts w:ascii="Arial" w:cs="Arial" w:eastAsia="Arial" w:hAnsi="Arial"/>
                <w:sz w:val="18"/>
                <w:szCs w:val="18"/>
                <w:color w:val="auto"/>
                <w:w w:val="95"/>
              </w:rPr>
              <w:t>3.</w:t>
            </w:r>
            <w:r>
              <w:rPr>
                <w:rFonts w:ascii="Arial" w:cs="Arial" w:eastAsia="Arial" w:hAnsi="Arial"/>
                <w:sz w:val="18"/>
                <w:szCs w:val="18"/>
                <w:u w:val="single" w:color="auto"/>
                <w:color w:val="auto"/>
                <w:w w:val="95"/>
              </w:rPr>
              <w:t>1</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300" w:type="dxa"/>
            <w:vAlign w:val="bottom"/>
            <w:tcBorders>
              <w:top w:val="single" w:sz="8" w:color="auto"/>
              <w:bottom w:val="single" w:sz="8" w:color="auto"/>
            </w:tcBorders>
            <w:gridSpan w:val="3"/>
          </w:tcPr>
          <w:p>
            <w:pPr>
              <w:spacing w:after="0" w:line="201" w:lineRule="exact"/>
              <w:rPr>
                <w:sz w:val="20"/>
                <w:szCs w:val="20"/>
                <w:color w:val="auto"/>
              </w:rPr>
            </w:pPr>
            <w:r>
              <w:rPr>
                <w:rFonts w:ascii="Arial" w:cs="Arial" w:eastAsia="Arial" w:hAnsi="Arial"/>
                <w:sz w:val="18"/>
                <w:szCs w:val="18"/>
                <w:color w:val="auto"/>
                <w:w w:val="99"/>
              </w:rPr>
              <w:t>Amended and Restated Certificate of Incorporation of Portillo's Inc.</w:t>
            </w:r>
          </w:p>
        </w:tc>
        <w:tc>
          <w:tcPr>
            <w:tcW w:w="3640" w:type="dxa"/>
            <w:vAlign w:val="bottom"/>
            <w:tcBorders>
              <w:top w:val="single" w:sz="8" w:color="auto"/>
            </w:tcBorders>
            <w:gridSpan w:val="5"/>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3.</w:t>
            </w:r>
            <w:r>
              <w:rPr>
                <w:rFonts w:ascii="Arial" w:cs="Arial" w:eastAsia="Arial" w:hAnsi="Arial"/>
                <w:sz w:val="18"/>
                <w:szCs w:val="18"/>
                <w:u w:val="single" w:color="auto"/>
                <w:color w:val="auto"/>
                <w:w w:val="95"/>
              </w:rPr>
              <w:t>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8"/>
          </w:tcPr>
          <w:p>
            <w:pPr>
              <w:spacing w:after="0"/>
              <w:rPr>
                <w:sz w:val="20"/>
                <w:szCs w:val="20"/>
                <w:color w:val="auto"/>
              </w:rPr>
            </w:pPr>
            <w:r>
              <w:rPr>
                <w:rFonts w:ascii="Arial" w:cs="Arial" w:eastAsia="Arial" w:hAnsi="Arial"/>
                <w:sz w:val="18"/>
                <w:szCs w:val="18"/>
                <w:color w:val="auto"/>
              </w:rPr>
              <w:t>Amended and Restated Bylaws of Portillo’s Inc.</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vMerge w:val="restart"/>
          </w:tcPr>
          <w:p>
            <w:pPr>
              <w:spacing w:after="0"/>
              <w:rPr>
                <w:sz w:val="21"/>
                <w:szCs w:val="21"/>
                <w:color w:val="auto"/>
              </w:rPr>
            </w:pPr>
          </w:p>
        </w:tc>
        <w:tc>
          <w:tcPr>
            <w:tcW w:w="1060" w:type="dxa"/>
            <w:vAlign w:val="bottom"/>
            <w:gridSpan w:val="3"/>
            <w:vMerge w:val="restart"/>
          </w:tcPr>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Certification of the Principal Executive Officer pursuant to Securities Exchange Act Rules 13a-14(a), as adopted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46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9"/>
              </w:rPr>
              <w:t>pursuant to Section 302 of the Sarbanes-Oxley Act of 2002</w:t>
            </w:r>
          </w:p>
        </w:tc>
        <w:tc>
          <w:tcPr>
            <w:tcW w:w="4260" w:type="dxa"/>
            <w:vAlign w:val="bottom"/>
            <w:gridSpan w:val="6"/>
            <w:vMerge w:val="restart"/>
          </w:tcPr>
          <w:p>
            <w:pPr>
              <w:spacing w:after="0"/>
              <w:rPr>
                <w:sz w:val="7"/>
                <w:szCs w:val="7"/>
                <w:color w:val="auto"/>
              </w:rPr>
            </w:pPr>
          </w:p>
        </w:tc>
        <w:tc>
          <w:tcPr>
            <w:tcW w:w="10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4680" w:type="dxa"/>
            <w:vAlign w:val="bottom"/>
            <w:tcBorders>
              <w:bottom w:val="single" w:sz="8" w:color="auto"/>
            </w:tcBorders>
            <w:gridSpan w:val="2"/>
            <w:vMerge w:val="continue"/>
          </w:tcPr>
          <w:p>
            <w:pPr>
              <w:spacing w:after="0"/>
              <w:rPr>
                <w:sz w:val="7"/>
                <w:szCs w:val="7"/>
                <w:color w:val="auto"/>
              </w:rPr>
            </w:pPr>
          </w:p>
        </w:tc>
        <w:tc>
          <w:tcPr>
            <w:tcW w:w="4260" w:type="dxa"/>
            <w:vAlign w:val="bottom"/>
            <w:gridSpan w:val="6"/>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80" w:type="dxa"/>
            <w:vAlign w:val="bottom"/>
            <w:gridSpan w:val="4"/>
            <w:vMerge w:val="restart"/>
          </w:tcPr>
          <w:p>
            <w:pPr>
              <w:ind w:left="20"/>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9"/>
              </w:rPr>
              <w:t>Certification of the Principal Financial Officer pursuant to Securities Exchange Act Rules 13a-14(a), as adopted</w:t>
            </w:r>
          </w:p>
        </w:tc>
        <w:tc>
          <w:tcPr>
            <w:tcW w:w="16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46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9"/>
              </w:rPr>
              <w:t>pursuant to Section 302 of the Sarbanes-Oxley Act of 2002</w:t>
            </w:r>
          </w:p>
        </w:tc>
        <w:tc>
          <w:tcPr>
            <w:tcW w:w="4260" w:type="dxa"/>
            <w:vAlign w:val="bottom"/>
            <w:gridSpan w:val="6"/>
            <w:vMerge w:val="restart"/>
          </w:tcPr>
          <w:p>
            <w:pPr>
              <w:spacing w:after="0"/>
              <w:rPr>
                <w:sz w:val="7"/>
                <w:szCs w:val="7"/>
                <w:color w:val="auto"/>
              </w:rPr>
            </w:pPr>
          </w:p>
        </w:tc>
        <w:tc>
          <w:tcPr>
            <w:tcW w:w="10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4680" w:type="dxa"/>
            <w:vAlign w:val="bottom"/>
            <w:tcBorders>
              <w:bottom w:val="single" w:sz="8" w:color="auto"/>
            </w:tcBorders>
            <w:gridSpan w:val="2"/>
            <w:vMerge w:val="continue"/>
          </w:tcPr>
          <w:p>
            <w:pPr>
              <w:spacing w:after="0"/>
              <w:rPr>
                <w:sz w:val="7"/>
                <w:szCs w:val="7"/>
                <w:color w:val="auto"/>
              </w:rPr>
            </w:pPr>
          </w:p>
        </w:tc>
        <w:tc>
          <w:tcPr>
            <w:tcW w:w="4260" w:type="dxa"/>
            <w:vAlign w:val="bottom"/>
            <w:gridSpan w:val="6"/>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80" w:type="dxa"/>
            <w:vAlign w:val="bottom"/>
            <w:gridSpan w:val="4"/>
            <w:vMerge w:val="restart"/>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8"/>
          </w:tcPr>
          <w:p>
            <w:pPr>
              <w:spacing w:after="0"/>
              <w:rPr>
                <w:sz w:val="20"/>
                <w:szCs w:val="20"/>
                <w:color w:val="auto"/>
              </w:rPr>
            </w:pPr>
            <w:r>
              <w:rPr>
                <w:rFonts w:ascii="Arial" w:cs="Arial" w:eastAsia="Arial" w:hAnsi="Arial"/>
                <w:sz w:val="18"/>
                <w:szCs w:val="18"/>
                <w:color w:val="auto"/>
              </w:rPr>
              <w:t>Certifications of the Chief Executive Officer and Chief Financial Officer pursuant to 18 U.S.C. Section 1350, as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5380" w:type="dxa"/>
            <w:vAlign w:val="bottom"/>
            <w:tcBorders>
              <w:top w:val="single" w:sz="8" w:color="auto"/>
            </w:tcBorders>
            <w:gridSpan w:val="4"/>
            <w:vMerge w:val="restart"/>
          </w:tcPr>
          <w:p>
            <w:pPr>
              <w:spacing w:after="0" w:line="195" w:lineRule="exact"/>
              <w:rPr>
                <w:sz w:val="20"/>
                <w:szCs w:val="20"/>
                <w:color w:val="auto"/>
              </w:rPr>
            </w:pPr>
            <w:r>
              <w:rPr>
                <w:rFonts w:ascii="Arial" w:cs="Arial" w:eastAsia="Arial" w:hAnsi="Arial"/>
                <w:sz w:val="18"/>
                <w:szCs w:val="18"/>
                <w:color w:val="auto"/>
                <w:w w:val="99"/>
              </w:rPr>
              <w:t>adopted pursuant to Section 906 of the Sarbanes-Oxley Act of 2002</w:t>
            </w:r>
          </w:p>
        </w:tc>
        <w:tc>
          <w:tcPr>
            <w:tcW w:w="3320" w:type="dxa"/>
            <w:vAlign w:val="bottom"/>
            <w:tcBorders>
              <w:top w:val="single" w:sz="8" w:color="auto"/>
            </w:tcBorders>
            <w:vMerge w:val="restart"/>
          </w:tcPr>
          <w:p>
            <w:pPr>
              <w:spacing w:after="0"/>
              <w:rPr>
                <w:sz w:val="7"/>
                <w:szCs w:val="7"/>
                <w:color w:val="auto"/>
              </w:rPr>
            </w:pPr>
          </w:p>
        </w:tc>
        <w:tc>
          <w:tcPr>
            <w:tcW w:w="240" w:type="dxa"/>
            <w:vAlign w:val="bottom"/>
            <w:gridSpan w:val="3"/>
            <w:vMerge w:val="restart"/>
          </w:tcPr>
          <w:p>
            <w:pPr>
              <w:spacing w:after="0"/>
              <w:rPr>
                <w:sz w:val="7"/>
                <w:szCs w:val="7"/>
                <w:color w:val="auto"/>
              </w:rPr>
            </w:pPr>
          </w:p>
        </w:tc>
        <w:tc>
          <w:tcPr>
            <w:tcW w:w="1080" w:type="dxa"/>
            <w:vAlign w:val="bottom"/>
            <w:vMerge w:val="restart"/>
          </w:tcPr>
          <w:p>
            <w:pPr>
              <w:jc w:val="center"/>
              <w:ind w:right="11"/>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380" w:type="dxa"/>
            <w:vAlign w:val="bottom"/>
            <w:tcBorders>
              <w:top w:val="single" w:sz="8" w:color="auto"/>
              <w:bottom w:val="single" w:sz="8" w:color="auto"/>
            </w:tcBorders>
            <w:gridSpan w:val="4"/>
            <w:vMerge w:val="continue"/>
          </w:tcPr>
          <w:p>
            <w:pPr>
              <w:spacing w:after="0"/>
              <w:rPr>
                <w:sz w:val="7"/>
                <w:szCs w:val="7"/>
                <w:color w:val="auto"/>
              </w:rPr>
            </w:pPr>
          </w:p>
        </w:tc>
        <w:tc>
          <w:tcPr>
            <w:tcW w:w="3320" w:type="dxa"/>
            <w:vAlign w:val="bottom"/>
            <w:tcBorders>
              <w:top w:val="single" w:sz="8" w:color="auto"/>
            </w:tcBorders>
            <w:vMerge w:val="continue"/>
          </w:tcPr>
          <w:p>
            <w:pPr>
              <w:spacing w:after="0"/>
              <w:rPr>
                <w:sz w:val="7"/>
                <w:szCs w:val="7"/>
                <w:color w:val="auto"/>
              </w:rPr>
            </w:pPr>
          </w:p>
        </w:tc>
        <w:tc>
          <w:tcPr>
            <w:tcW w:w="240" w:type="dxa"/>
            <w:vAlign w:val="bottom"/>
            <w:gridSpan w:val="3"/>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60" w:type="dxa"/>
            <w:vAlign w:val="bottom"/>
            <w:gridSpan w:val="4"/>
            <w:vMerge w:val="restart"/>
          </w:tcPr>
          <w:p>
            <w:pPr>
              <w:spacing w:after="0"/>
              <w:rPr>
                <w:sz w:val="20"/>
                <w:szCs w:val="20"/>
                <w:color w:val="auto"/>
              </w:rPr>
            </w:pPr>
            <w:r>
              <w:rPr>
                <w:rFonts w:ascii="Arial" w:cs="Arial" w:eastAsia="Arial" w:hAnsi="Arial"/>
                <w:sz w:val="18"/>
                <w:szCs w:val="18"/>
                <w:color w:val="auto"/>
              </w:rPr>
              <w:t>101.INS</w:t>
            </w:r>
          </w:p>
        </w:tc>
        <w:tc>
          <w:tcPr>
            <w:tcW w:w="8960" w:type="dxa"/>
            <w:vAlign w:val="bottom"/>
            <w:gridSpan w:val="9"/>
          </w:tcPr>
          <w:p>
            <w:pPr>
              <w:ind w:left="20"/>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8960" w:type="dxa"/>
            <w:vAlign w:val="bottom"/>
            <w:gridSpan w:val="9"/>
            <w:vMerge w:val="restart"/>
          </w:tcPr>
          <w:p>
            <w:pPr>
              <w:ind w:left="20"/>
              <w:spacing w:after="0"/>
              <w:rPr>
                <w:sz w:val="20"/>
                <w:szCs w:val="20"/>
                <w:color w:val="auto"/>
              </w:rPr>
            </w:pPr>
            <w:r>
              <w:rPr>
                <w:rFonts w:ascii="Arial" w:cs="Arial" w:eastAsia="Arial" w:hAnsi="Arial"/>
                <w:sz w:val="18"/>
                <w:szCs w:val="18"/>
                <w:color w:val="auto"/>
              </w:rPr>
              <w:t>XBRL tags are embedded within the Inline XBRL document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960" w:type="dxa"/>
            <w:vAlign w:val="bottom"/>
            <w:gridSpan w:val="9"/>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960" w:type="dxa"/>
            <w:vAlign w:val="bottom"/>
            <w:gridSpan w:val="9"/>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960" w:type="dxa"/>
            <w:vAlign w:val="bottom"/>
            <w:gridSpan w:val="9"/>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960" w:type="dxa"/>
            <w:vAlign w:val="bottom"/>
            <w:gridSpan w:val="9"/>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960" w:type="dxa"/>
            <w:vAlign w:val="bottom"/>
            <w:gridSpan w:val="9"/>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960" w:type="dxa"/>
            <w:vAlign w:val="bottom"/>
            <w:gridSpan w:val="9"/>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80" w:type="dxa"/>
            <w:vAlign w:val="bottom"/>
            <w:gridSpan w:val="3"/>
            <w:vMerge w:val="restart"/>
          </w:tcPr>
          <w:p>
            <w:pPr>
              <w:ind w:left="2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960" w:type="dxa"/>
            <w:vAlign w:val="bottom"/>
            <w:gridSpan w:val="9"/>
          </w:tcPr>
          <w:p>
            <w:pPr>
              <w:ind w:left="20"/>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960" w:type="dxa"/>
            <w:vAlign w:val="bottom"/>
            <w:gridSpan w:val="9"/>
            <w:vMerge w:val="restart"/>
          </w:tcPr>
          <w:p>
            <w:pPr>
              <w:ind w:left="20"/>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960" w:type="dxa"/>
            <w:vAlign w:val="bottom"/>
            <w:gridSpan w:val="9"/>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80" w:hanging="273"/>
        <w:spacing w:after="0"/>
        <w:tabs>
          <w:tab w:leader="none" w:pos="2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4" w:lineRule="exact"/>
        <w:rPr>
          <w:sz w:val="20"/>
          <w:szCs w:val="20"/>
          <w:color w:val="auto"/>
        </w:rPr>
      </w:pPr>
    </w:p>
    <w:p>
      <w:pPr>
        <w:ind w:left="360" w:hanging="353"/>
        <w:spacing w:after="0"/>
        <w:tabs>
          <w:tab w:leader="none" w:pos="3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4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43"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33655</wp:posOffset>
            </wp:positionV>
            <wp:extent cx="381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18255" cy="8255"/>
                    </a:xfrm>
                    <a:prstGeom prst="rect">
                      <a:avLst/>
                    </a:prstGeom>
                    <a:noFill/>
                  </pic:spPr>
                </pic:pic>
              </a:graphicData>
            </a:graphic>
          </wp:anchor>
        </w:drawing>
      </w:r>
    </w:p>
    <w:p>
      <w:pPr>
        <w:spacing w:after="0" w:line="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Osanloo</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Chief Executive Officer and Director</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325"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33655</wp:posOffset>
            </wp:positionV>
            <wp:extent cx="381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18255" cy="8255"/>
                    </a:xfrm>
                    <a:prstGeom prst="rect">
                      <a:avLst/>
                    </a:prstGeom>
                    <a:noFill/>
                  </pic:spPr>
                </pic:pic>
              </a:graphicData>
            </a:graphic>
          </wp:anchor>
        </w:drawing>
      </w:r>
    </w:p>
    <w:p>
      <w:pPr>
        <w:spacing w:after="0" w:line="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34</w:t>
      </w:r>
    </w:p>
    <w:p>
      <w:pPr>
        <w:sectPr>
          <w:pgSz w:w="11900" w:h="16838" w:orient="portrait"/>
          <w:cols w:equalWidth="0" w:num="1">
            <w:col w:w="11240"/>
          </w:cols>
          <w:pgMar w:left="320" w:top="36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INCORPORATION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4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b w:val="1"/>
          <w:bCs w:val="1"/>
          <w:color w:val="auto"/>
        </w:rPr>
        <w:t>PORTILLO’S INC.</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(Pursuant to Section 242 and 245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General Corporation Law of the State of Delaware)</w:t>
      </w:r>
    </w:p>
    <w:p>
      <w:pPr>
        <w:spacing w:after="0" w:line="191"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Portillo’s Inc., a corporation organized and existing under the laws of the State of Delaware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hereby certifies as follows:</w:t>
      </w:r>
    </w:p>
    <w:p>
      <w:pPr>
        <w:spacing w:after="0" w:line="126"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FIRST: The name of the Corporation is Portillo’s Inc. The date of filing of its original certificate of incorporation with the Secretary of State of the State of Delaware was June 8, 2021 (the “</w:t>
      </w:r>
      <w:r>
        <w:rPr>
          <w:rFonts w:ascii="Times New Roman" w:cs="Times New Roman" w:eastAsia="Times New Roman" w:hAnsi="Times New Roman"/>
          <w:sz w:val="21"/>
          <w:szCs w:val="21"/>
          <w:u w:val="single" w:color="auto"/>
          <w:color w:val="auto"/>
        </w:rPr>
        <w:t>Previous Certificate of Incorporation</w:t>
      </w:r>
      <w:r>
        <w:rPr>
          <w:rFonts w:ascii="Times New Roman" w:cs="Times New Roman" w:eastAsia="Times New Roman" w:hAnsi="Times New Roman"/>
          <w:sz w:val="21"/>
          <w:szCs w:val="21"/>
          <w:color w:val="auto"/>
        </w:rPr>
        <w:t>”) under the name Portillo’s Inc.</w:t>
      </w:r>
    </w:p>
    <w:p>
      <w:pPr>
        <w:spacing w:after="0" w:line="153"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SECOND: The Board of Directors of the Corporation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adopted resolutions proposing to amend and restate the Previous Certificate of Incorporation, and the sole stockholder of the Corporation has duly approved the amendment and restatement by written consent pursuant to and in accordance with Section 228 of the DGCL.</w:t>
      </w:r>
    </w:p>
    <w:p>
      <w:pPr>
        <w:spacing w:after="0" w:line="153"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THIRD: This Amended and Restated Certificate of Incorporation (this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has been duly adopted in accordance with Sections 228, 242 and 245 of the General Corporation Law of the State of Delaware (as from time to time in effect,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FOURTH: This Certificate of Incorporation restated, integrates and further amends in its entirety the Previous Certificate of Incorporation to read as follows:</w:t>
      </w:r>
    </w:p>
    <w:p>
      <w:pPr>
        <w:spacing w:after="0" w:line="140" w:lineRule="exact"/>
        <w:rPr>
          <w:sz w:val="20"/>
          <w:szCs w:val="20"/>
          <w:color w:val="auto"/>
        </w:rPr>
      </w:pPr>
    </w:p>
    <w:p>
      <w:pPr>
        <w:ind w:left="660" w:hanging="653"/>
        <w:spacing w:after="0"/>
        <w:tabs>
          <w:tab w:leader="none" w:pos="6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Name</w:t>
      </w:r>
      <w:r>
        <w:rPr>
          <w:rFonts w:ascii="Times New Roman" w:cs="Times New Roman" w:eastAsia="Times New Roman" w:hAnsi="Times New Roman"/>
          <w:sz w:val="21"/>
          <w:szCs w:val="21"/>
          <w:color w:val="auto"/>
        </w:rPr>
        <w:t>. The name of the Corporation is Portillo’s Inc.</w:t>
      </w:r>
    </w:p>
    <w:p>
      <w:pPr>
        <w:spacing w:after="0" w:line="228" w:lineRule="exact"/>
        <w:rPr>
          <w:rFonts w:ascii="Times New Roman" w:cs="Times New Roman" w:eastAsia="Times New Roman" w:hAnsi="Times New Roman"/>
          <w:sz w:val="21"/>
          <w:szCs w:val="21"/>
          <w:color w:val="auto"/>
        </w:rPr>
      </w:pPr>
    </w:p>
    <w:p>
      <w:pPr>
        <w:jc w:val="both"/>
        <w:ind w:firstLine="7"/>
        <w:spacing w:after="0" w:line="265" w:lineRule="auto"/>
        <w:tabs>
          <w:tab w:leader="none" w:pos="644"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Registered Office and Agent</w:t>
      </w:r>
      <w:r>
        <w:rPr>
          <w:rFonts w:ascii="Times New Roman" w:cs="Times New Roman" w:eastAsia="Times New Roman" w:hAnsi="Times New Roman"/>
          <w:sz w:val="21"/>
          <w:szCs w:val="21"/>
          <w:color w:val="auto"/>
        </w:rPr>
        <w:t>. The address of the Corporation’s registered office in the State of Delaware is c/o the Corporation Trust Company, 1209 Orange Street, Wilmington, Delaware 19801, County of New Castle and the name of its registered agent at such address is the Corporation Trust Company.</w:t>
      </w:r>
    </w:p>
    <w:p>
      <w:pPr>
        <w:spacing w:after="0" w:line="152" w:lineRule="exact"/>
        <w:rPr>
          <w:rFonts w:ascii="Times New Roman" w:cs="Times New Roman" w:eastAsia="Times New Roman" w:hAnsi="Times New Roman"/>
          <w:sz w:val="21"/>
          <w:szCs w:val="21"/>
          <w:color w:val="auto"/>
        </w:rPr>
      </w:pPr>
    </w:p>
    <w:p>
      <w:pPr>
        <w:ind w:firstLine="7"/>
        <w:spacing w:after="0" w:line="277" w:lineRule="auto"/>
        <w:tabs>
          <w:tab w:leader="none" w:pos="644"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Purposes</w:t>
      </w:r>
      <w:r>
        <w:rPr>
          <w:rFonts w:ascii="Times New Roman" w:cs="Times New Roman" w:eastAsia="Times New Roman" w:hAnsi="Times New Roman"/>
          <w:sz w:val="21"/>
          <w:szCs w:val="21"/>
          <w:color w:val="auto"/>
        </w:rPr>
        <w:t>. The purpose of the Corporation is to engage in any lawful act or activity for which corporations may be organized under the DGCL.</w:t>
      </w:r>
    </w:p>
    <w:p>
      <w:pPr>
        <w:spacing w:after="0" w:line="153"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21"/>
          <w:szCs w:val="21"/>
          <w:color w:val="auto"/>
        </w:rPr>
        <w:t>4.1 The total number of shares of all classes of stock that the Corporation shall have authority to issue is 440,000,000 shares, consisting of three classes as follows: (i) 380,000,000 shares of Class A common stock, with the par value of $0.01 per share (the “</w:t>
      </w:r>
      <w:r>
        <w:rPr>
          <w:rFonts w:ascii="Times New Roman" w:cs="Times New Roman" w:eastAsia="Times New Roman" w:hAnsi="Times New Roman"/>
          <w:sz w:val="21"/>
          <w:szCs w:val="21"/>
          <w:u w:val="single" w:color="auto"/>
          <w:color w:val="auto"/>
        </w:rPr>
        <w:t>Class A Common Stock</w:t>
      </w:r>
      <w:r>
        <w:rPr>
          <w:rFonts w:ascii="Times New Roman" w:cs="Times New Roman" w:eastAsia="Times New Roman" w:hAnsi="Times New Roman"/>
          <w:sz w:val="21"/>
          <w:szCs w:val="21"/>
          <w:color w:val="auto"/>
        </w:rPr>
        <w:t>”); (ii) 50,000,000 shares of Class B common stock, with the par value of $0.00001 per share (the “</w:t>
      </w:r>
      <w:r>
        <w:rPr>
          <w:rFonts w:ascii="Times New Roman" w:cs="Times New Roman" w:eastAsia="Times New Roman" w:hAnsi="Times New Roman"/>
          <w:sz w:val="21"/>
          <w:szCs w:val="21"/>
          <w:u w:val="single" w:color="auto"/>
          <w:color w:val="auto"/>
        </w:rPr>
        <w:t>Class B Common Stock</w:t>
      </w:r>
      <w:r>
        <w:rPr>
          <w:rFonts w:ascii="Times New Roman" w:cs="Times New Roman" w:eastAsia="Times New Roman" w:hAnsi="Times New Roman"/>
          <w:sz w:val="21"/>
          <w:szCs w:val="21"/>
          <w:color w:val="auto"/>
        </w:rPr>
        <w:t>” and, together with Class A Common Stock,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and (iii) 10,000,000 shares of preferred stock, with the par value of $0.01 per share (the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auto"/>
        </w:rPr>
        <w:t>WEIL:\98095539\11\68083.0004</w:t>
      </w:r>
    </w:p>
    <w:p>
      <w:pPr>
        <w:sectPr>
          <w:pgSz w:w="11900" w:h="16838" w:orient="portrait"/>
          <w:cols w:equalWidth="0" w:num="1">
            <w:col w:w="11240"/>
          </w:cols>
          <w:pgMar w:left="320" w:top="108" w:right="339" w:bottom="1440" w:gutter="0" w:footer="0" w:header="0"/>
          <w:type w:val="continuous"/>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Effective upon the effectiveness of the filing of this Certificate of Incorporation with the Secretary of State of the State of Delaware (the “</w:t>
      </w:r>
      <w:r>
        <w:rPr>
          <w:rFonts w:ascii="Times New Roman" w:cs="Times New Roman" w:eastAsia="Times New Roman" w:hAnsi="Times New Roman"/>
          <w:sz w:val="21"/>
          <w:szCs w:val="21"/>
          <w:u w:val="single" w:color="auto"/>
          <w:color w:val="auto"/>
        </w:rPr>
        <w:t>Reclassification Effective Time</w:t>
      </w:r>
      <w:r>
        <w:rPr>
          <w:rFonts w:ascii="Times New Roman" w:cs="Times New Roman" w:eastAsia="Times New Roman" w:hAnsi="Times New Roman"/>
          <w:sz w:val="21"/>
          <w:szCs w:val="21"/>
          <w:color w:val="auto"/>
        </w:rPr>
        <w:t>”), each share of common stock, par value $0.01 per share (the “</w:t>
      </w:r>
      <w:r>
        <w:rPr>
          <w:rFonts w:ascii="Times New Roman" w:cs="Times New Roman" w:eastAsia="Times New Roman" w:hAnsi="Times New Roman"/>
          <w:sz w:val="21"/>
          <w:szCs w:val="21"/>
          <w:u w:val="single" w:color="auto"/>
          <w:color w:val="auto"/>
        </w:rPr>
        <w:t>Old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issued and outstanding immediately prior to the Reclassification Effective Time, shall automatically, without further action on the part of the Corporation or any holder of such Old Common Stock, be reclassified as and become one (1) validly issued, fully paid and non-assessable share of Class A Common Stock.</w:t>
      </w:r>
    </w:p>
    <w:p>
      <w:pPr>
        <w:spacing w:after="0" w:line="162" w:lineRule="exact"/>
        <w:rPr>
          <w:sz w:val="20"/>
          <w:szCs w:val="20"/>
          <w:color w:val="auto"/>
        </w:rPr>
      </w:pPr>
    </w:p>
    <w:p>
      <w:pPr>
        <w:jc w:val="both"/>
        <w:ind w:firstLine="644"/>
        <w:spacing w:after="0" w:line="250" w:lineRule="auto"/>
        <w:rPr>
          <w:sz w:val="20"/>
          <w:szCs w:val="20"/>
          <w:color w:val="auto"/>
        </w:rPr>
      </w:pPr>
      <w:r>
        <w:rPr>
          <w:rFonts w:ascii="Times New Roman" w:cs="Times New Roman" w:eastAsia="Times New Roman" w:hAnsi="Times New Roman"/>
          <w:sz w:val="21"/>
          <w:szCs w:val="21"/>
          <w:color w:val="auto"/>
        </w:rPr>
        <w:t>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DGCL,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185" w:lineRule="exact"/>
        <w:rPr>
          <w:sz w:val="20"/>
          <w:szCs w:val="20"/>
          <w:color w:val="auto"/>
        </w:rPr>
      </w:pPr>
    </w:p>
    <w:p>
      <w:pPr>
        <w:jc w:val="both"/>
        <w:ind w:firstLine="1296"/>
        <w:spacing w:after="0" w:line="257" w:lineRule="auto"/>
        <w:tabs>
          <w:tab w:leader="none" w:pos="1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Class A Common Stock, the number of shares of Class A Common Stock issuable in connection with (x) the redemption or exchange of all outstanding LLC Units corresponding to shares of Class B Common Stock, pursuant to Article 10 of the Second Amended and Restated LLC Agreement of PHD Group Holdings LLC and (y) the exercise of outstanding options, warrants, exchange rights, conversion rights or similar rights for Class A Common Stock;</w:t>
      </w:r>
    </w:p>
    <w:p>
      <w:pPr>
        <w:spacing w:after="0" w:line="160" w:lineRule="exact"/>
        <w:rPr>
          <w:rFonts w:ascii="Times New Roman" w:cs="Times New Roman" w:eastAsia="Times New Roman" w:hAnsi="Times New Roman"/>
          <w:sz w:val="21"/>
          <w:szCs w:val="21"/>
          <w:color w:val="auto"/>
        </w:rPr>
      </w:pPr>
    </w:p>
    <w:p>
      <w:pPr>
        <w:jc w:val="both"/>
        <w:ind w:firstLine="1296"/>
        <w:spacing w:after="0" w:line="274" w:lineRule="auto"/>
        <w:tabs>
          <w:tab w:leader="none" w:pos="192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Class B Common Stock, the number of shares of Class B Common Stock issuable in connection with the exercise of outstanding options, warrants, exchange rights, conversion rights or similar rights for Class B Common Stock.</w:t>
      </w:r>
    </w:p>
    <w:p>
      <w:pPr>
        <w:spacing w:after="0" w:line="200" w:lineRule="exact"/>
        <w:rPr>
          <w:sz w:val="20"/>
          <w:szCs w:val="20"/>
          <w:color w:val="auto"/>
        </w:rPr>
      </w:pPr>
    </w:p>
    <w:p>
      <w:pPr>
        <w:spacing w:after="0" w:line="201" w:lineRule="exact"/>
        <w:rPr>
          <w:sz w:val="20"/>
          <w:szCs w:val="20"/>
          <w:color w:val="auto"/>
        </w:rPr>
      </w:pPr>
    </w:p>
    <w:p>
      <w:pPr>
        <w:ind w:firstLine="7"/>
        <w:spacing w:after="0" w:line="291" w:lineRule="auto"/>
        <w:tabs>
          <w:tab w:leader="none" w:pos="64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Classes of Shares</w:t>
      </w:r>
      <w:r>
        <w:rPr>
          <w:rFonts w:ascii="Times New Roman" w:cs="Times New Roman" w:eastAsia="Times New Roman" w:hAnsi="Times New Roman"/>
          <w:sz w:val="21"/>
          <w:szCs w:val="21"/>
          <w:color w:val="auto"/>
        </w:rPr>
        <w:t>. The designation, relative rights, preferences and limitations of the shares of each class of stock are as follows:</w:t>
      </w:r>
    </w:p>
    <w:p>
      <w:pPr>
        <w:spacing w:after="0" w:line="12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ind w:left="1920" w:hanging="624"/>
        <w:spacing w:after="0"/>
        <w:tabs>
          <w:tab w:leader="none" w:pos="1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940"/>
        <w:spacing w:after="0" w:line="251" w:lineRule="auto"/>
        <w:tabs>
          <w:tab w:leader="none" w:pos="2572"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of Class A Common Stock will be entitled to one vote for each share of Class A Common Stock held of record by such holder on all matters on which stockholders generally are entitled to vote, and each holder of Class B Common Stock will be entitled to one vote for each share of Class B Common Stock held of record by such holder on all matters on which stockholders generally are entitled to vote, except that, (x)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Preferred Stock if the holders of such Preferred Stock are entitled to vote as a separate class thereon under this Certificate of Incorporation (including any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21"/>
          <w:szCs w:val="21"/>
          <w:color w:val="auto"/>
        </w:rPr>
        <w:t>designations relating to any series of Preferred Stock) or under DGCL and (y) holders of shares of Class B Common Stock shall have no vote per share of Class B Common Stock issued to such holder with respect to LLC Units and Corresponding Management Holdings Units that are unvested until such time as such LLC Units or Corresponding Management Holdings Units have vested.</w:t>
      </w:r>
    </w:p>
    <w:p>
      <w:pPr>
        <w:spacing w:after="0" w:line="200" w:lineRule="exact"/>
        <w:rPr>
          <w:sz w:val="20"/>
          <w:szCs w:val="20"/>
          <w:color w:val="auto"/>
        </w:rPr>
      </w:pPr>
    </w:p>
    <w:p>
      <w:pPr>
        <w:spacing w:after="0" w:line="226" w:lineRule="exact"/>
        <w:rPr>
          <w:sz w:val="20"/>
          <w:szCs w:val="20"/>
          <w:color w:val="auto"/>
        </w:rPr>
      </w:pPr>
    </w:p>
    <w:p>
      <w:pPr>
        <w:jc w:val="both"/>
        <w:ind w:firstLine="1940"/>
        <w:spacing w:after="0" w:line="247" w:lineRule="auto"/>
        <w:tabs>
          <w:tab w:leader="none" w:pos="257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B Common Stock and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 it being understood that any merger, consolidation or other combination transaction shall not be deemed an amendment hereof if such merger, consolidation or other combination transaction (x) constitutes a Disposition Event in which holders of Paired Interests are required to exchange LLC Units pursuant to Section 10.04(b) of the Second Amended and Restated LLC Agreement of PHD Group Holdings LLC in such Disposition Event and receive consideration in such Disposition Event in accordance with the terms of the Second Amended and Restated LLC Agreement of PHD Group Holdings LLC as in effect prior to such Disposition Event and (y) provides for payments under or in respect of the tax receivable or similar agreement entered by the Corporation from time to time with any holder of Common Stock and/or securities of PHD Group Holdings LLC to be made in connection with any such merger, consolidation or other combination transaction in accordance with the terms of such tax receivable or similar agreement as in effect prior to such merger, consolidation or other combination transaction.</w:t>
      </w:r>
    </w:p>
    <w:p>
      <w:pPr>
        <w:spacing w:after="0" w:line="184" w:lineRule="exact"/>
        <w:rPr>
          <w:rFonts w:ascii="Times New Roman" w:cs="Times New Roman" w:eastAsia="Times New Roman" w:hAnsi="Times New Roman"/>
          <w:sz w:val="21"/>
          <w:szCs w:val="21"/>
          <w:color w:val="auto"/>
        </w:rPr>
      </w:pPr>
    </w:p>
    <w:p>
      <w:pPr>
        <w:jc w:val="both"/>
        <w:ind w:firstLine="1940"/>
        <w:spacing w:after="0" w:line="265" w:lineRule="auto"/>
        <w:tabs>
          <w:tab w:leader="none" w:pos="257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52" w:lineRule="exact"/>
        <w:rPr>
          <w:rFonts w:ascii="Times New Roman" w:cs="Times New Roman" w:eastAsia="Times New Roman" w:hAnsi="Times New Roman"/>
          <w:sz w:val="21"/>
          <w:szCs w:val="21"/>
          <w:color w:val="auto"/>
        </w:rPr>
      </w:pPr>
    </w:p>
    <w:p>
      <w:pPr>
        <w:jc w:val="both"/>
        <w:ind w:firstLine="1940"/>
        <w:spacing w:after="0" w:line="250" w:lineRule="auto"/>
        <w:tabs>
          <w:tab w:leader="none" w:pos="257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ratio at which LLC Units are redeemable or exchangeable for shares of Class A Common Stock pursuant to Article 10 of the Second Amended and Restated LLC Agreement of PHD Group Holdings LLC is amended, the number of votes per corresponding share of Class B Common Stock to which holders of shares of Class B Common Stock are entitled pursuant to Section 5.1(i)(1) shall be automatically adjusted accordingly so that from and after such time, the aggregate number of votes that a holder of Class B Common Stock is entitled to vote with respect to all shares of Class B Common Stock held by such holder is equal to the number of share of Class A Common Stock subject to be redeemed or exchanged for all LLC Units held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1" w:right="339" w:bottom="1440" w:gutter="0" w:footer="0" w:header="0"/>
        </w:sectPr>
      </w:pPr>
    </w:p>
    <w:bookmarkStart w:id="40" w:name="page41"/>
    <w:bookmarkEnd w:id="40"/>
    <w:p>
      <w:pPr>
        <w:ind w:left="1940" w:hanging="644"/>
        <w:spacing w:after="0"/>
        <w:tabs>
          <w:tab w:leader="none" w:pos="19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 Stock Splits or Combinations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940"/>
        <w:spacing w:after="0" w:line="256" w:lineRule="auto"/>
        <w:tabs>
          <w:tab w:leader="none" w:pos="257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stock or property may be declared and paid on the Class A Common Stock out of the assets of the Corporation that are by law available therefor, at the times and in the amounts as the Board in its discretion may determine.</w:t>
      </w:r>
    </w:p>
    <w:p>
      <w:pPr>
        <w:spacing w:after="0" w:line="161" w:lineRule="exact"/>
        <w:rPr>
          <w:rFonts w:ascii="Times New Roman" w:cs="Times New Roman" w:eastAsia="Times New Roman" w:hAnsi="Times New Roman"/>
          <w:sz w:val="21"/>
          <w:szCs w:val="21"/>
          <w:color w:val="auto"/>
        </w:rPr>
      </w:pPr>
    </w:p>
    <w:p>
      <w:pPr>
        <w:ind w:right="20" w:firstLine="1940"/>
        <w:spacing w:after="0" w:line="291" w:lineRule="auto"/>
        <w:tabs>
          <w:tab w:leader="none" w:pos="257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5.1(ii)(3) with respect to stock dividends, dividends of cash, stock or property may not be declared or paid on shares of Class B Common Stock.</w:t>
      </w:r>
    </w:p>
    <w:p>
      <w:pPr>
        <w:spacing w:after="0" w:line="125" w:lineRule="exact"/>
        <w:rPr>
          <w:rFonts w:ascii="Times New Roman" w:cs="Times New Roman" w:eastAsia="Times New Roman" w:hAnsi="Times New Roman"/>
          <w:sz w:val="21"/>
          <w:szCs w:val="21"/>
          <w:color w:val="auto"/>
        </w:rPr>
      </w:pPr>
    </w:p>
    <w:p>
      <w:pPr>
        <w:jc w:val="both"/>
        <w:ind w:firstLine="1940"/>
        <w:spacing w:after="0" w:line="252" w:lineRule="auto"/>
        <w:tabs>
          <w:tab w:leader="none" w:pos="257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will any stock dividend, stock split, reverse stock split, combination of stock, reclassification or recapitalization be declared or made on any class of Common Stock (each, a “</w:t>
      </w:r>
      <w:r>
        <w:rPr>
          <w:rFonts w:ascii="Times New Roman" w:cs="Times New Roman" w:eastAsia="Times New Roman" w:hAnsi="Times New Roman"/>
          <w:sz w:val="21"/>
          <w:szCs w:val="21"/>
          <w:u w:val="single" w:color="auto"/>
          <w:color w:val="auto"/>
        </w:rPr>
        <w:t>Stock Adjustment</w:t>
      </w:r>
      <w:r>
        <w:rPr>
          <w:rFonts w:ascii="Times New Roman" w:cs="Times New Roman" w:eastAsia="Times New Roman" w:hAnsi="Times New Roman"/>
          <w:sz w:val="21"/>
          <w:szCs w:val="21"/>
          <w:color w:val="auto"/>
        </w:rPr>
        <w:t>”) unless (a) a corresponding Stock Adjustment for all other classes of Common Stock not so adjusted at the time outstanding is made in the same proportion and the same manner and (b) the Stock Adjustment has been reflected in the same economically equivalent manner on all LLC Units. Stock dividends with respect to each class of Common Stock may only be paid with shares of stock of the same class of Common Stock.</w:t>
      </w:r>
    </w:p>
    <w:p>
      <w:pPr>
        <w:spacing w:after="0" w:line="169" w:lineRule="exact"/>
        <w:rPr>
          <w:rFonts w:ascii="Times New Roman" w:cs="Times New Roman" w:eastAsia="Times New Roman" w:hAnsi="Times New Roman"/>
          <w:sz w:val="21"/>
          <w:szCs w:val="21"/>
          <w:color w:val="auto"/>
        </w:rPr>
      </w:pPr>
    </w:p>
    <w:p>
      <w:pPr>
        <w:jc w:val="both"/>
        <w:ind w:firstLine="1296"/>
        <w:spacing w:after="0" w:line="250" w:lineRule="auto"/>
        <w:tabs>
          <w:tab w:leader="none" w:pos="193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Liquidation</w:t>
      </w:r>
      <w:r>
        <w:rPr>
          <w:rFonts w:ascii="Times New Roman" w:cs="Times New Roman" w:eastAsia="Times New Roman" w:hAnsi="Times New Roman"/>
          <w:sz w:val="21"/>
          <w:szCs w:val="21"/>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will be entitled to receive the assets of the Corporation available for distribution ratably in proportion to the number of shares of Class A Common Stock. Without limiting the rights of the holders of Class B Common Stock to exchange their LLC Units for shares of Class A Common Stock in accordance with Section 10.01 of the Second Amended and Restated LLC Agreement of PHD Group Holdings LLC (or for the consideration payable in respect of shares of Class A Common Stock in such voluntary or involuntary liquidation, dissolution or winding-up), the holders of shares of Class B Common Stock, as such, will not be entitled to receive, with respect to such shares, any assets of the Corporation in the event of any voluntary or involuntary liquidation, dissolution or winding up of the affairs of the Corporation.</w:t>
      </w:r>
    </w:p>
    <w:p>
      <w:pPr>
        <w:spacing w:after="0" w:line="169" w:lineRule="exact"/>
        <w:rPr>
          <w:sz w:val="20"/>
          <w:szCs w:val="20"/>
          <w:color w:val="auto"/>
        </w:rPr>
      </w:pPr>
    </w:p>
    <w:p>
      <w:pPr>
        <w:jc w:val="both"/>
        <w:ind w:firstLine="644"/>
        <w:spacing w:after="0" w:line="251"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xml:space="preserve">. Shares of Preferred Stock may be issued from time to time in one or more series of any number of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number of shares issued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1" w:right="339" w:bottom="1440" w:gutter="0" w:footer="0" w:header="0"/>
        </w:sectPr>
      </w:pPr>
    </w:p>
    <w:bookmarkStart w:id="41" w:name="page42"/>
    <w:bookmarkEnd w:id="41"/>
    <w:p>
      <w:pPr>
        <w:jc w:val="both"/>
        <w:spacing w:after="0" w:line="247" w:lineRule="auto"/>
        <w:rPr>
          <w:sz w:val="20"/>
          <w:szCs w:val="20"/>
          <w:color w:val="auto"/>
        </w:rPr>
      </w:pPr>
      <w:r>
        <w:rPr>
          <w:rFonts w:ascii="Times New Roman" w:cs="Times New Roman" w:eastAsia="Times New Roman" w:hAnsi="Times New Roman"/>
          <w:sz w:val="21"/>
          <w:szCs w:val="21"/>
          <w:color w:val="auto"/>
        </w:rPr>
        <w:t>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stock, if any; (iv) may have such rights upon the voluntary or involuntary liquidation, winding-up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200" w:lineRule="exact"/>
        <w:rPr>
          <w:sz w:val="20"/>
          <w:szCs w:val="20"/>
          <w:color w:val="auto"/>
        </w:rPr>
      </w:pPr>
    </w:p>
    <w:p>
      <w:pPr>
        <w:spacing w:after="0" w:line="239" w:lineRule="exact"/>
        <w:rPr>
          <w:sz w:val="20"/>
          <w:szCs w:val="20"/>
          <w:color w:val="auto"/>
        </w:rPr>
      </w:pPr>
    </w:p>
    <w:p>
      <w:pPr>
        <w:ind w:left="660" w:hanging="653"/>
        <w:spacing w:after="0"/>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B Common Stock</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Retirement of Class B Shares</w:t>
      </w:r>
      <w:r>
        <w:rPr>
          <w:rFonts w:ascii="Times New Roman" w:cs="Times New Roman" w:eastAsia="Times New Roman" w:hAnsi="Times New Roman"/>
          <w:sz w:val="21"/>
          <w:szCs w:val="21"/>
          <w:color w:val="auto"/>
        </w:rPr>
        <w:t>. No holder of Class B Common Stock may Transfer shares of Class B Common Stock to any Person unless such holder transfers a corresponding number of LLC Units to the same Person in accordance with the provisions of the Second Amended and Restated LLC Agreement of PHD Group Holdings LLC, as such agreement may be amended from time to time in accordance with the terms thereof. If any outstanding share of Class B Common Stock ceases to be held by a holder of an LLC Unit, such share shall automatically and without further action on the part of the Corporation or such holder be transferred to the Corporation for no consideration and retired and cancelled.</w:t>
      </w:r>
    </w:p>
    <w:p>
      <w:pPr>
        <w:spacing w:after="0" w:line="170"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Reservation of Shares of Class A Common Stock</w:t>
      </w:r>
      <w:r>
        <w:rPr>
          <w:rFonts w:ascii="Times New Roman" w:cs="Times New Roman" w:eastAsia="Times New Roman" w:hAnsi="Times New Roman"/>
          <w:sz w:val="21"/>
          <w:szCs w:val="21"/>
          <w:color w:val="auto"/>
        </w:rPr>
        <w:t>. The Corporation will at all times reserve and keep available out of its authorized and unissued shares of Class A Common Stock, solely for the purpose of the issuance upon the redemption or exchange of LLC Units, the number of shares of Class A Common Stock that are issuable upon the redemption or exchange of all outstanding LLC Units held by holders of Paired Interests, pursuant to Article 10 of the Second Amended and Restated LLC Agreement of PHD Group Holdings LLC. The Corporation covenants that all the shares of Class A Common Stock that are issued upon the redemption or exchange of such Paired Interests will, upon issuance, be validly issued, fully paid and non-assessable.</w:t>
      </w:r>
    </w:p>
    <w:p>
      <w:pPr>
        <w:spacing w:after="0" w:line="183" w:lineRule="exact"/>
        <w:rPr>
          <w:sz w:val="20"/>
          <w:szCs w:val="20"/>
          <w:color w:val="auto"/>
        </w:rPr>
      </w:pPr>
    </w:p>
    <w:p>
      <w:pPr>
        <w:jc w:val="both"/>
        <w:ind w:right="20" w:firstLine="644"/>
        <w:spacing w:after="0" w:line="277"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issuance of shares of Class A Common Stock upon the exercise by holders of Paired Interests of their right under Section 10.01 of the Second Amended and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1" w:right="339" w:bottom="1440" w:gutter="0" w:footer="0" w:header="0"/>
        </w:sectPr>
      </w:pPr>
    </w:p>
    <w:bookmarkStart w:id="42" w:name="page43"/>
    <w:bookmarkEnd w:id="4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Restated LLC Agreement of PHD Group Holdings LLC to exchange their LLC Units or have their LLC Units redeemed will be made without charge to such holders for any transfer taxes, stamp taxes or duties or other similar tax in respect of the issuance;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such shares of Class A Common Stock are to be issued in a name other than that of the then record holder of the LLC Units being redeemed or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67"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Preemptive Rights</w:t>
      </w:r>
      <w:r>
        <w:rPr>
          <w:rFonts w:ascii="Times New Roman" w:cs="Times New Roman" w:eastAsia="Times New Roman" w:hAnsi="Times New Roman"/>
          <w:sz w:val="21"/>
          <w:szCs w:val="21"/>
          <w:color w:val="auto"/>
        </w:rPr>
        <w:t>. To the extent LLC Units are issued pursuant to the Second Amended and Restated LLC Agreement of PHD Group Holdings LLC to anyone other than the Corporation or a wholly owned subsidiary of the Corporation (including pursuant to Section 9.02 (or any equivalent successor provision) of the Second Amended and Restated LLC Agreement of PHD Group Holdings LLC), an equivalent number of shares of Class B Common Stock (subject to adjustment as set forth herein) shall concurrently be issued to the same Person to which such LLC Units are issued.</w:t>
      </w:r>
    </w:p>
    <w:p>
      <w:pPr>
        <w:spacing w:after="0" w:line="162" w:lineRule="exact"/>
        <w:rPr>
          <w:sz w:val="20"/>
          <w:szCs w:val="20"/>
          <w:color w:val="auto"/>
        </w:rPr>
      </w:pPr>
    </w:p>
    <w:p>
      <w:pPr>
        <w:ind w:left="660" w:hanging="653"/>
        <w:spacing w:after="0"/>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of Directors.</w:t>
      </w:r>
    </w:p>
    <w:p>
      <w:pPr>
        <w:spacing w:after="0" w:line="215" w:lineRule="exact"/>
        <w:rPr>
          <w:sz w:val="20"/>
          <w:szCs w:val="20"/>
          <w:color w:val="auto"/>
        </w:rPr>
      </w:pPr>
    </w:p>
    <w:p>
      <w:pPr>
        <w:jc w:val="both"/>
        <w:ind w:firstLine="644"/>
        <w:spacing w:after="0" w:line="253"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Powers of the Board</w:t>
      </w:r>
      <w:r>
        <w:rPr>
          <w:rFonts w:ascii="Times New Roman" w:cs="Times New Roman" w:eastAsia="Times New Roman" w:hAnsi="Times New Roman"/>
          <w:sz w:val="21"/>
          <w:szCs w:val="21"/>
          <w:color w:val="auto"/>
        </w:rPr>
        <w:t>. Except as otherwise provided by the DGCL or this Certificate of Incorporation, the business and affairs of the Corporation shall be managed by or under the direction of the Board. In addition to the powers and authority expressly conferred upon them by applicable law or by this Certificate of Incorporation (including any certificate of designations relating to any series or class of Preferred Stock) or the By-laws of the Corporation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the Board is hereby empowered to exercise all such powers and do all such acts and things as may be exercised or done by the Corporation, except as otherwise specifically required by law or as otherwise provided in this Certificate of Incorporation (including any certificate of designations relating to any series or class of Preferred Stock).</w:t>
      </w:r>
    </w:p>
    <w:p>
      <w:pPr>
        <w:spacing w:after="0" w:line="164" w:lineRule="exact"/>
        <w:rPr>
          <w:sz w:val="20"/>
          <w:szCs w:val="20"/>
          <w:color w:val="auto"/>
        </w:rPr>
      </w:pPr>
    </w:p>
    <w:p>
      <w:pPr>
        <w:jc w:val="both"/>
        <w:ind w:firstLine="644"/>
        <w:spacing w:after="0" w:line="257"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Number of Directors</w:t>
      </w:r>
      <w:r>
        <w:rPr>
          <w:rFonts w:ascii="Times New Roman" w:cs="Times New Roman" w:eastAsia="Times New Roman" w:hAnsi="Times New Roman"/>
          <w:sz w:val="21"/>
          <w:szCs w:val="21"/>
          <w:color w:val="auto"/>
        </w:rPr>
        <w:t>. The total number of directors of the Corporation (the “</w:t>
      </w:r>
      <w:r>
        <w:rPr>
          <w:rFonts w:ascii="Times New Roman" w:cs="Times New Roman" w:eastAsia="Times New Roman" w:hAnsi="Times New Roman"/>
          <w:sz w:val="21"/>
          <w:szCs w:val="21"/>
          <w:u w:val="single" w:color="auto"/>
          <w:color w:val="auto"/>
        </w:rPr>
        <w:t>Directors</w:t>
      </w:r>
      <w:r>
        <w:rPr>
          <w:rFonts w:ascii="Times New Roman" w:cs="Times New Roman" w:eastAsia="Times New Roman" w:hAnsi="Times New Roman"/>
          <w:sz w:val="21"/>
          <w:szCs w:val="21"/>
          <w:color w:val="auto"/>
        </w:rPr>
        <w:t>”) constituting the Board shall be at least one, and subject to any rights of the holders of any series of Preferred Stock then outstanding to elect additional directors under specified circumstances or otherwise, the total number of directors constituting the whole Board of Directors shall be determined from time to time exclusively by resolutions adopted by the Board of Directors.</w:t>
      </w:r>
    </w:p>
    <w:p>
      <w:pPr>
        <w:spacing w:after="0" w:line="174"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Elections of Directors</w:t>
      </w:r>
      <w:r>
        <w:rPr>
          <w:rFonts w:ascii="Times New Roman" w:cs="Times New Roman" w:eastAsia="Times New Roman" w:hAnsi="Times New Roman"/>
          <w:sz w:val="21"/>
          <w:szCs w:val="21"/>
          <w:color w:val="auto"/>
        </w:rPr>
        <w:t>. Directors shall be elected annually at the annual meeting of stockholders which need not be by written ballot except to the extent provided in the By-laws.</w:t>
      </w:r>
    </w:p>
    <w:p>
      <w:pPr>
        <w:spacing w:after="0" w:line="154" w:lineRule="exact"/>
        <w:rPr>
          <w:sz w:val="20"/>
          <w:szCs w:val="20"/>
          <w:color w:val="auto"/>
        </w:rPr>
      </w:pPr>
    </w:p>
    <w:p>
      <w:pPr>
        <w:jc w:val="both"/>
        <w:ind w:firstLine="644"/>
        <w:spacing w:after="0" w:line="257"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Advance Notice</w:t>
      </w:r>
      <w:r>
        <w:rPr>
          <w:rFonts w:ascii="Times New Roman" w:cs="Times New Roman" w:eastAsia="Times New Roman" w:hAnsi="Times New Roman"/>
          <w:sz w:val="21"/>
          <w:szCs w:val="21"/>
          <w:color w:val="auto"/>
        </w:rPr>
        <w:t>. Advance notice of nominations for the election of Directors or proposals of other business to be considered by stockholders, made other than by the Board or a duly authorized committee thereof or any authorized officer of the Corporation to whom the Board or such committee shall have delegated such authority, shall be given in the manner provided in the By-laws. Without limiting the generality of the foregoing, the By-laws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color w:val="auto"/>
        </w:rPr>
        <w:t>require that such advance notice include such information as the Board may deem appropriate or useful.</w:t>
      </w:r>
    </w:p>
    <w:p>
      <w:pPr>
        <w:spacing w:after="0" w:line="215"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u w:val="single" w:color="auto"/>
          <w:color w:val="auto"/>
        </w:rPr>
        <w:t>Removal of Directors</w:t>
      </w:r>
      <w:r>
        <w:rPr>
          <w:rFonts w:ascii="Times New Roman" w:cs="Times New Roman" w:eastAsia="Times New Roman" w:hAnsi="Times New Roman"/>
          <w:sz w:val="21"/>
          <w:szCs w:val="21"/>
          <w:color w:val="auto"/>
        </w:rPr>
        <w:t>. Subject to the terms of any one or more series or classes of Preferred Stock, any Director who is elected to serve may be removed from office during such term, at any time by the affirmative vote of the holders of at least a majority of the voting power of the Corporation’s outstanding shares of stock entitled to vote generally in the election of Directors, voting together as a single class, with or without cause.</w:t>
      </w:r>
    </w:p>
    <w:p>
      <w:pPr>
        <w:spacing w:after="0" w:line="157"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Directors shall hold office until the first annual meeting following their election and until the election and qualification of their respective successors in office or until such Director’s earlier death, resignation or removal.</w:t>
      </w:r>
    </w:p>
    <w:p>
      <w:pPr>
        <w:spacing w:after="0" w:line="154" w:lineRule="exact"/>
        <w:rPr>
          <w:sz w:val="20"/>
          <w:szCs w:val="20"/>
          <w:color w:val="auto"/>
        </w:rPr>
      </w:pPr>
    </w:p>
    <w:p>
      <w:pPr>
        <w:jc w:val="both"/>
        <w:ind w:firstLine="644"/>
        <w:spacing w:after="0" w:line="247"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Director Elections by Holders of Preferred Stock</w:t>
      </w:r>
      <w:r>
        <w:rPr>
          <w:rFonts w:ascii="Times New Roman" w:cs="Times New Roman" w:eastAsia="Times New Roman" w:hAnsi="Times New Roman"/>
          <w:sz w:val="21"/>
          <w:szCs w:val="21"/>
          <w:color w:val="auto"/>
        </w:rPr>
        <w:t>.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77" w:lineRule="exact"/>
        <w:rPr>
          <w:sz w:val="20"/>
          <w:szCs w:val="20"/>
          <w:color w:val="auto"/>
        </w:rPr>
      </w:pPr>
    </w:p>
    <w:p>
      <w:pPr>
        <w:jc w:val="both"/>
        <w:ind w:firstLine="7"/>
        <w:spacing w:after="0" w:line="251" w:lineRule="auto"/>
        <w:tabs>
          <w:tab w:leader="none" w:pos="64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Action by Written Consent.</w:t>
      </w:r>
      <w:r>
        <w:rPr>
          <w:rFonts w:ascii="Times New Roman" w:cs="Times New Roman" w:eastAsia="Times New Roman" w:hAnsi="Times New Roman"/>
          <w:sz w:val="21"/>
          <w:szCs w:val="21"/>
          <w:color w:val="auto"/>
        </w:rPr>
        <w:t xml:space="preserve"> Subject to the terms of any one or more series or classes of Preferred Stock, from and prior to the time that the Berkshire Sponsor and its Affiliates collectively beneficially own (as shall be determined in accordance with Rules 13d-3 and 13d-5 of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less than 50% of the voting power of then outstanding shares of capital stock of the Corporation, any action required or permitted to be taken by the stockholders of the Corporation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not less than the minimum number of votes that would be necessary to authorize or take such action at a meeting at which all shares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4" w:name="page45"/>
    <w:bookmarkEnd w:id="44"/>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 For purposes of this Section, “Affiliates” shall have the meaning set forth in Section 18(b)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the purposes of this definition none of (i) the Corporation, its subsidiaries and any entities (including corporations, partnerships, limited liability companies or other Persons) in which the Corporation or its subsidiaries hold, directly or indirectly, an ownership interest, on the one hand, or (ii) the Berkshire Sponsor and its affiliates (excluding the Corporation, its subsidiaries or other entities described in clause (i)), on the other hand, shall be deemed to be “Affiliates” of one another.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653"/>
        <w:spacing w:after="0"/>
        <w:tabs>
          <w:tab w:leader="none" w:pos="6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Meetings of Stockholders</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9.1 An annual meeting of stockholders for the election of directors to succeed those whose terms expire and for the transaction of such other business as may properly come before the meeting shall be held at such place, on such date, and at such time as shall be fixed exclusively by resolution of the Board or duly authorized committee thereof.</w:t>
      </w:r>
    </w:p>
    <w:p>
      <w:pPr>
        <w:spacing w:after="0" w:line="174"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9.2 Subject to the terms of any one or more series or classes of Preferred Stock, special meetings of the stockholders of the Corporation, for any purpose or purposes, may be called at any time, but only by or at the direction of a majority of the Board, the Chairperson or the chief executive officer of the Corporation.</w:t>
      </w:r>
    </w:p>
    <w:p>
      <w:pPr>
        <w:spacing w:after="0" w:line="174"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9.3 There shall be no cumulative voting in the election of directors. Unless and except to the extent that the By-laws shall so require, the election of the Directors need not be by written ballot.</w:t>
      </w:r>
    </w:p>
    <w:p>
      <w:pPr>
        <w:spacing w:after="0" w:line="154"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21"/>
          <w:szCs w:val="21"/>
          <w:color w:val="auto"/>
        </w:rPr>
        <w:t>9.4 Any meeting of stockholders may be postponed, rescheduled or canceled by action of the Board at any time in advance of such meeting. The Board shall have the power to adopt such rules and regulations for the conduct of the meetings and management of the affairs of the Corporation as they may deem proper and the power to adjourn or recess any meeting of stockholders without a vote of the stockholders, which powers may be delegated by the Board to the Chairperson in either such rules and regulations or pursuant to the By-laws.</w:t>
      </w:r>
    </w:p>
    <w:p>
      <w:pPr>
        <w:spacing w:after="0" w:line="182"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9.5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or in the By-laws of the Corporation.</w:t>
      </w:r>
    </w:p>
    <w:p>
      <w:pPr>
        <w:spacing w:after="0" w:line="174" w:lineRule="exact"/>
        <w:rPr>
          <w:sz w:val="20"/>
          <w:szCs w:val="20"/>
          <w:color w:val="auto"/>
        </w:rPr>
      </w:pPr>
    </w:p>
    <w:p>
      <w:pPr>
        <w:ind w:left="660" w:hanging="653"/>
        <w:spacing w:after="0"/>
        <w:tabs>
          <w:tab w:leader="none" w:pos="6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Combinations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right="20" w:firstLine="644"/>
        <w:spacing w:after="0" w:line="291"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Section 203 of the DGCL</w:t>
      </w:r>
      <w:r>
        <w:rPr>
          <w:rFonts w:ascii="Times New Roman" w:cs="Times New Roman" w:eastAsia="Times New Roman" w:hAnsi="Times New Roman"/>
          <w:sz w:val="21"/>
          <w:szCs w:val="21"/>
          <w:color w:val="auto"/>
        </w:rPr>
        <w:t>. The Corporation shall not be governed by Section 203 of the DGCL, and the restrictions contained therein shall not apply to the Corporation.</w:t>
      </w:r>
    </w:p>
    <w:p>
      <w:pPr>
        <w:spacing w:after="0" w:line="126" w:lineRule="exact"/>
        <w:rPr>
          <w:sz w:val="20"/>
          <w:szCs w:val="20"/>
          <w:color w:val="auto"/>
        </w:rPr>
      </w:pPr>
    </w:p>
    <w:p>
      <w:pPr>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Limitations on Business Combinations</w:t>
      </w:r>
      <w:r>
        <w:rPr>
          <w:rFonts w:ascii="Times New Roman" w:cs="Times New Roman" w:eastAsia="Times New Roman" w:hAnsi="Times New Roman"/>
          <w:sz w:val="21"/>
          <w:szCs w:val="21"/>
          <w:color w:val="auto"/>
        </w:rPr>
        <w:t>. Notwithstanding the foregoing, the Corporation shall not engage in any business combination (as defined below), at any point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5" w:name="page46"/>
    <w:bookmarkEnd w:id="45"/>
    <w:p>
      <w:pPr>
        <w:jc w:val="both"/>
        <w:spacing w:after="0" w:line="265" w:lineRule="auto"/>
        <w:rPr>
          <w:sz w:val="20"/>
          <w:szCs w:val="20"/>
          <w:color w:val="auto"/>
        </w:rPr>
      </w:pPr>
      <w:r>
        <w:rPr>
          <w:rFonts w:ascii="Times New Roman" w:cs="Times New Roman" w:eastAsia="Times New Roman" w:hAnsi="Times New Roman"/>
          <w:sz w:val="21"/>
          <w:szCs w:val="21"/>
          <w:color w:val="auto"/>
        </w:rPr>
        <w:t>time at which the Class A Common Stock is registered under Section 12(b) or 12(g) of the Exchange Act, with any interested stockholder (as defined below) for a period of three (3) years following the time that such stockholder became an interested stockholder, unless:</w:t>
      </w:r>
    </w:p>
    <w:p>
      <w:pPr>
        <w:spacing w:after="0" w:line="153" w:lineRule="exact"/>
        <w:rPr>
          <w:sz w:val="20"/>
          <w:szCs w:val="20"/>
          <w:color w:val="auto"/>
        </w:rPr>
      </w:pPr>
    </w:p>
    <w:p>
      <w:pPr>
        <w:ind w:right="20" w:firstLine="1296"/>
        <w:spacing w:after="0" w:line="291" w:lineRule="auto"/>
        <w:tabs>
          <w:tab w:leader="none" w:pos="19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such time, the Board approved either the business combination or the transaction which resulted in the stockholder becoming an interested stockholder; or</w:t>
      </w:r>
    </w:p>
    <w:p>
      <w:pPr>
        <w:spacing w:after="0" w:line="125"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2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and (2) employee stock plans of the Corporation in which employee participants do not have the right to determine confidentially whether shares held subject to the plan will be tendered in a tender or exchange offer; or</w:t>
      </w:r>
    </w:p>
    <w:p>
      <w:pPr>
        <w:spacing w:after="0" w:line="200" w:lineRule="exact"/>
        <w:rPr>
          <w:rFonts w:ascii="Times New Roman" w:cs="Times New Roman" w:eastAsia="Times New Roman" w:hAnsi="Times New Roman"/>
          <w:sz w:val="21"/>
          <w:szCs w:val="21"/>
          <w:color w:val="auto"/>
        </w:rPr>
      </w:pPr>
    </w:p>
    <w:p>
      <w:pPr>
        <w:spacing w:after="0" w:line="230" w:lineRule="exact"/>
        <w:rPr>
          <w:rFonts w:ascii="Times New Roman" w:cs="Times New Roman" w:eastAsia="Times New Roman" w:hAnsi="Times New Roman"/>
          <w:sz w:val="21"/>
          <w:szCs w:val="21"/>
          <w:color w:val="auto"/>
        </w:rPr>
      </w:pPr>
    </w:p>
    <w:p>
      <w:pPr>
        <w:jc w:val="both"/>
        <w:ind w:firstLine="1296"/>
        <w:spacing w:after="0" w:line="258" w:lineRule="auto"/>
        <w:tabs>
          <w:tab w:leader="none" w:pos="193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or subsequent to such time, the business combination is approved by the Board and authorized at an annual or special meeting of stockholders, and not by written consent, by the affirmative vote of at least 66⅔% of the outstanding voting stock of the Corporation which is not owned by the interested stockholder.</w:t>
      </w:r>
    </w:p>
    <w:p>
      <w:pPr>
        <w:spacing w:after="0" w:line="174" w:lineRule="exact"/>
        <w:rPr>
          <w:sz w:val="20"/>
          <w:szCs w:val="20"/>
          <w:color w:val="auto"/>
        </w:rPr>
      </w:pPr>
    </w:p>
    <w:p>
      <w:pPr>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Exceptions to Prohibition on Interested Stockholder Transactions</w:t>
      </w:r>
      <w:r>
        <w:rPr>
          <w:rFonts w:ascii="Times New Roman" w:cs="Times New Roman" w:eastAsia="Times New Roman" w:hAnsi="Times New Roman"/>
          <w:sz w:val="21"/>
          <w:szCs w:val="21"/>
          <w:color w:val="auto"/>
        </w:rPr>
        <w:t>. The restrictions contained in this Section 10 shall not apply if:</w:t>
      </w:r>
    </w:p>
    <w:p>
      <w:pPr>
        <w:spacing w:after="0" w:line="154" w:lineRule="exact"/>
        <w:rPr>
          <w:sz w:val="20"/>
          <w:szCs w:val="20"/>
          <w:color w:val="auto"/>
        </w:rPr>
      </w:pPr>
    </w:p>
    <w:p>
      <w:pPr>
        <w:jc w:val="both"/>
        <w:ind w:firstLine="1296"/>
        <w:spacing w:after="0" w:line="257" w:lineRule="auto"/>
        <w:tabs>
          <w:tab w:leader="none" w:pos="19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becomes an interested stockholder inadvertently and (A) as soon as practicable divests itself of ownership of sufficient shares so that the stockholder ceases to be an interested stockholder; and (B) would not, at any time within the three- year period immediately prior to a business combination between the Corporation and such stockholder, have been an interested stockholder but for the inadvertent acquisition of ownership; or</w:t>
      </w:r>
    </w:p>
    <w:p>
      <w:pPr>
        <w:spacing w:after="0" w:line="160" w:lineRule="exact"/>
        <w:rPr>
          <w:rFonts w:ascii="Times New Roman" w:cs="Times New Roman" w:eastAsia="Times New Roman" w:hAnsi="Times New Roman"/>
          <w:sz w:val="21"/>
          <w:szCs w:val="21"/>
          <w:color w:val="auto"/>
        </w:rPr>
      </w:pPr>
    </w:p>
    <w:p>
      <w:pPr>
        <w:jc w:val="both"/>
        <w:ind w:firstLine="1296"/>
        <w:spacing w:after="0" w:line="248" w:lineRule="auto"/>
        <w:tabs>
          <w:tab w:leader="none" w:pos="192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combination is proposed prior to the consummation or abandonment of and subsequent to the earlier of the public announcement or the notice required hereunder of a proposed transaction which (A) constitutes one of the transactions described in the second sentence of this Section 10.3(ii); (B) is with or by a person who either was not an interested stockholder during the previous three years or who became an interested stockholder with the approval of the Board; and (C)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fifty percent (50%) or more of either that aggregate market value of all of the assets of the Corporation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color w:val="auto"/>
        </w:rPr>
        <w:t>on a consolidated basis or the aggregate market value of all the outstanding stock (as defined hereinafter) of the Corporation; or</w:t>
      </w:r>
    </w:p>
    <w:p>
      <w:pPr>
        <w:spacing w:after="0" w:line="24" w:lineRule="exact"/>
        <w:rPr>
          <w:sz w:val="20"/>
          <w:szCs w:val="20"/>
          <w:color w:val="auto"/>
        </w:rPr>
      </w:pPr>
    </w:p>
    <w:p>
      <w:pPr>
        <w:jc w:val="both"/>
        <w:ind w:firstLine="7"/>
        <w:spacing w:after="0" w:line="253" w:lineRule="auto"/>
        <w:tabs>
          <w:tab w:leader="none" w:pos="30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proposed tender or exchange offer for fifty percent (50%) or more of the outstanding voting stock of the Corporation. The Corporation shall give not less than 20 days’ notice to all interested stockholders prior to the consummation of any of the transactions described in clause (x) or (y) of the second sentence of this Section 10.3(ii).</w:t>
      </w:r>
    </w:p>
    <w:p>
      <w:pPr>
        <w:spacing w:after="0" w:line="179"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Section 10 Definitions</w:t>
      </w:r>
      <w:r>
        <w:rPr>
          <w:rFonts w:ascii="Times New Roman" w:cs="Times New Roman" w:eastAsia="Times New Roman" w:hAnsi="Times New Roman"/>
          <w:sz w:val="21"/>
          <w:szCs w:val="21"/>
          <w:color w:val="auto"/>
        </w:rPr>
        <w:t>. As used in this Section 10 only, and unless otherwise provided by the express terms of this Section 10, the following terms shall have the meanings ascribed to them as set forth in this Section 10.4 and, to the extent such terms are defined elsewhere in this Certificate of Incorporation, such definition shall not apply to this Section 10:</w:t>
      </w:r>
    </w:p>
    <w:p>
      <w:pPr>
        <w:spacing w:after="0" w:line="174" w:lineRule="exact"/>
        <w:rPr>
          <w:sz w:val="20"/>
          <w:szCs w:val="20"/>
          <w:color w:val="auto"/>
        </w:rPr>
      </w:pPr>
    </w:p>
    <w:p>
      <w:pPr>
        <w:jc w:val="both"/>
        <w:ind w:firstLine="1296"/>
        <w:spacing w:after="0" w:line="252" w:lineRule="auto"/>
        <w:tabs>
          <w:tab w:leader="none" w:pos="19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“associate” when used to indicate a relationship with any Person, means: (1) any corporation, partnership, unincorporated association or other entity of which such person is a director, officer or partner or is, directly or indirectly, the owner of twenty percent (20%) or more of any class of voting stock; (2) any trust or other estate in which such Person has at least a twenty percent (20%) beneficial interest or as to which such Person serves as trustee or in a similar fiduciary capacity; and (3) any relative or spouse of such Person, or any relative of such spouse, who has the same residence as such Person.</w:t>
      </w:r>
    </w:p>
    <w:p>
      <w:pPr>
        <w:spacing w:after="0" w:line="181"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combination” when used in reference to the Corporation and any interested stockholder of the</w:t>
      </w:r>
    </w:p>
    <w:p>
      <w:pPr>
        <w:spacing w:after="0" w:line="2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Corporation, means:</w:t>
      </w:r>
    </w:p>
    <w:p>
      <w:pPr>
        <w:spacing w:after="0" w:line="190" w:lineRule="exact"/>
        <w:rPr>
          <w:rFonts w:ascii="Times New Roman" w:cs="Times New Roman" w:eastAsia="Times New Roman" w:hAnsi="Times New Roman"/>
          <w:sz w:val="21"/>
          <w:szCs w:val="21"/>
          <w:color w:val="auto"/>
        </w:rPr>
      </w:pPr>
    </w:p>
    <w:p>
      <w:pPr>
        <w:jc w:val="both"/>
        <w:ind w:firstLine="1940"/>
        <w:spacing w:after="0" w:line="261" w:lineRule="auto"/>
        <w:tabs>
          <w:tab w:leader="none" w:pos="2572"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Section 10.2 is not applicable to the surviving entity;</w:t>
      </w:r>
    </w:p>
    <w:p>
      <w:pPr>
        <w:spacing w:after="0" w:line="157" w:lineRule="exact"/>
        <w:rPr>
          <w:rFonts w:ascii="Times New Roman" w:cs="Times New Roman" w:eastAsia="Times New Roman" w:hAnsi="Times New Roman"/>
          <w:sz w:val="21"/>
          <w:szCs w:val="21"/>
          <w:color w:val="auto"/>
        </w:rPr>
      </w:pPr>
    </w:p>
    <w:p>
      <w:pPr>
        <w:jc w:val="both"/>
        <w:ind w:firstLine="1940"/>
        <w:spacing w:after="0" w:line="253" w:lineRule="auto"/>
        <w:tabs>
          <w:tab w:leader="none" w:pos="2572"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jc w:val="both"/>
        <w:ind w:firstLine="1940"/>
        <w:spacing w:after="0" w:line="251" w:lineRule="auto"/>
        <w:tabs>
          <w:tab w:leader="none" w:pos="2572"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the securities exercisable for, exchangeable for or convertible into stock of the Corporation or any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1"/>
          <w:szCs w:val="21"/>
          <w:color w:val="auto"/>
        </w:rPr>
        <w:t>stockholder became such; (d) pursuant to an exchange offer by the Corporation to purchase stock made on the same terms to all holders of said stock; or (e) any issuance or transfer of stock by the Corporation; provided, however, that in no case under items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(c)-(e) of this Section 10.4(ii)(3) shall there be an increase in the interested stockholder’s proportionate share of the stock of any class or series of the Corporation or the voting stock of the Corporation (except as a result of immaterial changes due to fractional share adjustments);</w:t>
      </w:r>
    </w:p>
    <w:p>
      <w:pPr>
        <w:spacing w:after="0" w:line="165" w:lineRule="exact"/>
        <w:rPr>
          <w:sz w:val="20"/>
          <w:szCs w:val="20"/>
          <w:color w:val="auto"/>
        </w:rPr>
      </w:pPr>
    </w:p>
    <w:p>
      <w:pPr>
        <w:jc w:val="both"/>
        <w:ind w:firstLine="1940"/>
        <w:spacing w:after="0" w:line="256" w:lineRule="auto"/>
        <w:tabs>
          <w:tab w:leader="none" w:pos="257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1" w:lineRule="exact"/>
        <w:rPr>
          <w:rFonts w:ascii="Times New Roman" w:cs="Times New Roman" w:eastAsia="Times New Roman" w:hAnsi="Times New Roman"/>
          <w:sz w:val="21"/>
          <w:szCs w:val="21"/>
          <w:color w:val="auto"/>
        </w:rPr>
      </w:pPr>
    </w:p>
    <w:p>
      <w:pPr>
        <w:jc w:val="both"/>
        <w:ind w:firstLine="1940"/>
        <w:spacing w:after="0" w:line="257" w:lineRule="auto"/>
        <w:tabs>
          <w:tab w:leader="none" w:pos="257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receipt by the interested stockholder of the benefit, directly or indirectly (except proportionately as a stockholder of the Corporation), of any loans, advances, guarantees, pledges, or other financial benefits (other than those expressly permitted in Sections 10.4(ii)(1) or 10.4(ii)(4) above) provided by or through the Corporation or any direct or indirect majority-owned subsidiary.</w:t>
      </w:r>
    </w:p>
    <w:p>
      <w:pPr>
        <w:spacing w:after="0" w:line="160"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3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10, as an agent, bank, broker, nominee, custodian or trustee for one or more owners who do not individually or as a group (as such term is used in Rule 13d-5 under the Exchange Act, as such Rule is in effect as of the date of this Certificate of Incorporation) have control of such entity.</w:t>
      </w:r>
    </w:p>
    <w:p>
      <w:pPr>
        <w:spacing w:after="0" w:line="169" w:lineRule="exact"/>
        <w:rPr>
          <w:rFonts w:ascii="Times New Roman" w:cs="Times New Roman" w:eastAsia="Times New Roman" w:hAnsi="Times New Roman"/>
          <w:sz w:val="21"/>
          <w:szCs w:val="21"/>
          <w:color w:val="auto"/>
        </w:rPr>
      </w:pPr>
    </w:p>
    <w:p>
      <w:pPr>
        <w:jc w:val="both"/>
        <w:ind w:firstLine="1296"/>
        <w:spacing w:after="0" w:line="250" w:lineRule="auto"/>
        <w:tabs>
          <w:tab w:leader="none" w:pos="19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“interested stockholder” means any Person (other than the Corporation or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provided, however, that the term “interested stockholder” shall in no case include or be deemed to include (1) the Investors or their direct and indirect transferees, or (2) any Person whose ownership of share in excess of the fifteen percent (15%) limitation set forth herein is the result of any action taken solely by the Corporation; provided that such Person specified in this clause (2) shall be an interested stockholder if thereafter such Person acquires additional shares of voting stock of the Corporation, except as a result of further corporate action not caused, directly or indirectly,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-3445510</wp:posOffset>
            </wp:positionV>
            <wp:extent cx="425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8" w:name="page49"/>
    <w:bookmarkEnd w:id="48"/>
    <w:p>
      <w:pPr>
        <w:jc w:val="both"/>
        <w:spacing w:after="0" w:line="257" w:lineRule="auto"/>
        <w:rPr>
          <w:sz w:val="20"/>
          <w:szCs w:val="20"/>
          <w:color w:val="auto"/>
        </w:rPr>
      </w:pPr>
      <w:r>
        <w:rPr>
          <w:rFonts w:ascii="Times New Roman" w:cs="Times New Roman" w:eastAsia="Times New Roman" w:hAnsi="Times New Roman"/>
          <w:sz w:val="21"/>
          <w:szCs w:val="21"/>
          <w:color w:val="auto"/>
        </w:rPr>
        <w:t>such Person. For the purpose of determining whether a Person is an interested stockholder, the voting stock of the Corporation deemed to be outstanding shall include voting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4" w:lineRule="exact"/>
        <w:rPr>
          <w:sz w:val="20"/>
          <w:szCs w:val="20"/>
          <w:color w:val="auto"/>
        </w:rPr>
      </w:pPr>
    </w:p>
    <w:p>
      <w:pPr>
        <w:jc w:val="both"/>
        <w:ind w:firstLine="1296"/>
        <w:spacing w:after="0" w:line="252" w:lineRule="auto"/>
        <w:tabs>
          <w:tab w:leader="none" w:pos="192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“Investors” means the Berkshire Sponsor and any of its affiliates or successors or any group, or any member of any such group, to which such persons are a party under Rule 13d-5 of the Exchange Act, for so long as they collectively own, directly or indirectly, 5% or more of the voting power of the Corporation’s then outstanding shares of voting stock and of the Corporation , for so long as they collectively own, directly or indirectly, 5% or more of the voting power of the Corporation’s then outstanding shares of voting stock of the Corporation.</w:t>
      </w:r>
    </w:p>
    <w:p>
      <w:pPr>
        <w:spacing w:after="0" w:line="181" w:lineRule="exact"/>
        <w:rPr>
          <w:rFonts w:ascii="Times New Roman" w:cs="Times New Roman" w:eastAsia="Times New Roman" w:hAnsi="Times New Roman"/>
          <w:sz w:val="21"/>
          <w:szCs w:val="21"/>
          <w:color w:val="auto"/>
        </w:rPr>
      </w:pPr>
    </w:p>
    <w:p>
      <w:pPr>
        <w:ind w:firstLine="1296"/>
        <w:spacing w:after="0" w:line="277" w:lineRule="auto"/>
        <w:tabs>
          <w:tab w:leader="none" w:pos="19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 including the terms “own” and “owned,” when used with respect to any stock, means a Person that individually or with or through any of its affiliates or associates:</w:t>
      </w:r>
    </w:p>
    <w:p>
      <w:pPr>
        <w:spacing w:after="0" w:line="140" w:lineRule="exact"/>
        <w:rPr>
          <w:rFonts w:ascii="Times New Roman" w:cs="Times New Roman" w:eastAsia="Times New Roman" w:hAnsi="Times New Roman"/>
          <w:sz w:val="21"/>
          <w:szCs w:val="21"/>
          <w:color w:val="auto"/>
        </w:rPr>
      </w:pPr>
    </w:p>
    <w:p>
      <w:pPr>
        <w:ind w:left="2580" w:hanging="640"/>
        <w:spacing w:after="0"/>
        <w:tabs>
          <w:tab w:leader="none" w:pos="25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beneficially owns such stock, directly or indirectly; or</w:t>
      </w:r>
    </w:p>
    <w:p>
      <w:pPr>
        <w:spacing w:after="0" w:line="228" w:lineRule="exact"/>
        <w:rPr>
          <w:rFonts w:ascii="Times New Roman" w:cs="Times New Roman" w:eastAsia="Times New Roman" w:hAnsi="Times New Roman"/>
          <w:sz w:val="21"/>
          <w:szCs w:val="21"/>
          <w:color w:val="auto"/>
        </w:rPr>
      </w:pPr>
    </w:p>
    <w:p>
      <w:pPr>
        <w:jc w:val="both"/>
        <w:ind w:firstLine="1940"/>
        <w:spacing w:after="0" w:line="249" w:lineRule="auto"/>
        <w:tabs>
          <w:tab w:leader="none" w:pos="257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(a) the right to acquire such stock (whether such right is exercisable immediately or only after the passage of time) pursuant to any agreement, arrangement or understanding, or upon the exercise of conversion rights, exchange rights, warrants,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83" w:lineRule="exact"/>
        <w:rPr>
          <w:rFonts w:ascii="Times New Roman" w:cs="Times New Roman" w:eastAsia="Times New Roman" w:hAnsi="Times New Roman"/>
          <w:sz w:val="21"/>
          <w:szCs w:val="21"/>
          <w:color w:val="auto"/>
        </w:rPr>
      </w:pPr>
    </w:p>
    <w:p>
      <w:pPr>
        <w:jc w:val="both"/>
        <w:ind w:firstLine="1940"/>
        <w:spacing w:after="0" w:line="259" w:lineRule="auto"/>
        <w:tabs>
          <w:tab w:leader="none" w:pos="257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any agreement, arrangement or understanding for the purpose of acquiring, holding, voting (except voting pursuant to a revocable proxy or consent as described in clause (b) of Section 10.4(vi)(2)), or disposing of such stock with any other Person that beneficially owns, or whose affiliates or associates beneficially own, directly or indirectly, such stock.</w:t>
      </w: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means, with respect to any corporation, capital stock and, with respect to any other entity, any</w:t>
      </w:r>
    </w:p>
    <w:p>
      <w:pPr>
        <w:spacing w:after="0" w:line="3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interest.</w:t>
      </w:r>
    </w:p>
    <w:p>
      <w:pPr>
        <w:spacing w:after="0" w:line="190"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3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“voting stock”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in this Section 10 shall refer to such percentage of the votes of such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9" w:name="page50"/>
    <w:bookmarkEnd w:id="49"/>
    <w:p>
      <w:pPr>
        <w:jc w:val="both"/>
        <w:ind w:firstLine="7"/>
        <w:spacing w:after="0" w:line="250" w:lineRule="auto"/>
        <w:tabs>
          <w:tab w:leader="none" w:pos="63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of Liability of Directors</w:t>
      </w:r>
      <w:r>
        <w:rPr>
          <w:rFonts w:ascii="Times New Roman" w:cs="Times New Roman" w:eastAsia="Times New Roman" w:hAnsi="Times New Roman"/>
          <w:sz w:val="21"/>
          <w:szCs w:val="21"/>
          <w:color w:val="auto"/>
        </w:rPr>
        <w:t>.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11, or adoption of any provision of this Certificate of Incorporation (including any certificate of designations relating to any series or class of Preferred Stock) inconsistent with this Section 11,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jc w:val="both"/>
        <w:ind w:firstLine="7"/>
        <w:spacing w:after="0" w:line="246" w:lineRule="auto"/>
        <w:tabs>
          <w:tab w:leader="none" w:pos="6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and Advancement</w:t>
      </w:r>
      <w:r>
        <w:rPr>
          <w:rFonts w:ascii="Times New Roman" w:cs="Times New Roman" w:eastAsia="Times New Roman" w:hAnsi="Times New Roman"/>
          <w:sz w:val="21"/>
          <w:szCs w:val="21"/>
          <w:color w:val="auto"/>
        </w:rPr>
        <w:t>. The Corporation shall indemnify, advance expenses to and hold harmless, to the fullest extent permitted by applicable law as it presently exists or may hereafter be amended, any current or former director or officer of the Corporation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who was or is made or is threatened to be made a party or is otherwise involved in any “Proceeding,” which shall include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or officer of the Corporation, by reason of any action (or failure to act) taken by him or her of any action (or failure to act) on his or her part while acting as a director or officer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 12. If the Indemnitee believes in good faith that a given situation may lead to or culminate in the institution of a Proceeding, this shall be considered a Proceeding under this Section 12. Neither any amendment nor repeal of this Section 12, nor the adoption of any provision of this Certificate of Incorporation inconsistent with this Section 12, shall eliminate or reduce the effect of this Section</w:t>
      </w:r>
    </w:p>
    <w:p>
      <w:pPr>
        <w:spacing w:after="0" w:line="9" w:lineRule="exact"/>
        <w:rPr>
          <w:rFonts w:ascii="Times New Roman" w:cs="Times New Roman" w:eastAsia="Times New Roman" w:hAnsi="Times New Roman"/>
          <w:sz w:val="21"/>
          <w:szCs w:val="21"/>
          <w:color w:val="auto"/>
        </w:rPr>
      </w:pPr>
    </w:p>
    <w:p>
      <w:pPr>
        <w:ind w:firstLine="7"/>
        <w:spacing w:after="0" w:line="267" w:lineRule="auto"/>
        <w:tabs>
          <w:tab w:leader="none" w:pos="31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any acts or omissions occurring prior to such alteration, amendment, addition to, repeal or adoption. This provision should be read in conjunction with Article VI of the Bylaws.</w:t>
      </w:r>
    </w:p>
    <w:p>
      <w:pPr>
        <w:spacing w:after="0" w:line="150" w:lineRule="exact"/>
        <w:rPr>
          <w:rFonts w:ascii="Times New Roman" w:cs="Times New Roman" w:eastAsia="Times New Roman" w:hAnsi="Times New Roman"/>
          <w:sz w:val="21"/>
          <w:szCs w:val="21"/>
          <w:color w:val="auto"/>
        </w:rPr>
      </w:pPr>
    </w:p>
    <w:p>
      <w:pPr>
        <w:jc w:val="both"/>
        <w:ind w:firstLine="7"/>
        <w:spacing w:after="0" w:line="252" w:lineRule="auto"/>
        <w:tabs>
          <w:tab w:leader="none" w:pos="64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to the By-Laws</w:t>
      </w:r>
      <w:r>
        <w:rPr>
          <w:rFonts w:ascii="Times New Roman" w:cs="Times New Roman" w:eastAsia="Times New Roman" w:hAnsi="Times New Roman"/>
          <w:sz w:val="21"/>
          <w:szCs w:val="21"/>
          <w:color w:val="auto"/>
        </w:rPr>
        <w:t>. In furtherance and not in limitation of the powers conferred upon it by the laws of the State of Delaware, the Board is expressly authorized and empowered to make, alter, amend, add to or repeal any and all By-laws by resolution of the Board of Directors. In addition to any vote required by this Certificate of Incorporation (including any certificate of designations relating to any series or class of Preferred Stock) or applicable law, the affirmative vote of the holders of at least a majority of the voting power of the Corporation’s then outstanding shares entitled to vote generally in the election of directors, voting together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0" w:name="page51"/>
    <w:bookmarkEnd w:id="50"/>
    <w:p>
      <w:pPr>
        <w:spacing w:after="0" w:line="277" w:lineRule="auto"/>
        <w:rPr>
          <w:sz w:val="20"/>
          <w:szCs w:val="20"/>
          <w:color w:val="auto"/>
        </w:rPr>
      </w:pPr>
      <w:r>
        <w:rPr>
          <w:rFonts w:ascii="Times New Roman" w:cs="Times New Roman" w:eastAsia="Times New Roman" w:hAnsi="Times New Roman"/>
          <w:sz w:val="21"/>
          <w:szCs w:val="21"/>
          <w:color w:val="auto"/>
        </w:rPr>
        <w:t>single class, shall be required for the stockholders to make, alter, amend, add to or repeal any or all By-laws of the Corporation or to adopt any provision inconsistent therewith.</w:t>
      </w:r>
    </w:p>
    <w:p>
      <w:pPr>
        <w:spacing w:after="0" w:line="154" w:lineRule="exact"/>
        <w:rPr>
          <w:sz w:val="20"/>
          <w:szCs w:val="20"/>
          <w:color w:val="auto"/>
        </w:rPr>
      </w:pPr>
    </w:p>
    <w:p>
      <w:pPr>
        <w:jc w:val="both"/>
        <w:ind w:firstLine="7"/>
        <w:spacing w:after="0" w:line="252" w:lineRule="auto"/>
        <w:tabs>
          <w:tab w:leader="none" w:pos="6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Corporation reserves the right, at any time and from time to time, to alter, amend, add to or repeal any provision contained in this Certificate of Incorporation (including any certificate of designations relating to any series or class of Preferred Stock) in any manner now or hereafter prescribed by the laws of the State of Delaware, and all rights, preferences, privileges and powers of any nature conferred upon stockholders, directors or any other Persons herein are granted subject to this reservation.</w:t>
      </w:r>
    </w:p>
    <w:p>
      <w:pPr>
        <w:spacing w:after="0" w:line="181"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Forum</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4"/>
        <w:spacing w:after="0" w:line="248" w:lineRule="auto"/>
        <w:rPr>
          <w:sz w:val="20"/>
          <w:szCs w:val="20"/>
          <w:color w:val="auto"/>
        </w:rPr>
      </w:pPr>
      <w:r>
        <w:rPr>
          <w:rFonts w:ascii="Times New Roman" w:cs="Times New Roman" w:eastAsia="Times New Roman" w:hAnsi="Times New Roman"/>
          <w:sz w:val="21"/>
          <w:szCs w:val="21"/>
          <w:color w:val="auto"/>
        </w:rPr>
        <w:t>15.1 Unless the Corporation consents in writing to the selection of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(a) derivative action or proceeding brought on behalf of the Corporation; (b) action asserting a claim of breach of a fiduciary duty owed by or other wrongdoing by any current or former director, officer, employee, agent or stockholder of the Corporation to the Corporation or the Corporation’s stockholders; (c) action asserting a claim arising under any provision of the DGCL or this Certificate of Incorporation or the By-laws (as either may be amended from time to time), or as to which the DGCL confers jurisdiction on the Court of Chancery of the State of Delaware; or (d) action asserting a claim governed by the internal affairs doctrine. This Section 15.1 shall not apply in any respect to claims or causes of action brought to enforce a duty or liability created by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or the Securities Exchange Act of 1934, as amended, or the rules and regulations promulgated thereunder or any other claim or cause of action for which the federal courts have exclusive jurisdiction.</w:t>
      </w:r>
    </w:p>
    <w:p>
      <w:pPr>
        <w:spacing w:after="0" w:line="200" w:lineRule="exact"/>
        <w:rPr>
          <w:sz w:val="20"/>
          <w:szCs w:val="20"/>
          <w:color w:val="auto"/>
        </w:rPr>
      </w:pPr>
    </w:p>
    <w:p>
      <w:pPr>
        <w:spacing w:after="0" w:line="236"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15.2 Unless the Corporation consents in writing to the selection of an alternative forum, the federal district courts of the United States of America shall be the sole and exclusive forum for the resolution of any action asserting a claim arising under the Securities Act or the rules and regulations promulgated thereunder.</w:t>
      </w:r>
    </w:p>
    <w:p>
      <w:pPr>
        <w:spacing w:after="0" w:line="153" w:lineRule="exact"/>
        <w:rPr>
          <w:sz w:val="20"/>
          <w:szCs w:val="20"/>
          <w:color w:val="auto"/>
        </w:rPr>
      </w:pPr>
    </w:p>
    <w:p>
      <w:pPr>
        <w:jc w:val="both"/>
        <w:ind w:firstLine="7"/>
        <w:spacing w:after="0" w:line="249" w:lineRule="auto"/>
        <w:tabs>
          <w:tab w:leader="none" w:pos="64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1" w:name="page52"/>
    <w:bookmarkEnd w:id="51"/>
    <w:p>
      <w:pPr>
        <w:jc w:val="both"/>
        <w:ind w:firstLine="7"/>
        <w:spacing w:after="0" w:line="247" w:lineRule="auto"/>
        <w:tabs>
          <w:tab w:leader="none" w:pos="64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Corporate Opportunity</w:t>
      </w:r>
      <w:r>
        <w:rPr>
          <w:rFonts w:ascii="Times New Roman" w:cs="Times New Roman" w:eastAsia="Times New Roman" w:hAnsi="Times New Roman"/>
          <w:sz w:val="21"/>
          <w:szCs w:val="21"/>
          <w:color w:val="auto"/>
        </w:rPr>
        <w:t>. To the fullest extent permitted by Section 122(17) of the DGCL and except as may be otherwise expressly agreed in writing by the Corporation, the Corporation, on behalf of itself and its subsidiaries, renounces any interest or expectancy of the Corporation and its subsidiaries in, or in being offered an opportunity to participate in, business opportunities, which are from time to time presented to the Berkshire Sponsor or any of their respective managers,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to the fullest extent permitted by law, no such person or entity shall be liable to the Corporation or any of its subsidiaries for breach of any fiduciary or other duty, as a director or officer or otherwise, by reason of the fact that such person or entity pursues or acquires such business opportunity, directs such business opportunity to another person or entity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Neither the alteration, amendment, addition to or repeal of this Section 17, nor the adoption of any provision of this Certificate of Incorporation (including any certificate of designations relating to any series or class of Preferred Stock) inconsistent with this Section 17, shall eliminate or reduce the effect of this Section 17 in respect of any business opportunity first identified or any other matter occurring, or any cause of action, suit or claim that, but for this Section 17, would accrue or arise, prior to such alteration, amendment, addition, repeal or adoption.</w:t>
      </w:r>
    </w:p>
    <w:p>
      <w:pPr>
        <w:spacing w:after="0" w:line="190" w:lineRule="exact"/>
        <w:rPr>
          <w:rFonts w:ascii="Times New Roman" w:cs="Times New Roman" w:eastAsia="Times New Roman" w:hAnsi="Times New Roman"/>
          <w:sz w:val="21"/>
          <w:szCs w:val="21"/>
          <w:color w:val="auto"/>
        </w:rPr>
      </w:pPr>
    </w:p>
    <w:p>
      <w:pPr>
        <w:ind w:firstLine="7"/>
        <w:spacing w:after="0" w:line="277" w:lineRule="auto"/>
        <w:tabs>
          <w:tab w:leader="none" w:pos="64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Certificate of Incorporation, unless the context otherwise requires or as set forth in another Section of this Certificate of Incorporation, the term:</w:t>
      </w:r>
    </w:p>
    <w:p>
      <w:pPr>
        <w:spacing w:after="0" w:line="140" w:lineRule="exact"/>
        <w:rPr>
          <w:rFonts w:ascii="Times New Roman" w:cs="Times New Roman" w:eastAsia="Times New Roman" w:hAnsi="Times New Roman"/>
          <w:sz w:val="21"/>
          <w:szCs w:val="21"/>
          <w:color w:val="auto"/>
        </w:rPr>
      </w:pPr>
    </w:p>
    <w:p>
      <w:pPr>
        <w:ind w:left="2000" w:hanging="704"/>
        <w:spacing w:after="0"/>
        <w:tabs>
          <w:tab w:leader="none" w:pos="200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PHD Group Holdings LLC</w:t>
      </w:r>
      <w:r>
        <w:rPr>
          <w:rFonts w:ascii="Times New Roman" w:cs="Times New Roman" w:eastAsia="Times New Roman" w:hAnsi="Times New Roman"/>
          <w:sz w:val="21"/>
          <w:szCs w:val="21"/>
          <w:color w:val="auto"/>
        </w:rPr>
        <w:t>” means PHD Group Holdings LLC, a Delaware limited liability company or</w:t>
      </w:r>
    </w:p>
    <w:p>
      <w:pPr>
        <w:spacing w:after="0" w:line="3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successor thereto.</w:t>
      </w:r>
    </w:p>
    <w:p>
      <w:pPr>
        <w:spacing w:after="0" w:line="190" w:lineRule="exact"/>
        <w:rPr>
          <w:rFonts w:ascii="Times New Roman" w:cs="Times New Roman" w:eastAsia="Times New Roman" w:hAnsi="Times New Roman"/>
          <w:sz w:val="21"/>
          <w:szCs w:val="21"/>
          <w:color w:val="auto"/>
        </w:rPr>
      </w:pPr>
    </w:p>
    <w:p>
      <w:pPr>
        <w:jc w:val="both"/>
        <w:ind w:firstLine="1296"/>
        <w:spacing w:after="0" w:line="256" w:lineRule="auto"/>
        <w:tabs>
          <w:tab w:leader="none" w:pos="192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with respect to any Person, any other Person directly or indirectly controlling, controlled by or under common control with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w:t>
      </w:r>
    </w:p>
    <w:p>
      <w:pPr>
        <w:spacing w:after="0" w:line="161"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Berkshire Sponsor</w:t>
      </w:r>
      <w:r>
        <w:rPr>
          <w:rFonts w:ascii="Times New Roman" w:cs="Times New Roman" w:eastAsia="Times New Roman" w:hAnsi="Times New Roman"/>
          <w:sz w:val="21"/>
          <w:szCs w:val="21"/>
          <w:color w:val="auto"/>
        </w:rPr>
        <w:t>” means Berkshire Partners LLC.</w:t>
      </w:r>
    </w:p>
    <w:p>
      <w:pPr>
        <w:spacing w:after="0" w:line="228"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2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the terms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60" w:lineRule="exact"/>
        <w:rPr>
          <w:rFonts w:ascii="Times New Roman" w:cs="Times New Roman" w:eastAsia="Times New Roman" w:hAnsi="Times New Roman"/>
          <w:sz w:val="21"/>
          <w:szCs w:val="21"/>
          <w:color w:val="auto"/>
        </w:rPr>
      </w:pPr>
    </w:p>
    <w:p>
      <w:pPr>
        <w:ind w:left="2000" w:hanging="704"/>
        <w:spacing w:after="0"/>
        <w:tabs>
          <w:tab w:leader="none" w:pos="200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is defined in Section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2" w:name="page53"/>
    <w:bookmarkEnd w:id="52"/>
    <w:p>
      <w:pPr>
        <w:jc w:val="both"/>
        <w:ind w:firstLine="1296"/>
        <w:spacing w:after="0" w:line="251" w:lineRule="auto"/>
        <w:tabs>
          <w:tab w:leader="none" w:pos="193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 Event</w:t>
      </w:r>
      <w:r>
        <w:rPr>
          <w:rFonts w:ascii="Times New Roman" w:cs="Times New Roman" w:eastAsia="Times New Roman" w:hAnsi="Times New Roman"/>
          <w:sz w:val="21"/>
          <w:szCs w:val="21"/>
          <w:color w:val="auto"/>
        </w:rPr>
        <w:t>” means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direct or indirect parent) resulting from such transaction or series of transactions in substantially the same proportions as immediately prior to such transaction or series of transactions.</w:t>
      </w:r>
    </w:p>
    <w:p>
      <w:pPr>
        <w:spacing w:after="0" w:line="200" w:lineRule="exact"/>
        <w:rPr>
          <w:rFonts w:ascii="Times New Roman" w:cs="Times New Roman" w:eastAsia="Times New Roman" w:hAnsi="Times New Roman"/>
          <w:sz w:val="21"/>
          <w:szCs w:val="21"/>
          <w:color w:val="auto"/>
        </w:rPr>
      </w:pPr>
    </w:p>
    <w:p>
      <w:pPr>
        <w:spacing w:after="0" w:line="219" w:lineRule="exact"/>
        <w:rPr>
          <w:rFonts w:ascii="Times New Roman" w:cs="Times New Roman" w:eastAsia="Times New Roman" w:hAnsi="Times New Roman"/>
          <w:sz w:val="21"/>
          <w:szCs w:val="21"/>
          <w:color w:val="auto"/>
        </w:rPr>
      </w:pPr>
    </w:p>
    <w:p>
      <w:pPr>
        <w:jc w:val="both"/>
        <w:ind w:firstLine="1296"/>
        <w:spacing w:after="0" w:line="256" w:lineRule="auto"/>
        <w:tabs>
          <w:tab w:leader="none" w:pos="192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Enterprise</w:t>
      </w:r>
      <w:r>
        <w:rPr>
          <w:rFonts w:ascii="Times New Roman" w:cs="Times New Roman" w:eastAsia="Times New Roman" w:hAnsi="Times New Roman"/>
          <w:sz w:val="21"/>
          <w:szCs w:val="21"/>
          <w:color w:val="auto"/>
        </w:rPr>
        <w:t>”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or employee.</w:t>
      </w:r>
    </w:p>
    <w:p>
      <w:pPr>
        <w:spacing w:after="0" w:line="161" w:lineRule="exact"/>
        <w:rPr>
          <w:rFonts w:ascii="Times New Roman" w:cs="Times New Roman" w:eastAsia="Times New Roman" w:hAnsi="Times New Roman"/>
          <w:sz w:val="21"/>
          <w:szCs w:val="21"/>
          <w:color w:val="auto"/>
        </w:rPr>
      </w:pPr>
    </w:p>
    <w:p>
      <w:pPr>
        <w:ind w:firstLine="1296"/>
        <w:spacing w:after="0" w:line="277" w:lineRule="auto"/>
        <w:tabs>
          <w:tab w:leader="none" w:pos="192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and any successor law or statute, together with the rules and regulations promulgated thereunder.</w:t>
      </w:r>
    </w:p>
    <w:p>
      <w:pPr>
        <w:spacing w:after="0" w:line="153" w:lineRule="exact"/>
        <w:rPr>
          <w:rFonts w:ascii="Times New Roman" w:cs="Times New Roman" w:eastAsia="Times New Roman" w:hAnsi="Times New Roman"/>
          <w:sz w:val="21"/>
          <w:szCs w:val="21"/>
          <w:color w:val="auto"/>
        </w:rPr>
      </w:pPr>
    </w:p>
    <w:p>
      <w:pPr>
        <w:ind w:left="1920" w:hanging="624"/>
        <w:spacing w:after="0"/>
        <w:tabs>
          <w:tab w:leader="none" w:pos="19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LLC Unit</w:t>
      </w:r>
      <w:r>
        <w:rPr>
          <w:rFonts w:ascii="Times New Roman" w:cs="Times New Roman" w:eastAsia="Times New Roman" w:hAnsi="Times New Roman"/>
          <w:sz w:val="21"/>
          <w:szCs w:val="21"/>
          <w:color w:val="auto"/>
        </w:rPr>
        <w:t>” means a nonvoting interest unit of PHD Group Holdings LLC.</w:t>
      </w:r>
    </w:p>
    <w:p>
      <w:pPr>
        <w:spacing w:after="0" w:line="214" w:lineRule="exact"/>
        <w:rPr>
          <w:rFonts w:ascii="Times New Roman" w:cs="Times New Roman" w:eastAsia="Times New Roman" w:hAnsi="Times New Roman"/>
          <w:sz w:val="21"/>
          <w:szCs w:val="21"/>
          <w:color w:val="auto"/>
        </w:rPr>
      </w:pPr>
    </w:p>
    <w:p>
      <w:pPr>
        <w:ind w:firstLine="1296"/>
        <w:spacing w:after="0" w:line="291" w:lineRule="auto"/>
        <w:tabs>
          <w:tab w:leader="none" w:pos="19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Paired Interest</w:t>
      </w:r>
      <w:r>
        <w:rPr>
          <w:rFonts w:ascii="Times New Roman" w:cs="Times New Roman" w:eastAsia="Times New Roman" w:hAnsi="Times New Roman"/>
          <w:sz w:val="21"/>
          <w:szCs w:val="21"/>
          <w:color w:val="auto"/>
        </w:rPr>
        <w:t>” means one LLC Unit together with one share of Class B Common Stock, subject to adjustment pursuant to Article 10 of the Second Amended and Restated LLC Agreement of PHD Group Holdings LLC.</w:t>
      </w:r>
    </w:p>
    <w:p>
      <w:pPr>
        <w:spacing w:after="0" w:line="125" w:lineRule="exact"/>
        <w:rPr>
          <w:rFonts w:ascii="Times New Roman" w:cs="Times New Roman" w:eastAsia="Times New Roman" w:hAnsi="Times New Roman"/>
          <w:sz w:val="21"/>
          <w:szCs w:val="21"/>
          <w:color w:val="auto"/>
        </w:rPr>
      </w:pPr>
    </w:p>
    <w:p>
      <w:pPr>
        <w:jc w:val="both"/>
        <w:ind w:firstLine="1296"/>
        <w:spacing w:after="0" w:line="248" w:lineRule="auto"/>
        <w:tabs>
          <w:tab w:leader="none" w:pos="192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xml:space="preserve">” means (i) in the case of any transferor that is not a natural person, any Person that is an Affiliate of such transferor and (ii) in the case of any transferor that is a natural person, (A) any Person to whom Common Stock is transferred from such transferor (1) by will or the laws of descent and distribution or (2) by gift without consideration of any kind;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clause (2), such transferee is the spouse, the lineal descendant, sibling, parent, heir, executor, administrator, testamentary trustee, legatee or beneficiary of such transferor, (B) a trust that is for the exclusive benefit of such transferor or its Permitted Transferees under (A) above or (C) any institution qualified as tax-exempt under Section 501(c)</w:t>
      </w:r>
    </w:p>
    <w:p>
      <w:pPr>
        <w:spacing w:after="0" w:line="3"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w:t>
      </w:r>
    </w:p>
    <w:p>
      <w:pPr>
        <w:spacing w:after="0" w:line="204" w:lineRule="exact"/>
        <w:rPr>
          <w:rFonts w:ascii="Times New Roman" w:cs="Times New Roman" w:eastAsia="Times New Roman" w:hAnsi="Times New Roman"/>
          <w:sz w:val="21"/>
          <w:szCs w:val="21"/>
          <w:color w:val="auto"/>
        </w:rPr>
      </w:pPr>
    </w:p>
    <w:p>
      <w:pPr>
        <w:ind w:firstLine="1296"/>
        <w:spacing w:after="0" w:line="277" w:lineRule="auto"/>
        <w:tabs>
          <w:tab w:leader="none" w:pos="192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partnership, firm, corporation, limited liability company, association, trust, unincorporated organization or other entity.</w:t>
      </w:r>
    </w:p>
    <w:p>
      <w:pPr>
        <w:spacing w:after="0" w:line="153"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2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Amended and Restated LLC Agreement of PHD Group Holdings LLC</w:t>
      </w:r>
      <w:r>
        <w:rPr>
          <w:rFonts w:ascii="Times New Roman" w:cs="Times New Roman" w:eastAsia="Times New Roman" w:hAnsi="Times New Roman"/>
          <w:sz w:val="21"/>
          <w:szCs w:val="21"/>
          <w:color w:val="auto"/>
        </w:rPr>
        <w:t>” means the Second Amended and Restated Limited Liability Company Agreement, dated as of October 20, 2021, by and among the Corporation, the other members of PHD Group Holdings LLC and the other Persons that may become parties thereto from time to time, as the same may be amended, restated, supplemented and/or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3" w:name="page54"/>
    <w:bookmarkEnd w:id="53"/>
    <w:p>
      <w:pPr>
        <w:jc w:val="both"/>
        <w:ind w:firstLine="1296"/>
        <w:spacing w:after="0" w:line="247" w:lineRule="auto"/>
        <w:tabs>
          <w:tab w:leader="none" w:pos="192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of a share of Class B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following shall not be considered a “Transfer”: (i)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 entering into a customary voting or support agreement (with or without granting a proxy) in connection with any merger, consolidation or other combination transaction of the Corporation, whether effectuated through one transaction or series of related transactions (including a tender offer followed by a merger in which holders of Class A Common Stock receive the same consideration per share paid in the tender offer); (iii)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foreclosure on such shares or other similar action by the pledgee shall constitute a “Transfer”; or (iv) the fact that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4" w:name="page55"/>
    <w:bookmarkEnd w:id="54"/>
    <w:p>
      <w:pPr>
        <w:ind w:firstLine="644"/>
        <w:spacing w:after="0" w:line="277" w:lineRule="auto"/>
        <w:rPr>
          <w:sz w:val="20"/>
          <w:szCs w:val="20"/>
          <w:color w:val="auto"/>
        </w:rPr>
      </w:pPr>
      <w:r>
        <w:rPr>
          <w:rFonts w:ascii="Times New Roman" w:cs="Times New Roman" w:eastAsia="Times New Roman" w:hAnsi="Times New Roman"/>
          <w:sz w:val="21"/>
          <w:szCs w:val="21"/>
          <w:color w:val="auto"/>
        </w:rPr>
        <w:t>IN WITNESS WHEREOF, this Amended and Restated Certificate of Incorporation of Portillo’s Inc. has been duly executed by the officer below this 20th day of October,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By:</w:t>
        <w:tab/>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-7620</wp:posOffset>
            </wp:positionV>
            <wp:extent cx="1234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Name:</w:t>
        <w:tab/>
        <w:t>Michael Osanloo</w:t>
      </w:r>
    </w:p>
    <w:p>
      <w:pPr>
        <w:spacing w:after="0" w:line="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Amended and Restated Certificate of Incorporation</w:t>
      </w:r>
      <w:r>
        <w:rPr>
          <w:rFonts w:ascii="Times New Roman" w:cs="Times New Roman" w:eastAsia="Times New Roman" w:hAnsi="Times New Roman"/>
          <w:sz w:val="21"/>
          <w:szCs w:val="21"/>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20"/>
          </w:cols>
          <w:pgMar w:left="320" w:top="1401"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1"/>
          <w:szCs w:val="21"/>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BYLAWS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PORTILLO’S, INC.</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(a Delaware corporation)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Effective October 20, 2021</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STOCKHOLDERS</w:t>
      </w:r>
    </w:p>
    <w:p>
      <w:pPr>
        <w:spacing w:after="0" w:line="219"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I.01. </w:t>
      </w:r>
      <w:r>
        <w:rPr>
          <w:rFonts w:ascii="Times New Roman" w:cs="Times New Roman" w:eastAsia="Times New Roman" w:hAnsi="Times New Roman"/>
          <w:sz w:val="21"/>
          <w:szCs w:val="21"/>
          <w:u w:val="single" w:color="auto"/>
          <w:color w:val="auto"/>
        </w:rPr>
        <w:t>Annual Meetings</w:t>
      </w:r>
      <w:r>
        <w:rPr>
          <w:rFonts w:ascii="Times New Roman" w:cs="Times New Roman" w:eastAsia="Times New Roman" w:hAnsi="Times New Roman"/>
          <w:sz w:val="21"/>
          <w:szCs w:val="21"/>
          <w:color w:val="auto"/>
        </w:rPr>
        <w:t>. The annual meeting of the stockholders of Portillo’s, Inc.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for the election of directors and for the transaction of such other business as properly may come before such meeting shall be held at such place, either within or without the State of Delaware, or, within the sole discretion of the Board of Directors of the Corporation (the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subject to such guidelines and procedures as the Board of Directors may adopt, by means of remote communication as authorized by the General Corporation Law of the State of Delaware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 and at such date and at such time as may be fixed from time to time by resolution of the Board of Directors and set forth in the notice of the meeting.</w:t>
      </w:r>
    </w:p>
    <w:p>
      <w:pPr>
        <w:spacing w:after="0" w:line="200" w:lineRule="exact"/>
        <w:rPr>
          <w:sz w:val="20"/>
          <w:szCs w:val="20"/>
          <w:color w:val="auto"/>
        </w:rPr>
      </w:pPr>
    </w:p>
    <w:p>
      <w:pPr>
        <w:spacing w:after="0" w:line="231"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I.02.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 Special meetings of the stockholders of the Corporation may be called as set forth in the Certificate of Incorporation of the Corporation. Any such special meetings of the stockholders shall be held at such places, within or without the State of Delaware, or, within the sole discretion of the Board of Directors, and subject to such guidelines and procedures as the Board of Directors may adopt, by means of remote communication as authorized by the DGCL, as shall be specified in the respective notice thereof.</w:t>
      </w:r>
    </w:p>
    <w:p>
      <w:pPr>
        <w:spacing w:after="0" w:line="18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I.03. </w:t>
      </w:r>
      <w:r>
        <w:rPr>
          <w:rFonts w:ascii="Times New Roman" w:cs="Times New Roman" w:eastAsia="Times New Roman" w:hAnsi="Times New Roman"/>
          <w:sz w:val="21"/>
          <w:szCs w:val="21"/>
          <w:u w:val="single" w:color="auto"/>
          <w:color w:val="auto"/>
        </w:rPr>
        <w:t>Stockholder Action by Consent</w:t>
      </w:r>
      <w:r>
        <w:rPr>
          <w:rFonts w:ascii="Times New Roman" w:cs="Times New Roman" w:eastAsia="Times New Roman" w:hAnsi="Times New Roman"/>
          <w:sz w:val="21"/>
          <w:szCs w:val="21"/>
          <w:color w:val="auto"/>
        </w:rPr>
        <w:t>. Any action required or permitted to be taken at any annual or special meeting of stockholders of the Corporation may be taken without a meeting, without prior notice and without a vote only to the extent permitted by and in the manner provided in the Certificate of Incorporation of the Corporation (as it may be amended from time to time, the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and in accordance with applicable law.</w:t>
      </w:r>
    </w:p>
    <w:p>
      <w:pPr>
        <w:spacing w:after="0" w:line="160"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I.04.</w:t>
      </w:r>
      <w:r>
        <w:rPr>
          <w:sz w:val="20"/>
          <w:szCs w:val="20"/>
          <w:color w:val="auto"/>
        </w:rPr>
        <w:tab/>
      </w:r>
      <w:r>
        <w:rPr>
          <w:rFonts w:ascii="Times New Roman" w:cs="Times New Roman" w:eastAsia="Times New Roman" w:hAnsi="Times New Roman"/>
          <w:sz w:val="21"/>
          <w:szCs w:val="21"/>
          <w:u w:val="single" w:color="auto"/>
          <w:color w:val="auto"/>
        </w:rPr>
        <w:t>Notice of Meetings; Waiver</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ind w:firstLine="1296"/>
        <w:spacing w:after="0" w:line="250" w:lineRule="auto"/>
        <w:tabs>
          <w:tab w:leader="none" w:pos="192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prescribed by statute or the Certificate of Incorporation of the Corporation , the Secretary of the Corporation or any Assistant Secretary shall cause notice of the place, if any, date and hour of each meeting of the stockholders, and, in the case of a special meeting, the purpose or purposes for which such meeting is called, and the means of remote communication, if any, by which stockholders and proxyholders may be deemed to be present in person and vote at such meeting, to be given personally by mail or by electronic transmission, or as otherwise provided in these Bylaws, not fewer than ten (10) nor more than sixty (60) days prior to the meeting, except as otherwise required by applicable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RLF1 25822840V.2</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08" w:right="339" w:bottom="1440" w:gutter="0" w:footer="0" w:header="0"/>
        </w:sectPr>
      </w:pPr>
    </w:p>
    <w:bookmarkStart w:id="56" w:name="page57"/>
    <w:bookmarkEnd w:id="56"/>
    <w:p>
      <w:pPr>
        <w:jc w:val="both"/>
        <w:ind w:firstLine="1296"/>
        <w:spacing w:after="0" w:line="248" w:lineRule="auto"/>
        <w:tabs>
          <w:tab w:leader="none" w:pos="19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such notices shall be delivered in writing or in any other manner permitted by the DGCL. If mailed, such notice shall be deemed given when deposited in the United States mail, postage prepaid, addressed to the stockholder at his, her or its address as the same appears on the records of the Corporation. If delivered by courier service, notice shall be deemed given at the earlier of when the notice is received or left at such stockholder’s address as the same appears on the records of the Corporation. If given by electronic mail, notice shall be deemed given when directed to such stockholder’s electronic mail address unless the stockholder has notified the Corporation in writing or by electronic transmission of an objection to receiving notice by electronic mail or such notice is prohibited by the DGCL. Notice to stockholders may also be given by other forms of electronic transmission consented to by the stockholder. If given by facsimile telecommunication, such notice shall be deemed given when directed to a number at which the stockholder has consented to receive notice by facsimile. If given by a posting on an electronic network together with separate notice to the stockholder of such specific posting, such notice shall be deemed given upon the later of (x) such posting and (y) the giving of such separate notice. If notice is given by any other form of electronic transmission, such notice shall be deemed given when directed to the stockholder.</w:t>
      </w:r>
    </w:p>
    <w:p>
      <w:pPr>
        <w:spacing w:after="0" w:line="186" w:lineRule="exact"/>
        <w:rPr>
          <w:rFonts w:ascii="Times New Roman" w:cs="Times New Roman" w:eastAsia="Times New Roman" w:hAnsi="Times New Roman"/>
          <w:sz w:val="21"/>
          <w:szCs w:val="21"/>
          <w:color w:val="auto"/>
        </w:rPr>
      </w:pPr>
    </w:p>
    <w:p>
      <w:pPr>
        <w:jc w:val="both"/>
        <w:ind w:firstLine="1296"/>
        <w:spacing w:after="0" w:line="247" w:lineRule="auto"/>
        <w:tabs>
          <w:tab w:leader="none" w:pos="192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1.04(b) of this Article I, a notice may not be given by electronic transmission (including email) from and after the time: (i) the Corporation is unable to deliver by electronic transmission two (2) consecutive notices given by the Corporation; and (ii) 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 For purposes of these Bylaws, except as otherwise limited by applicable law, the term “</w:t>
      </w:r>
      <w:r>
        <w:rPr>
          <w:rFonts w:ascii="Times New Roman" w:cs="Times New Roman" w:eastAsia="Times New Roman" w:hAnsi="Times New Roman"/>
          <w:sz w:val="21"/>
          <w:szCs w:val="21"/>
          <w:u w:val="single" w:color="auto"/>
          <w:color w:val="auto"/>
        </w:rPr>
        <w:t>electronic transmission</w:t>
      </w:r>
      <w:r>
        <w:rPr>
          <w:rFonts w:ascii="Times New Roman" w:cs="Times New Roman" w:eastAsia="Times New Roman" w:hAnsi="Times New Roman"/>
          <w:sz w:val="21"/>
          <w:szCs w:val="21"/>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recipient through an automated process.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w:t>
      </w:r>
    </w:p>
    <w:p>
      <w:pPr>
        <w:spacing w:after="0" w:line="200" w:lineRule="exact"/>
        <w:rPr>
          <w:rFonts w:ascii="Times New Roman" w:cs="Times New Roman" w:eastAsia="Times New Roman" w:hAnsi="Times New Roman"/>
          <w:sz w:val="21"/>
          <w:szCs w:val="21"/>
          <w:color w:val="auto"/>
        </w:rPr>
      </w:pPr>
    </w:p>
    <w:p>
      <w:pPr>
        <w:spacing w:after="0" w:line="240" w:lineRule="exact"/>
        <w:rPr>
          <w:rFonts w:ascii="Times New Roman" w:cs="Times New Roman" w:eastAsia="Times New Roman" w:hAnsi="Times New Roman"/>
          <w:sz w:val="21"/>
          <w:szCs w:val="21"/>
          <w:color w:val="auto"/>
        </w:rPr>
      </w:pPr>
    </w:p>
    <w:p>
      <w:pPr>
        <w:jc w:val="both"/>
        <w:ind w:firstLine="1296"/>
        <w:spacing w:after="0" w:line="252" w:lineRule="auto"/>
        <w:tabs>
          <w:tab w:leader="none" w:pos="19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waiver of any notice of any annual or special meeting signed by the person entitled thereto, or a waiver by electronic transmission by the person entitled to notice, shall be deemed equivalent to notice. Neither the business to be transacted at, nor the purpose of, any annual or special meeting of the stockholders need be specified in a written waiver of notice. Attendance of a stockholder at a meeting of stockholders shall constitute a waiver of notice of such meeting, except when the stockholder attends a meeting for the express purpose of objecting, at the beginning of the meeting, to the transaction of any business on the ground that the meeting is not lawfully called or convened.</w:t>
      </w:r>
    </w:p>
    <w:p>
      <w:pPr>
        <w:spacing w:after="0" w:line="169"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stockholder meeting is to be held by means of remote communication and stockholders will take action at such meeting, the notice of such meeting must: (i) specify the means of remote communication, if any, by which stockholders and proxyholders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57" w:name="page58"/>
    <w:bookmarkEnd w:id="57"/>
    <w:p>
      <w:pPr>
        <w:jc w:val="both"/>
        <w:spacing w:after="0" w:line="277" w:lineRule="auto"/>
        <w:rPr>
          <w:sz w:val="20"/>
          <w:szCs w:val="20"/>
          <w:color w:val="auto"/>
        </w:rPr>
      </w:pPr>
      <w:r>
        <w:rPr>
          <w:rFonts w:ascii="Times New Roman" w:cs="Times New Roman" w:eastAsia="Times New Roman" w:hAnsi="Times New Roman"/>
          <w:sz w:val="21"/>
          <w:szCs w:val="21"/>
          <w:color w:val="auto"/>
        </w:rPr>
        <w:t>deemed to be present and vote at such meeting; and (ii) provide, or be accompanied by, the information required to access the stockholder list. A waiver of notice may be given by electronic transmission.</w:t>
      </w:r>
    </w:p>
    <w:p>
      <w:pPr>
        <w:spacing w:after="0" w:line="154"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I.05.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Except as otherwise required by law or by the Certificate of Incorporation or these Bylaws, at each meeting of stockholders the presence in person or by proxy of the holders of record of a majority in voting power of the shares entitled to vote at a meeting of stockholders shall constitute a quorum for the transaction of business at such meeting. Where a separate vote by one or more classes or series is required, the presence in person or by proxy of the holders of record of a majority in voting power of the shares entitled to vote shall constitute a quorum entitled to take action with respect to that vote on that matter. Shares of the Corporation’s capital stock shall neither be entitled to vote nor counted for quorum purposes if such shares belong to (i) the Corporation, (ii) another corporation, if a majority of the shares entitled to vote in the election of directors of such other corporation is held, directly or indirectly, by the Corporation or (iii) any other entity, if a majority of the voting power of such other entity is otherwise controlled, directly or indirectly, by the Corporation; provided, however, that the foregoing shall not limit the right of the Corporation to vote stock, including but not limited to its own stock, held by it in a fiduciary capacity.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I.06.</w:t>
      </w:r>
      <w:r>
        <w:rPr>
          <w:sz w:val="20"/>
          <w:szCs w:val="20"/>
          <w:color w:val="auto"/>
        </w:rPr>
        <w:tab/>
      </w: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296"/>
        <w:spacing w:after="0" w:line="265" w:lineRule="auto"/>
        <w:tabs>
          <w:tab w:leader="none" w:pos="19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w:t>
      </w:r>
    </w:p>
    <w:p>
      <w:pPr>
        <w:spacing w:after="0" w:line="166" w:lineRule="exact"/>
        <w:rPr>
          <w:rFonts w:ascii="Times New Roman" w:cs="Times New Roman" w:eastAsia="Times New Roman" w:hAnsi="Times New Roman"/>
          <w:sz w:val="21"/>
          <w:szCs w:val="21"/>
          <w:color w:val="auto"/>
        </w:rPr>
      </w:pPr>
    </w:p>
    <w:p>
      <w:pPr>
        <w:ind w:right="60" w:firstLine="1296"/>
        <w:spacing w:after="0" w:line="250" w:lineRule="auto"/>
        <w:tabs>
          <w:tab w:leader="none" w:pos="192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law, the Certificate of Incorporation or these Bylaws, directors shall be elected as set forth in Section 2.02 of these Bylaws. All other matters presented to the stockholders at a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by proxy and entitled to vote thereon.</w:t>
      </w:r>
    </w:p>
    <w:p>
      <w:pPr>
        <w:spacing w:after="0" w:line="172" w:lineRule="exact"/>
        <w:rPr>
          <w:sz w:val="20"/>
          <w:szCs w:val="20"/>
          <w:color w:val="auto"/>
        </w:rPr>
      </w:pPr>
    </w:p>
    <w:p>
      <w:pPr>
        <w:ind w:right="60" w:firstLine="1127"/>
        <w:spacing w:after="0" w:line="274" w:lineRule="auto"/>
        <w:rPr>
          <w:sz w:val="20"/>
          <w:szCs w:val="20"/>
          <w:color w:val="auto"/>
        </w:rPr>
      </w:pPr>
      <w:r>
        <w:rPr>
          <w:rFonts w:ascii="Times New Roman" w:cs="Times New Roman" w:eastAsia="Times New Roman" w:hAnsi="Times New Roman"/>
          <w:sz w:val="21"/>
          <w:szCs w:val="21"/>
          <w:color w:val="auto"/>
        </w:rPr>
        <w:t xml:space="preserve">Section I.07. </w:t>
      </w:r>
      <w:r>
        <w:rPr>
          <w:rFonts w:ascii="Times New Roman" w:cs="Times New Roman" w:eastAsia="Times New Roman" w:hAnsi="Times New Roman"/>
          <w:sz w:val="21"/>
          <w:szCs w:val="21"/>
          <w:u w:val="single" w:color="auto"/>
          <w:color w:val="auto"/>
        </w:rPr>
        <w:t>Voting by Ballot</w:t>
      </w:r>
      <w:r>
        <w:rPr>
          <w:rFonts w:ascii="Times New Roman" w:cs="Times New Roman" w:eastAsia="Times New Roman" w:hAnsi="Times New Roman"/>
          <w:sz w:val="21"/>
          <w:szCs w:val="21"/>
          <w:color w:val="auto"/>
        </w:rPr>
        <w:t>. No vote of the stockholders on an election of directors or any other matter need be taken by written ballot or by electronic transmission unless otherwise provided in the Certificate of Incorporation or required by law.</w:t>
      </w:r>
    </w:p>
    <w:p>
      <w:pPr>
        <w:spacing w:after="0" w:line="200" w:lineRule="exact"/>
        <w:rPr>
          <w:sz w:val="20"/>
          <w:szCs w:val="20"/>
          <w:color w:val="auto"/>
        </w:rPr>
      </w:pPr>
    </w:p>
    <w:p>
      <w:pPr>
        <w:spacing w:after="0" w:line="215" w:lineRule="exact"/>
        <w:rPr>
          <w:sz w:val="20"/>
          <w:szCs w:val="20"/>
          <w:color w:val="auto"/>
        </w:rPr>
      </w:pPr>
    </w:p>
    <w:p>
      <w:pPr>
        <w:ind w:right="80"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I.08. </w:t>
      </w:r>
      <w:r>
        <w:rPr>
          <w:rFonts w:ascii="Times New Roman" w:cs="Times New Roman" w:eastAsia="Times New Roman" w:hAnsi="Times New Roman"/>
          <w:sz w:val="21"/>
          <w:szCs w:val="21"/>
          <w:u w:val="single" w:color="auto"/>
          <w:color w:val="auto"/>
        </w:rPr>
        <w:t>Postponement and Adjournment</w:t>
      </w:r>
      <w:r>
        <w:rPr>
          <w:rFonts w:ascii="Times New Roman" w:cs="Times New Roman" w:eastAsia="Times New Roman" w:hAnsi="Times New Roman"/>
          <w:sz w:val="21"/>
          <w:szCs w:val="21"/>
          <w:color w:val="auto"/>
        </w:rPr>
        <w:t>. Any meeting of stockholders may be postponed, rescheduled or cancelled by action of the Board of Directors at any time in advance of such meeting. If a quorum is not present at any meeting of the stockholders, the Chairperson of such meeting shall have the power to adjourn the meeting without a vote of the stockholders. In the absence of a quorum, the stockholders so present may, by the affirmative vote of the holders of a majority in voting power of the shares of the Corporation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58" w:name="page59"/>
    <w:bookmarkEnd w:id="58"/>
    <w:p>
      <w:pPr>
        <w:ind w:right="160"/>
        <w:spacing w:after="0" w:line="249" w:lineRule="auto"/>
        <w:rPr>
          <w:sz w:val="20"/>
          <w:szCs w:val="20"/>
          <w:color w:val="auto"/>
        </w:rPr>
      </w:pPr>
      <w:r>
        <w:rPr>
          <w:rFonts w:ascii="Times New Roman" w:cs="Times New Roman" w:eastAsia="Times New Roman" w:hAnsi="Times New Roman"/>
          <w:sz w:val="21"/>
          <w:szCs w:val="21"/>
          <w:color w:val="auto"/>
        </w:rPr>
        <w:t>present in person or by proxy and entitled to vote thereon, adjourn the meeting from time to time until a quorum shall attend. Notice of any adjourned meeting of the stockholders of the Corporation need not be given if the place, if any, date and hour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8" w:lineRule="exact"/>
        <w:rPr>
          <w:sz w:val="20"/>
          <w:szCs w:val="20"/>
          <w:color w:val="auto"/>
        </w:rPr>
      </w:pPr>
    </w:p>
    <w:p>
      <w:pPr>
        <w:jc w:val="both"/>
        <w:ind w:firstLine="1127"/>
        <w:spacing w:after="0" w:line="247" w:lineRule="auto"/>
        <w:rPr>
          <w:sz w:val="20"/>
          <w:szCs w:val="20"/>
          <w:color w:val="auto"/>
        </w:rPr>
      </w:pPr>
      <w:r>
        <w:rPr>
          <w:rFonts w:ascii="Times New Roman" w:cs="Times New Roman" w:eastAsia="Times New Roman" w:hAnsi="Times New Roman"/>
          <w:sz w:val="21"/>
          <w:szCs w:val="21"/>
          <w:color w:val="auto"/>
        </w:rPr>
        <w:t xml:space="preserve">Section I.09. </w:t>
      </w:r>
      <w:r>
        <w:rPr>
          <w:rFonts w:ascii="Times New Roman" w:cs="Times New Roman" w:eastAsia="Times New Roman" w:hAnsi="Times New Roman"/>
          <w:sz w:val="21"/>
          <w:szCs w:val="21"/>
          <w:u w:val="single" w:color="auto"/>
          <w:color w:val="auto"/>
        </w:rPr>
        <w:t>Proxies</w:t>
      </w:r>
      <w:r>
        <w:rPr>
          <w:rFonts w:ascii="Times New Roman" w:cs="Times New Roman" w:eastAsia="Times New Roman" w:hAnsi="Times New Roman"/>
          <w:sz w:val="21"/>
          <w:szCs w:val="21"/>
          <w:color w:val="auto"/>
        </w:rPr>
        <w:t xml:space="preserve">. Any stockholder entitled to vote at any meeting of the stockholders may authorize another person or persons to vote at any such meeting and express such vote on behalf of such stockholder by proxy. A stockholder may authorize a valid proxy by executing a written instrument signed by such stockholder, or by causing such stockholder’s signature to be affixed to such writing by any reasonable means including, but not limited to, by transmitting or authorizing the transmission of a telegram, cablegram or other means of electronic transmission to the person designated as the holder of the proxy, a proxy solicitation firm or a like authorized agent. Such proxy must be filed with the Secretary of the Corporation before or at the time of the meeting at which such proxy will be voted. No such proxy shall be voted or acted upon after the expiration of three (3) years from the date of such proxy, unless such proxy provides for a longer period. A proxy shall be irrevocable if it states that it is irrevocable and if, and only as long as, it is coupled with an interest.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filing with the Secretary of the Corporation either an instrument in writing revoking the proxy or another duly executed proxy bearing a later date. Proxies by telegram, cablegram, or other electronic transmission must either set forth or be submitted with information from which it can be determined that the telegram, cablegram, or other electronic transmission was authorized by the stockholder. Any copy or other reliable reproduction of a writing or transmission created pursuant to this section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copy or other reproduction shall be a complete reproduction of the entire original writing or transmission.</w:t>
      </w:r>
    </w:p>
    <w:p>
      <w:pPr>
        <w:spacing w:after="0" w:line="177"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I.10. </w:t>
      </w:r>
      <w:r>
        <w:rPr>
          <w:rFonts w:ascii="Times New Roman" w:cs="Times New Roman" w:eastAsia="Times New Roman" w:hAnsi="Times New Roman"/>
          <w:sz w:val="21"/>
          <w:szCs w:val="21"/>
          <w:u w:val="single" w:color="auto"/>
          <w:color w:val="auto"/>
        </w:rPr>
        <w:t>Organization; Procedure</w:t>
      </w:r>
      <w:r>
        <w:rPr>
          <w:rFonts w:ascii="Times New Roman" w:cs="Times New Roman" w:eastAsia="Times New Roman" w:hAnsi="Times New Roman"/>
          <w:sz w:val="21"/>
          <w:szCs w:val="21"/>
          <w:color w:val="auto"/>
        </w:rPr>
        <w:t>. At every meeting of stockholders, the Chairperson of such meeting shall be the Chairperson of the Board or, if no Chairperson of the Board has been elected or in the event of his or her absence or disability, a Chairperson chosen by the Board of Directors. The Secretary of the Corporation, or in the event of his or her absence or disability, an Assistant Secretary, if any, or if there be no Assistant Secretary, in the absence of the Secretary of the Corporation, an appointee of the Chairperson of the meeting, shall act as Secretary of the meeting. The order of business and all other matters of procedure at every meeting of stockholders may be determined by the Chairperson of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59" w:name="page60"/>
    <w:bookmarkEnd w:id="59"/>
    <w:p>
      <w:pPr>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I.11. </w:t>
      </w:r>
      <w:r>
        <w:rPr>
          <w:rFonts w:ascii="Times New Roman" w:cs="Times New Roman" w:eastAsia="Times New Roman" w:hAnsi="Times New Roman"/>
          <w:sz w:val="21"/>
          <w:szCs w:val="21"/>
          <w:u w:val="single" w:color="auto"/>
          <w:color w:val="auto"/>
        </w:rPr>
        <w:t>Business at Annual and Special Meetings</w:t>
      </w:r>
      <w:r>
        <w:rPr>
          <w:rFonts w:ascii="Times New Roman" w:cs="Times New Roman" w:eastAsia="Times New Roman" w:hAnsi="Times New Roman"/>
          <w:sz w:val="21"/>
          <w:szCs w:val="21"/>
          <w:color w:val="auto"/>
        </w:rPr>
        <w:t>. No business may be transacted at an annual or special meeting of stockholders other than business that is:</w:t>
      </w:r>
    </w:p>
    <w:p>
      <w:pPr>
        <w:spacing w:after="0" w:line="154" w:lineRule="exact"/>
        <w:rPr>
          <w:sz w:val="20"/>
          <w:szCs w:val="20"/>
          <w:color w:val="auto"/>
        </w:rPr>
      </w:pPr>
    </w:p>
    <w:p>
      <w:pPr>
        <w:ind w:firstLine="1296"/>
        <w:spacing w:after="0" w:line="277" w:lineRule="auto"/>
        <w:tabs>
          <w:tab w:leader="none" w:pos="192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specified in a notice of meeting (or any supplement thereto) given by or at the direction of the Board of Directors or a duly authorized committee thereof,</w:t>
      </w:r>
    </w:p>
    <w:p>
      <w:pPr>
        <w:spacing w:after="0" w:line="153" w:lineRule="exact"/>
        <w:rPr>
          <w:rFonts w:ascii="Times New Roman" w:cs="Times New Roman" w:eastAsia="Times New Roman" w:hAnsi="Times New Roman"/>
          <w:sz w:val="21"/>
          <w:szCs w:val="21"/>
          <w:color w:val="auto"/>
        </w:rPr>
      </w:pPr>
    </w:p>
    <w:p>
      <w:pPr>
        <w:jc w:val="both"/>
        <w:ind w:firstLine="1296"/>
        <w:spacing w:after="0" w:line="258" w:lineRule="auto"/>
        <w:tabs>
          <w:tab w:leader="none" w:pos="192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brought before the meeting by or at the direction of the Board of Directors or a duly authorized committee thereof or any authorized officer of the Corporation to whom the Board of Directors or such committee shall have delegated such authority, or</w:t>
      </w:r>
    </w:p>
    <w:p>
      <w:pPr>
        <w:spacing w:after="0" w:line="174" w:lineRule="exact"/>
        <w:rPr>
          <w:rFonts w:ascii="Times New Roman" w:cs="Times New Roman" w:eastAsia="Times New Roman" w:hAnsi="Times New Roman"/>
          <w:sz w:val="21"/>
          <w:szCs w:val="21"/>
          <w:color w:val="auto"/>
        </w:rPr>
      </w:pPr>
    </w:p>
    <w:p>
      <w:pPr>
        <w:ind w:firstLine="1296"/>
        <w:spacing w:after="0" w:line="277" w:lineRule="auto"/>
        <w:tabs>
          <w:tab w:leader="none" w:pos="192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brought before the meeting by a “Record Holder” who complies with the notice procedures set forth in Section 1.12 of these Bylaws.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Record Holder</w:t>
      </w:r>
      <w:r>
        <w:rPr>
          <w:rFonts w:ascii="Times New Roman" w:cs="Times New Roman" w:eastAsia="Times New Roman" w:hAnsi="Times New Roman"/>
          <w:sz w:val="21"/>
          <w:szCs w:val="21"/>
          <w:color w:val="auto"/>
        </w:rPr>
        <w:t>” is a stockholder that holds of record stock of the Corporation entitled to vote at the meeting on the business (including any election of a director) to be appropriately conducted at the meeting. Clause (c) of this Section 1.11 shall be the exclusive means for a Record Holder to make director nominations or submit other business before a meeting of stockholders (other than proposals brought under Rule 14a-8 under the Securities Exchange Act of 1934, as amended (the “Exchange Act”) and included in the Corporation’s notice of meeting, which proposals are not governed by these Bylaws). Notwithstanding anything in these Bylaws to the contrary, no business shall be conducted at a stockholders’ meeting except in accordance with the procedures set forth in Section 1.11 and Section 1.12 of these Bylaws.</w:t>
      </w:r>
    </w:p>
    <w:p>
      <w:pPr>
        <w:spacing w:after="0" w:line="17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I.12. </w:t>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 In order for a Record Holder to properly bring any item of business before a meeting of stockholders, the Record Holder must give timely notice thereof in writing to the Secretary of the Corporation in compliance with the requirements of this Section 1.12. This Section 1.12 shall constitute an “advance notice provision” for annual meetings for purposes of Rule 14a-4(c)(1) under the Exchange Act.</w:t>
      </w:r>
    </w:p>
    <w:p>
      <w:pPr>
        <w:spacing w:after="0" w:line="174" w:lineRule="exact"/>
        <w:rPr>
          <w:sz w:val="20"/>
          <w:szCs w:val="20"/>
          <w:color w:val="auto"/>
        </w:rPr>
      </w:pPr>
    </w:p>
    <w:p>
      <w:pPr>
        <w:ind w:left="1940" w:hanging="644"/>
        <w:spacing w:after="0"/>
        <w:tabs>
          <w:tab w:leader="none" w:pos="19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timely, a Record Holder’s notice shall be delivered to the Secretary at the principal executive offices</w:t>
      </w:r>
    </w:p>
    <w:p>
      <w:pPr>
        <w:spacing w:after="0" w:line="2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Corporation:</w:t>
      </w:r>
    </w:p>
    <w:p>
      <w:pPr>
        <w:spacing w:after="0" w:line="204" w:lineRule="exact"/>
        <w:rPr>
          <w:rFonts w:ascii="Times New Roman" w:cs="Times New Roman" w:eastAsia="Times New Roman" w:hAnsi="Times New Roman"/>
          <w:sz w:val="21"/>
          <w:szCs w:val="21"/>
          <w:color w:val="auto"/>
        </w:rPr>
      </w:pPr>
    </w:p>
    <w:p>
      <w:pPr>
        <w:ind w:left="660" w:right="20" w:firstLine="1280"/>
        <w:spacing w:after="0" w:line="249" w:lineRule="auto"/>
        <w:tabs>
          <w:tab w:leader="none" w:pos="258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annual meeting of stockholders, not earlier than the open of business on the one-hundred twentieth (120th) day and not later than the close of business on the ninetieth (90th) day prior to the first anniversary of the preceding year’s annual meeting; provided, however, that in the event the date of the annual meeting is more than thirty (30) days before or more than sixty (60) days after such anniversary date, notice by the stockholder to be timely must be so delivered not earlier than the open of business on the one-hundred twentieth (120th) day prior to the date of such annual meeting and not later than the close of business on the later of the ninetieth (90th) day prior to the date of such annual meeting or, if the first public announcement by the Corporation of the date of such annual meeting is less than one hundred (100) days prior to the date of such annual meeting, the tenth (10th) day following the day on which public announcement of the date of such meeting is first made by the Corporation;</w:t>
      </w:r>
    </w:p>
    <w:p>
      <w:pPr>
        <w:spacing w:after="0" w:line="174" w:lineRule="exact"/>
        <w:rPr>
          <w:rFonts w:ascii="Times New Roman" w:cs="Times New Roman" w:eastAsia="Times New Roman" w:hAnsi="Times New Roman"/>
          <w:sz w:val="21"/>
          <w:szCs w:val="21"/>
          <w:color w:val="auto"/>
        </w:rPr>
      </w:pPr>
    </w:p>
    <w:p>
      <w:pPr>
        <w:ind w:left="660" w:right="20" w:firstLine="1280"/>
        <w:spacing w:after="0" w:line="291" w:lineRule="auto"/>
        <w:tabs>
          <w:tab w:leader="none" w:pos="258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special meeting of stockholders called for the purpose of electing directors, not earlier than the open of business on the one-hundred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0" w:name="page61"/>
    <w:bookmarkEnd w:id="60"/>
    <w:p>
      <w:pPr>
        <w:jc w:val="both"/>
        <w:ind w:left="660"/>
        <w:spacing w:after="0" w:line="257" w:lineRule="auto"/>
        <w:rPr>
          <w:sz w:val="20"/>
          <w:szCs w:val="20"/>
          <w:color w:val="auto"/>
        </w:rPr>
      </w:pPr>
      <w:r>
        <w:rPr>
          <w:rFonts w:ascii="Times New Roman" w:cs="Times New Roman" w:eastAsia="Times New Roman" w:hAnsi="Times New Roman"/>
          <w:sz w:val="21"/>
          <w:szCs w:val="21"/>
          <w:color w:val="auto"/>
        </w:rPr>
        <w:t>twentieth (120th) day prior to such special meeting and not later than the close of business on the later of the ninetieth (90th) day prior to such special meeting or the tenth (10th) day following the date on which notice of the date of the special meeting was made by the Corporation, mailed or public disclosure of the date of the special meeting was made, whichever first occurs; and</w:t>
      </w:r>
    </w:p>
    <w:p>
      <w:pPr>
        <w:spacing w:after="0" w:line="174" w:lineRule="exact"/>
        <w:rPr>
          <w:sz w:val="20"/>
          <w:szCs w:val="20"/>
          <w:color w:val="auto"/>
        </w:rPr>
      </w:pPr>
    </w:p>
    <w:p>
      <w:pPr>
        <w:jc w:val="both"/>
        <w:ind w:left="660" w:firstLine="1280"/>
        <w:spacing w:after="0" w:line="258" w:lineRule="auto"/>
        <w:tabs>
          <w:tab w:leader="none" w:pos="2592"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any adjournment or postponement of an annual or special meeting, or the announcement thereof, commence a new time period (or extend the time period) for the giving of a stockholder’s notice as described above.</w:t>
      </w:r>
    </w:p>
    <w:p>
      <w:pPr>
        <w:spacing w:after="0" w:line="174" w:lineRule="exact"/>
        <w:rPr>
          <w:rFonts w:ascii="Times New Roman" w:cs="Times New Roman" w:eastAsia="Times New Roman" w:hAnsi="Times New Roman"/>
          <w:sz w:val="21"/>
          <w:szCs w:val="21"/>
          <w:color w:val="auto"/>
        </w:rPr>
      </w:pPr>
    </w:p>
    <w:p>
      <w:pPr>
        <w:ind w:firstLine="1296"/>
        <w:spacing w:after="0" w:line="277" w:lineRule="auto"/>
        <w:tabs>
          <w:tab w:leader="none" w:pos="192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form, whether in regard to a nominee for election to the Board of Directors or other business, a Record Holder’s notice to the Secretary must:</w:t>
      </w:r>
    </w:p>
    <w:p>
      <w:pPr>
        <w:spacing w:after="0" w:line="153" w:lineRule="exact"/>
        <w:rPr>
          <w:rFonts w:ascii="Times New Roman" w:cs="Times New Roman" w:eastAsia="Times New Roman" w:hAnsi="Times New Roman"/>
          <w:sz w:val="21"/>
          <w:szCs w:val="21"/>
          <w:color w:val="auto"/>
        </w:rPr>
      </w:pPr>
    </w:p>
    <w:p>
      <w:pPr>
        <w:ind w:left="660" w:firstLine="1280"/>
        <w:spacing w:after="0" w:line="277" w:lineRule="auto"/>
        <w:tabs>
          <w:tab w:leader="none" w:pos="25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as to the Record Holder, the following information together with a representation as to the accuracy of the information:</w:t>
      </w:r>
    </w:p>
    <w:p>
      <w:pPr>
        <w:spacing w:after="0" w:line="140" w:lineRule="exact"/>
        <w:rPr>
          <w:rFonts w:ascii="Times New Roman" w:cs="Times New Roman" w:eastAsia="Times New Roman" w:hAnsi="Times New Roman"/>
          <w:sz w:val="21"/>
          <w:szCs w:val="21"/>
          <w:color w:val="auto"/>
        </w:rPr>
      </w:pPr>
    </w:p>
    <w:p>
      <w:pPr>
        <w:ind w:left="3220" w:hanging="636"/>
        <w:spacing w:after="0"/>
        <w:tabs>
          <w:tab w:leader="none" w:pos="3220"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the Record Holder as they appear on the Corporation’s books (the</w:t>
      </w:r>
    </w:p>
    <w:p>
      <w:pPr>
        <w:spacing w:after="0" w:line="37"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jc w:val="both"/>
        <w:ind w:left="660" w:firstLine="1924"/>
        <w:spacing w:after="0" w:line="252" w:lineRule="auto"/>
        <w:tabs>
          <w:tab w:leader="none" w:pos="3228"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or series and number of shares of the Corporation that are, directly or indirectly, owned of record or beneficially owned (within the meaning of Rule 13d-3 under the Exchange Act) by the Holder or any Stockholder Associated Person of the Record Holder (except that such Holder or Stockholder Associated Person of the Record Holder shall in all events be deemed to beneficially own any shares of any class or series of the Corporation as to which such Holder or Stockholder Associated Person of the Record Holder has a right to acquire beneficial ownership at any time in the future) and the date such ownership was acquired;</w:t>
      </w:r>
    </w:p>
    <w:p>
      <w:pPr>
        <w:spacing w:after="0" w:line="169" w:lineRule="exact"/>
        <w:rPr>
          <w:rFonts w:ascii="Times New Roman" w:cs="Times New Roman" w:eastAsia="Times New Roman" w:hAnsi="Times New Roman"/>
          <w:sz w:val="21"/>
          <w:szCs w:val="21"/>
          <w:color w:val="auto"/>
        </w:rPr>
      </w:pPr>
    </w:p>
    <w:p>
      <w:pPr>
        <w:jc w:val="both"/>
        <w:ind w:left="660" w:firstLine="1924"/>
        <w:spacing w:after="0" w:line="251" w:lineRule="auto"/>
        <w:tabs>
          <w:tab w:leader="none" w:pos="3228"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price, value or volatility of any class or series of shares of the Corporation, whether or not the instrument or right shall be subject to settlement in the underlying class or series of capital stock of the Corporation or otherwise (a “</w:t>
      </w:r>
      <w:r>
        <w:rPr>
          <w:rFonts w:ascii="Times New Roman" w:cs="Times New Roman" w:eastAsia="Times New Roman" w:hAnsi="Times New Roman"/>
          <w:sz w:val="21"/>
          <w:szCs w:val="21"/>
          <w:u w:val="single" w:color="auto"/>
          <w:color w:val="auto"/>
        </w:rPr>
        <w:t>Derivative Instrument</w:t>
      </w:r>
      <w:r>
        <w:rPr>
          <w:rFonts w:ascii="Times New Roman" w:cs="Times New Roman" w:eastAsia="Times New Roman" w:hAnsi="Times New Roman"/>
          <w:sz w:val="21"/>
          <w:szCs w:val="21"/>
          <w:color w:val="auto"/>
        </w:rPr>
        <w:t>”) that is directly or indirectly owned beneficially by the Holder or any Stockholder Associated Person of the Record Holder and any other direct or indirect opportunity to profit or share in any profit derived from any increase or decrease in the price, value or volatility of shares of the Corporation;</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jc w:val="both"/>
        <w:ind w:left="660" w:firstLine="1924"/>
        <w:spacing w:after="0" w:line="258" w:lineRule="auto"/>
        <w:tabs>
          <w:tab w:leader="none" w:pos="3226"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proxy, contract, arrangement, understanding or relationship pursuant to which the Holder or Stockholder Associated Person of the Record Holder has a right to vote or has granted a right to vote any shares of any security of the Corporation;</w:t>
      </w:r>
    </w:p>
    <w:p>
      <w:pPr>
        <w:spacing w:after="0" w:line="174"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9"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short interest in any security of the Corporation (for purposes of these Bylaws a person shall be deemed to have a short interest in a security if the Holder or any Stockholder Associated Person of the Record Holder directly or indirectly, through any contract, arrangement, understanding, relationship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1"/>
          <w:szCs w:val="21"/>
          <w:color w:val="auto"/>
        </w:rPr>
        <w:t>has the opportunity to profit or share in any profit derived from any decrease in the value of the subject security);</w:t>
      </w:r>
    </w:p>
    <w:p>
      <w:pPr>
        <w:spacing w:after="0" w:line="215" w:lineRule="exact"/>
        <w:rPr>
          <w:sz w:val="20"/>
          <w:szCs w:val="20"/>
          <w:color w:val="auto"/>
        </w:rPr>
      </w:pPr>
    </w:p>
    <w:p>
      <w:pPr>
        <w:jc w:val="both"/>
        <w:ind w:left="660" w:firstLine="1924"/>
        <w:spacing w:after="0" w:line="265" w:lineRule="auto"/>
        <w:tabs>
          <w:tab w:leader="none" w:pos="323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rights to dividends on the shares of any security of the Corporation owned beneficially by the Holder or any Stockholder Associated Person of the Record Holder that are separated or separable from the underlying shares of the Corporation;</w:t>
      </w:r>
    </w:p>
    <w:p>
      <w:pPr>
        <w:spacing w:after="0" w:line="166" w:lineRule="exact"/>
        <w:rPr>
          <w:rFonts w:ascii="Times New Roman" w:cs="Times New Roman" w:eastAsia="Times New Roman" w:hAnsi="Times New Roman"/>
          <w:sz w:val="21"/>
          <w:szCs w:val="21"/>
          <w:color w:val="auto"/>
        </w:rPr>
      </w:pPr>
    </w:p>
    <w:p>
      <w:pPr>
        <w:jc w:val="both"/>
        <w:ind w:left="660" w:firstLine="1924"/>
        <w:spacing w:after="0" w:line="252" w:lineRule="auto"/>
        <w:tabs>
          <w:tab w:leader="none" w:pos="322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proportionate interest in shares of the Corporation or Derivative Instruments held, directly or indirectly, by a general or limited partnership or limited liability company or similar entity in which the Holder or any Stockholder Associated Person of the Record 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181" w:lineRule="exact"/>
        <w:rPr>
          <w:rFonts w:ascii="Times New Roman" w:cs="Times New Roman" w:eastAsia="Times New Roman" w:hAnsi="Times New Roman"/>
          <w:sz w:val="21"/>
          <w:szCs w:val="21"/>
          <w:color w:val="auto"/>
        </w:rPr>
      </w:pPr>
    </w:p>
    <w:p>
      <w:pPr>
        <w:jc w:val="both"/>
        <w:ind w:left="660" w:firstLine="1924"/>
        <w:spacing w:after="0" w:line="258" w:lineRule="auto"/>
        <w:tabs>
          <w:tab w:leader="none" w:pos="322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performance-related fees (other than an asset-based fee) that the Holder or any Stockholder Associated Person of the Record Holder is entitled to based on any increase or decrease in the value of shares of the Corporation or Derivative Instruments or short interests, if any;</w:t>
      </w:r>
    </w:p>
    <w:p>
      <w:pPr>
        <w:spacing w:after="0" w:line="174" w:lineRule="exact"/>
        <w:rPr>
          <w:rFonts w:ascii="Times New Roman" w:cs="Times New Roman" w:eastAsia="Times New Roman" w:hAnsi="Times New Roman"/>
          <w:sz w:val="21"/>
          <w:szCs w:val="21"/>
          <w:color w:val="auto"/>
        </w:rPr>
      </w:pPr>
    </w:p>
    <w:p>
      <w:pPr>
        <w:ind w:left="660" w:firstLine="1924"/>
        <w:spacing w:after="0" w:line="277" w:lineRule="auto"/>
        <w:tabs>
          <w:tab w:leader="none" w:pos="323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arrangements, rights, or other interests described in Sections 1.12(b)(i)(C)-(H) held by members of such Holder’s immediate family sharing the same household;</w:t>
      </w:r>
    </w:p>
    <w:p>
      <w:pPr>
        <w:spacing w:after="0" w:line="140" w:lineRule="exact"/>
        <w:rPr>
          <w:rFonts w:ascii="Times New Roman" w:cs="Times New Roman" w:eastAsia="Times New Roman" w:hAnsi="Times New Roman"/>
          <w:sz w:val="21"/>
          <w:szCs w:val="21"/>
          <w:color w:val="auto"/>
        </w:rPr>
      </w:pPr>
    </w:p>
    <w:p>
      <w:pPr>
        <w:jc w:val="both"/>
        <w:ind w:left="660" w:firstLine="1924"/>
        <w:spacing w:after="0" w:line="256" w:lineRule="auto"/>
        <w:tabs>
          <w:tab w:leader="none" w:pos="323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that the Record Holder intends to appear in person or by proxy at the meeting to nominate the person(s) named or propose the business specified in the notice and whether or not such stockholder intends to deliver a proxy statement and/or form of proxy to holders of at least the percentage of the Corporation’s outstanding shares required to approve the nomination(s) or the business proposed and/or otherwise to solicit proxies from stockholders in support of the nomination(s) or the business proposed;</w:t>
      </w:r>
    </w:p>
    <w:p>
      <w:pPr>
        <w:spacing w:after="0" w:line="161" w:lineRule="exact"/>
        <w:rPr>
          <w:rFonts w:ascii="Times New Roman" w:cs="Times New Roman" w:eastAsia="Times New Roman" w:hAnsi="Times New Roman"/>
          <w:sz w:val="21"/>
          <w:szCs w:val="21"/>
          <w:color w:val="auto"/>
        </w:rPr>
      </w:pPr>
    </w:p>
    <w:p>
      <w:pPr>
        <w:jc w:val="both"/>
        <w:ind w:left="660" w:firstLine="1924"/>
        <w:spacing w:after="0" w:line="261" w:lineRule="auto"/>
        <w:tabs>
          <w:tab w:leader="none" w:pos="322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certification regarding whether or not such Holder and any Stockholder Associated Person of the Record Holder have complied with all applicable federal, state and other legal requirements in connection with such Holder’s and/or Stockholder Associated Persons’ acquisition of shares or other securities of the Corporation and/or such Holder’s and/or Stockholder Associated Persons’ acts or omissions as a stockholder of the Corporation;</w:t>
      </w:r>
    </w:p>
    <w:p>
      <w:pPr>
        <w:spacing w:after="0" w:line="157" w:lineRule="exact"/>
        <w:rPr>
          <w:rFonts w:ascii="Times New Roman" w:cs="Times New Roman" w:eastAsia="Times New Roman" w:hAnsi="Times New Roman"/>
          <w:sz w:val="21"/>
          <w:szCs w:val="21"/>
          <w:color w:val="auto"/>
        </w:rPr>
      </w:pPr>
    </w:p>
    <w:p>
      <w:pPr>
        <w:jc w:val="both"/>
        <w:ind w:left="660" w:firstLine="1924"/>
        <w:spacing w:after="0" w:line="257" w:lineRule="auto"/>
        <w:tabs>
          <w:tab w:leader="none" w:pos="322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relating to the Holder and/or Stockholder Associated Person of the Record 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2" w:name="page63"/>
    <w:bookmarkEnd w:id="62"/>
    <w:p>
      <w:pPr>
        <w:ind w:left="3220" w:hanging="636"/>
        <w:spacing w:after="0"/>
        <w:tabs>
          <w:tab w:leader="none" w:pos="32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as reasonably requested by the Corporation.</w:t>
      </w:r>
    </w:p>
    <w:p>
      <w:pPr>
        <w:spacing w:after="0" w:line="21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1"/>
          <w:szCs w:val="21"/>
          <w:color w:val="auto"/>
        </w:rPr>
        <w:t>Such information shall be provided as of the date of the notice and shall be supplemented by the Holder not later than ten (10) days after the record date for the meeting to disclose such ownership as of the record date.</w:t>
      </w:r>
    </w:p>
    <w:p>
      <w:pPr>
        <w:spacing w:after="0" w:line="126" w:lineRule="exact"/>
        <w:rPr>
          <w:sz w:val="20"/>
          <w:szCs w:val="20"/>
          <w:color w:val="auto"/>
        </w:rPr>
      </w:pPr>
    </w:p>
    <w:p>
      <w:pPr>
        <w:ind w:left="660" w:firstLine="1280"/>
        <w:spacing w:after="0" w:line="291" w:lineRule="auto"/>
        <w:tabs>
          <w:tab w:leader="none" w:pos="258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notice relates to any business other than a nomination of a director or directors that the stockholder proposes to bring before the meeting, the notice must set forth:</w:t>
      </w:r>
    </w:p>
    <w:p>
      <w:pPr>
        <w:spacing w:after="0" w:line="125"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reasonably detailed description of the business desired to be brought before the meeting (including the text of any resolutions proposed for consideration), the reasons for conducting such business at the meeting, and any material direct or indirect interest of the Holder or any Stockholder Associated Persons in such business; and</w:t>
      </w:r>
    </w:p>
    <w:p>
      <w:pPr>
        <w:spacing w:after="0" w:line="152"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reasonably detailed description of all agreements, arrangements and understandings, direct and indirect, between the Holder, and any other person or persons (including their names) in connection with the proposal of such business by the Holder.</w:t>
      </w:r>
    </w:p>
    <w:p>
      <w:pPr>
        <w:spacing w:after="0" w:line="152" w:lineRule="exact"/>
        <w:rPr>
          <w:rFonts w:ascii="Times New Roman" w:cs="Times New Roman" w:eastAsia="Times New Roman" w:hAnsi="Times New Roman"/>
          <w:sz w:val="21"/>
          <w:szCs w:val="21"/>
          <w:color w:val="auto"/>
        </w:rPr>
      </w:pPr>
    </w:p>
    <w:p>
      <w:pPr>
        <w:ind w:left="660" w:firstLine="1280"/>
        <w:spacing w:after="0" w:line="291" w:lineRule="auto"/>
        <w:tabs>
          <w:tab w:leader="none" w:pos="259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as to each person, if any, whom the Holder proposes to nominate for election or reelection to the Board of Directors:</w:t>
      </w:r>
    </w:p>
    <w:p>
      <w:pPr>
        <w:spacing w:after="0" w:line="125" w:lineRule="exact"/>
        <w:rPr>
          <w:rFonts w:ascii="Times New Roman" w:cs="Times New Roman" w:eastAsia="Times New Roman" w:hAnsi="Times New Roman"/>
          <w:sz w:val="21"/>
          <w:szCs w:val="21"/>
          <w:color w:val="auto"/>
        </w:rPr>
      </w:pPr>
    </w:p>
    <w:p>
      <w:pPr>
        <w:ind w:left="660" w:firstLine="1924"/>
        <w:spacing w:after="0" w:line="277" w:lineRule="auto"/>
        <w:tabs>
          <w:tab w:leader="none" w:pos="322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with respect to such proposed nominee that would be required to be set forth in a Record Holder’s notice pursuant to this Section 1.12 if such proposed nominee were a Record Holder;</w:t>
      </w:r>
    </w:p>
    <w:p>
      <w:pPr>
        <w:spacing w:after="0" w:line="153" w:lineRule="exact"/>
        <w:rPr>
          <w:rFonts w:ascii="Times New Roman" w:cs="Times New Roman" w:eastAsia="Times New Roman" w:hAnsi="Times New Roman"/>
          <w:sz w:val="21"/>
          <w:szCs w:val="21"/>
          <w:color w:val="auto"/>
        </w:rPr>
      </w:pPr>
    </w:p>
    <w:p>
      <w:pPr>
        <w:jc w:val="both"/>
        <w:ind w:left="660" w:firstLine="1924"/>
        <w:spacing w:after="0" w:line="250" w:lineRule="auto"/>
        <w:tabs>
          <w:tab w:leader="none" w:pos="322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relating to the nominee (including, without limitation, the nominee’s name, age, business and residence address and principal occupation or employment and the class or series and number of shares of capital stock of the Corporation that are owned beneficially or of record by the nominee)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serving as a director if elected);</w:t>
      </w:r>
    </w:p>
    <w:p>
      <w:pPr>
        <w:spacing w:after="0" w:line="185" w:lineRule="exact"/>
        <w:rPr>
          <w:rFonts w:ascii="Times New Roman" w:cs="Times New Roman" w:eastAsia="Times New Roman" w:hAnsi="Times New Roman"/>
          <w:sz w:val="21"/>
          <w:szCs w:val="21"/>
          <w:color w:val="auto"/>
        </w:rPr>
      </w:pPr>
    </w:p>
    <w:p>
      <w:pPr>
        <w:jc w:val="both"/>
        <w:ind w:left="660" w:firstLine="1924"/>
        <w:spacing w:after="0" w:line="258" w:lineRule="auto"/>
        <w:tabs>
          <w:tab w:leader="none" w:pos="322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agreements, arrangements and understandings between or among such stockholder or any Stockholder Associated Person, on the one hand, and any other persons (including any Stockholder Associated Person), on the other hand, in connection with the nomination of such person for election as a director; and</w:t>
      </w:r>
    </w:p>
    <w:p>
      <w:pPr>
        <w:spacing w:after="0" w:line="174"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direct and indirect compensation and other material monetary agreements, arrangements, and understandings during the past three years, and any other material relationships, between or among the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3" w:name="page64"/>
    <w:bookmarkEnd w:id="63"/>
    <w:p>
      <w:pPr>
        <w:jc w:val="both"/>
        <w:ind w:left="660"/>
        <w:spacing w:after="0" w:line="256" w:lineRule="auto"/>
        <w:rPr>
          <w:sz w:val="20"/>
          <w:szCs w:val="20"/>
          <w:color w:val="auto"/>
        </w:rPr>
      </w:pPr>
      <w:r>
        <w:rPr>
          <w:rFonts w:ascii="Times New Roman" w:cs="Times New Roman" w:eastAsia="Times New Roman" w:hAnsi="Times New Roman"/>
          <w:sz w:val="21"/>
          <w:szCs w:val="21"/>
          <w:color w:val="auto"/>
        </w:rPr>
        <w:t>respective affiliates and associates,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162" w:lineRule="exact"/>
        <w:rPr>
          <w:sz w:val="20"/>
          <w:szCs w:val="20"/>
          <w:color w:val="auto"/>
        </w:rPr>
      </w:pPr>
    </w:p>
    <w:p>
      <w:pPr>
        <w:jc w:val="both"/>
        <w:ind w:left="660" w:firstLine="1280"/>
        <w:spacing w:after="0" w:line="249" w:lineRule="auto"/>
        <w:tabs>
          <w:tab w:leader="none" w:pos="258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nominee for election or reelection to the Board of Directors, the Record Holder shall include a completed and signed questionnaire, representation, and agreement required by Section 1.13 of these Bylaws. The Corporation may require any proposed nominee to furnish such other information as may reasonably be required by the Corporation to determine the eligibility of the proposed nominee to serve as an independent director of the Corporation or that could be material to a reasonable stockholder’s understanding of the independence, or lack thereof, of the nominee. The number of nominees a Record Holder may nominate for election at an annual or special meeting (or in the case of Record Holder giving the notice on behalf of a beneficial owner, the number of nominees a Record Holder may nominate for election at the annual or special meeting on behalf of such beneficial owner) shall not exceed the number of directors to be elected at such annual or special meeting.</w:t>
      </w:r>
    </w:p>
    <w:p>
      <w:pPr>
        <w:spacing w:after="0" w:line="174"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w:t>
      </w:r>
    </w:p>
    <w:p>
      <w:pPr>
        <w:spacing w:after="0" w:line="228" w:lineRule="exact"/>
        <w:rPr>
          <w:rFonts w:ascii="Times New Roman" w:cs="Times New Roman" w:eastAsia="Times New Roman" w:hAnsi="Times New Roman"/>
          <w:sz w:val="21"/>
          <w:szCs w:val="21"/>
          <w:color w:val="auto"/>
        </w:rPr>
      </w:pPr>
    </w:p>
    <w:p>
      <w:pPr>
        <w:jc w:val="both"/>
        <w:ind w:left="660" w:firstLine="1280"/>
        <w:spacing w:after="0" w:line="265" w:lineRule="auto"/>
        <w:tabs>
          <w:tab w:leader="none" w:pos="258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announcement</w:t>
      </w:r>
      <w:r>
        <w:rPr>
          <w:rFonts w:ascii="Times New Roman" w:cs="Times New Roman" w:eastAsia="Times New Roman" w:hAnsi="Times New Roman"/>
          <w:sz w:val="21"/>
          <w:szCs w:val="21"/>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152" w:lineRule="exact"/>
        <w:rPr>
          <w:rFonts w:ascii="Times New Roman" w:cs="Times New Roman" w:eastAsia="Times New Roman" w:hAnsi="Times New Roman"/>
          <w:sz w:val="21"/>
          <w:szCs w:val="21"/>
          <w:color w:val="auto"/>
        </w:rPr>
      </w:pPr>
    </w:p>
    <w:p>
      <w:pPr>
        <w:jc w:val="both"/>
        <w:ind w:left="660" w:firstLine="1280"/>
        <w:spacing w:after="0" w:line="257" w:lineRule="auto"/>
        <w:tabs>
          <w:tab w:leader="none" w:pos="258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Stockholder Associated Person</w:t>
      </w:r>
      <w:r>
        <w:rPr>
          <w:rFonts w:ascii="Times New Roman" w:cs="Times New Roman" w:eastAsia="Times New Roman" w:hAnsi="Times New Roman"/>
          <w:sz w:val="21"/>
          <w:szCs w:val="21"/>
          <w:color w:val="auto"/>
        </w:rPr>
        <w:t>” means, with respect to any stockholder, (A) any beneficial owner of shares of stock of the Corporation owned of record or beneficially by such stockholder (other than a stockholder that is a depositary) and (B) any person controlling, controlled by or under common control with any stockholder, or any Stockholder Associated Person identified in clause (A) above; and</w:t>
      </w:r>
    </w:p>
    <w:p>
      <w:pPr>
        <w:spacing w:after="0" w:line="173" w:lineRule="exact"/>
        <w:rPr>
          <w:rFonts w:ascii="Times New Roman" w:cs="Times New Roman" w:eastAsia="Times New Roman" w:hAnsi="Times New Roman"/>
          <w:sz w:val="21"/>
          <w:szCs w:val="21"/>
          <w:color w:val="auto"/>
        </w:rPr>
      </w:pPr>
    </w:p>
    <w:p>
      <w:pPr>
        <w:jc w:val="both"/>
        <w:ind w:left="660" w:firstLine="1280"/>
        <w:spacing w:after="0" w:line="249" w:lineRule="auto"/>
        <w:tabs>
          <w:tab w:leader="none" w:pos="259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Associate</w:t>
      </w:r>
      <w:r>
        <w:rPr>
          <w:rFonts w:ascii="Times New Roman" w:cs="Times New Roman" w:eastAsia="Times New Roman" w:hAnsi="Times New Roman"/>
          <w:sz w:val="21"/>
          <w:szCs w:val="21"/>
          <w:color w:val="auto"/>
        </w:rPr>
        <w:t>” are defined by reference to Rule 12b-2 under the Exchange Act. An “affiliate” is any “person that directly, or indirectly through one or more intermediaries, controls, or is controlled by, or is under common control with, the person specified.”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is defined as the “possession, direct or indirect, of the power to direct or cause the direction of the management policies of a person, whether through the ownership of voting securities, by contract, or otherwise.” The term “</w:t>
      </w:r>
      <w:r>
        <w:rPr>
          <w:rFonts w:ascii="Times New Roman" w:cs="Times New Roman" w:eastAsia="Times New Roman" w:hAnsi="Times New Roman"/>
          <w:sz w:val="21"/>
          <w:szCs w:val="21"/>
          <w:u w:val="single" w:color="auto"/>
          <w:color w:val="auto"/>
        </w:rPr>
        <w:t>associate</w:t>
      </w:r>
      <w:r>
        <w:rPr>
          <w:rFonts w:ascii="Times New Roman" w:cs="Times New Roman" w:eastAsia="Times New Roman" w:hAnsi="Times New Roman"/>
          <w:sz w:val="21"/>
          <w:szCs w:val="21"/>
          <w:color w:val="auto"/>
        </w:rPr>
        <w:t>” of a person means: (i) any corporation or organization (other than the registrant or a majority-owned subsidiary of the registrant) of which such person is an officer or partner or is, directly or indirectly, the beneficial owner of ten (10) percent or more of any class of equity securities, (ii) any trust or other estate in which such person has a substantial beneficial interest or as to which such person serves as trustee or in a similar fiduciary capacity, and (iii) any relative or spouse of such person, or any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4" w:name="page65"/>
    <w:bookmarkEnd w:id="64"/>
    <w:p>
      <w:pPr>
        <w:ind w:left="660"/>
        <w:spacing w:after="0" w:line="277" w:lineRule="auto"/>
        <w:rPr>
          <w:sz w:val="20"/>
          <w:szCs w:val="20"/>
          <w:color w:val="auto"/>
        </w:rPr>
      </w:pPr>
      <w:r>
        <w:rPr>
          <w:rFonts w:ascii="Times New Roman" w:cs="Times New Roman" w:eastAsia="Times New Roman" w:hAnsi="Times New Roman"/>
          <w:sz w:val="21"/>
          <w:szCs w:val="21"/>
          <w:color w:val="auto"/>
        </w:rPr>
        <w:t>of such spouse, who has the same home as such person or who is a director or officer of the registrant or any of its parents or subsidiaries.</w:t>
      </w:r>
    </w:p>
    <w:p>
      <w:pPr>
        <w:spacing w:after="0" w:line="154" w:lineRule="exact"/>
        <w:rPr>
          <w:sz w:val="20"/>
          <w:szCs w:val="20"/>
          <w:color w:val="auto"/>
        </w:rPr>
      </w:pPr>
    </w:p>
    <w:p>
      <w:pPr>
        <w:jc w:val="both"/>
        <w:ind w:firstLine="1296"/>
        <w:spacing w:after="0" w:line="248" w:lineRule="auto"/>
        <w:tabs>
          <w:tab w:leader="none" w:pos="192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provided, however, that, once business has been properly brought before the meeting in accordance with Section 1.12, nothing in this Section 1.12(d) shall be deemed to preclude discussion by any stockholder of such business. If any information submitted pursuant to this Section 1.12 by any stockholder proposing a nominee(s) for election as a director at a meeting of stockholders is inaccurate in any material respect, such information shall be deemed not to have been provided in accordance with Section 1.12.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compliance with the procedures set forth in these Bylaws and, if he or she should determine that any proposed nomination or business is not in compliance with these Bylaws, he or she shall so declare to the meeting and any such nomination or business not properly brought before the meeting shall be disregarded or not be transacted.</w:t>
      </w:r>
    </w:p>
    <w:p>
      <w:pPr>
        <w:spacing w:after="0" w:line="172" w:lineRule="exact"/>
        <w:rPr>
          <w:rFonts w:ascii="Times New Roman" w:cs="Times New Roman" w:eastAsia="Times New Roman" w:hAnsi="Times New Roman"/>
          <w:sz w:val="21"/>
          <w:szCs w:val="21"/>
          <w:color w:val="auto"/>
        </w:rPr>
      </w:pPr>
    </w:p>
    <w:p>
      <w:pPr>
        <w:jc w:val="both"/>
        <w:ind w:firstLine="1296"/>
        <w:spacing w:after="0" w:line="256" w:lineRule="auto"/>
        <w:tabs>
          <w:tab w:leader="none" w:pos="192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these Bylaws, a Record 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other business to be considered pursuant to Section 1.11 or Section 1.12 of these Bylaws.</w:t>
      </w:r>
    </w:p>
    <w:p>
      <w:pPr>
        <w:spacing w:after="0" w:line="161" w:lineRule="exact"/>
        <w:rPr>
          <w:rFonts w:ascii="Times New Roman" w:cs="Times New Roman" w:eastAsia="Times New Roman" w:hAnsi="Times New Roman"/>
          <w:sz w:val="21"/>
          <w:szCs w:val="21"/>
          <w:color w:val="auto"/>
        </w:rPr>
      </w:pPr>
    </w:p>
    <w:p>
      <w:pPr>
        <w:jc w:val="both"/>
        <w:ind w:firstLine="1296"/>
        <w:spacing w:after="0" w:line="252" w:lineRule="auto"/>
        <w:tabs>
          <w:tab w:leader="none" w:pos="193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these Bylaws shall be deemed to (i) affect any rights of (A) stockholders to request inclusion of proposals in the Corporation’s proxy statement pursuant to Rule 14a-8 under the Exchange Act or (B) the holders of any series of preferred stock, if any, if so provided under any applicable certificate of designation for such preferred stock or in the Certificate or Incorporation, or (ii) affect any rights of any holders of common stock pursuant to a stockholders’ agreement with the Corporation existing on the date on which these Bylaws were adopted or impose any requirements, restrictions or limitations under Sections 1.11, 1.12 or 1.13 of these Bylaws unless expressly imposed by any such stockholders’ agreement.</w:t>
      </w:r>
    </w:p>
    <w:p>
      <w:pPr>
        <w:spacing w:after="0" w:line="183" w:lineRule="exact"/>
        <w:rPr>
          <w:sz w:val="20"/>
          <w:szCs w:val="20"/>
          <w:color w:val="auto"/>
        </w:rPr>
      </w:pPr>
    </w:p>
    <w:p>
      <w:pPr>
        <w:jc w:val="both"/>
        <w:ind w:firstLine="1127"/>
        <w:spacing w:after="0" w:line="250" w:lineRule="auto"/>
        <w:rPr>
          <w:sz w:val="20"/>
          <w:szCs w:val="20"/>
          <w:color w:val="auto"/>
        </w:rPr>
      </w:pPr>
      <w:r>
        <w:rPr>
          <w:rFonts w:ascii="Times New Roman" w:cs="Times New Roman" w:eastAsia="Times New Roman" w:hAnsi="Times New Roman"/>
          <w:sz w:val="21"/>
          <w:szCs w:val="21"/>
          <w:color w:val="auto"/>
        </w:rPr>
        <w:t xml:space="preserve">Section I.13. </w:t>
      </w:r>
      <w:r>
        <w:rPr>
          <w:rFonts w:ascii="Times New Roman" w:cs="Times New Roman" w:eastAsia="Times New Roman" w:hAnsi="Times New Roman"/>
          <w:sz w:val="21"/>
          <w:szCs w:val="21"/>
          <w:u w:val="single" w:color="auto"/>
          <w:color w:val="auto"/>
        </w:rPr>
        <w:t>Submission of Questionnaire, Representation and Agreement</w:t>
      </w:r>
      <w:r>
        <w:rPr>
          <w:rFonts w:ascii="Times New Roman" w:cs="Times New Roman" w:eastAsia="Times New Roman" w:hAnsi="Times New Roman"/>
          <w:sz w:val="21"/>
          <w:szCs w:val="21"/>
          <w:color w:val="auto"/>
        </w:rPr>
        <w:t>. To be eligible to be a nominee for election or reelection as a director of the Corporation by a Holder, a person must complete and deliver (in accordance with the time periods prescribed for delivery of notice under Section 1.12 of these Bylaws) to the Secretary at the principal executive offices of 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that such person:</w:t>
      </w:r>
    </w:p>
    <w:p>
      <w:pPr>
        <w:spacing w:after="0" w:line="185" w:lineRule="exact"/>
        <w:rPr>
          <w:sz w:val="20"/>
          <w:szCs w:val="20"/>
          <w:color w:val="auto"/>
        </w:rPr>
      </w:pPr>
    </w:p>
    <w:p>
      <w:pPr>
        <w:ind w:left="1940" w:hanging="644"/>
        <w:spacing w:after="0"/>
        <w:tabs>
          <w:tab w:leader="none" w:pos="19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5" w:name="page66"/>
    <w:bookmarkEnd w:id="65"/>
    <w:p>
      <w:pPr>
        <w:jc w:val="both"/>
        <w:ind w:left="660" w:firstLine="1280"/>
        <w:spacing w:after="0" w:line="265" w:lineRule="auto"/>
        <w:tabs>
          <w:tab w:leader="none" w:pos="258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agreement, arrangement or understanding with, and has not given any commitment or assurance to, any person or entity as to how the person, if elected as a director of the Corporation, will act or vote on any issue or question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disclosed to the Corporation, or</w:t>
      </w:r>
    </w:p>
    <w:p>
      <w:pPr>
        <w:spacing w:after="0" w:line="152" w:lineRule="exact"/>
        <w:rPr>
          <w:rFonts w:ascii="Times New Roman" w:cs="Times New Roman" w:eastAsia="Times New Roman" w:hAnsi="Times New Roman"/>
          <w:sz w:val="21"/>
          <w:szCs w:val="21"/>
          <w:color w:val="auto"/>
        </w:rPr>
      </w:pPr>
    </w:p>
    <w:p>
      <w:pPr>
        <w:ind w:left="660" w:firstLine="1280"/>
        <w:spacing w:after="0" w:line="291" w:lineRule="auto"/>
        <w:tabs>
          <w:tab w:leader="none" w:pos="258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Voting Commitment that could limit or interfere with the person’s ability to comply, if elected as a director of the Corporation, with the person’s fiduciary duties under applicable law,</w:t>
      </w:r>
    </w:p>
    <w:p>
      <w:pPr>
        <w:spacing w:after="0" w:line="125"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152"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2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74"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I.14. </w:t>
      </w:r>
      <w:r>
        <w:rPr>
          <w:rFonts w:ascii="Times New Roman" w:cs="Times New Roman" w:eastAsia="Times New Roman" w:hAnsi="Times New Roman"/>
          <w:sz w:val="21"/>
          <w:szCs w:val="21"/>
          <w:u w:val="single" w:color="auto"/>
          <w:color w:val="auto"/>
        </w:rPr>
        <w:t>Inspectors of Elections</w:t>
      </w:r>
      <w:r>
        <w:rPr>
          <w:rFonts w:ascii="Times New Roman" w:cs="Times New Roman" w:eastAsia="Times New Roman" w:hAnsi="Times New Roman"/>
          <w:sz w:val="21"/>
          <w:szCs w:val="21"/>
          <w:color w:val="auto"/>
        </w:rPr>
        <w:t>. Preceding any meeting of the stockholders, if required by law, the Board of Directors shall appoint one (1) or more persons to act as “inspectors” of elections, and may designate one (1) or more alternate inspectors. In the event no inspector or alternate is able to act, the Chairperson of such meeting shall appoint one (1) or more inspectors to act at the meeting. Each inspector, before entering upon the discharge of the duties of an inspector, shall take and sign an oath faithfully to execute the duties of inspector with strict impartiality and according to the best of his or her ability. The inspector shall:</w:t>
      </w:r>
    </w:p>
    <w:p>
      <w:pPr>
        <w:spacing w:after="0" w:line="170" w:lineRule="exact"/>
        <w:rPr>
          <w:sz w:val="20"/>
          <w:szCs w:val="20"/>
          <w:color w:val="auto"/>
        </w:rPr>
      </w:pPr>
    </w:p>
    <w:p>
      <w:pPr>
        <w:ind w:left="1940" w:hanging="644"/>
        <w:spacing w:after="0"/>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ascertain the number of shares outstanding and the voting power of each;</w:t>
      </w:r>
    </w:p>
    <w:p>
      <w:pPr>
        <w:spacing w:after="0" w:line="214" w:lineRule="exact"/>
        <w:rPr>
          <w:rFonts w:ascii="Times New Roman" w:cs="Times New Roman" w:eastAsia="Times New Roman" w:hAnsi="Times New Roman"/>
          <w:sz w:val="21"/>
          <w:szCs w:val="21"/>
          <w:color w:val="auto"/>
        </w:rPr>
      </w:pPr>
    </w:p>
    <w:p>
      <w:pPr>
        <w:ind w:firstLine="1296"/>
        <w:spacing w:after="0" w:line="291" w:lineRule="auto"/>
        <w:tabs>
          <w:tab w:leader="none" w:pos="192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shares represented at a meeting, the authenticity, validity, and effect of proxies and ballots, and the existence of a quorum;</w:t>
      </w:r>
    </w:p>
    <w:p>
      <w:pPr>
        <w:spacing w:after="0" w:line="125" w:lineRule="exact"/>
        <w:rPr>
          <w:rFonts w:ascii="Times New Roman" w:cs="Times New Roman" w:eastAsia="Times New Roman" w:hAnsi="Times New Roman"/>
          <w:sz w:val="21"/>
          <w:szCs w:val="21"/>
          <w:color w:val="auto"/>
        </w:rPr>
      </w:pPr>
    </w:p>
    <w:p>
      <w:pPr>
        <w:ind w:firstLine="1296"/>
        <w:spacing w:after="0" w:line="291" w:lineRule="auto"/>
        <w:tabs>
          <w:tab w:leader="none" w:pos="192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specify the information relied upon to determine the validity of electronic transmissions in accordance with Section 1.09 of these Bylaws;</w:t>
      </w:r>
    </w:p>
    <w:p>
      <w:pPr>
        <w:spacing w:after="0" w:line="125"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count all votes and ballots;</w:t>
      </w:r>
    </w:p>
    <w:p>
      <w:pPr>
        <w:spacing w:after="0" w:line="214" w:lineRule="exact"/>
        <w:rPr>
          <w:rFonts w:ascii="Times New Roman" w:cs="Times New Roman" w:eastAsia="Times New Roman" w:hAnsi="Times New Roman"/>
          <w:sz w:val="21"/>
          <w:szCs w:val="21"/>
          <w:color w:val="auto"/>
        </w:rPr>
      </w:pPr>
    </w:p>
    <w:p>
      <w:pPr>
        <w:ind w:firstLine="1296"/>
        <w:spacing w:after="0" w:line="291" w:lineRule="auto"/>
        <w:tabs>
          <w:tab w:leader="none" w:pos="192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and retain for a reasonable period a record of the disposition of any challenges made to any determination by the inspectors;</w:t>
      </w:r>
    </w:p>
    <w:p>
      <w:pPr>
        <w:spacing w:after="0" w:line="125"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certify his or her determination of the number of shares represented at the meeting, and his or her count of</w:t>
      </w:r>
    </w:p>
    <w:p>
      <w:pPr>
        <w:spacing w:after="0" w:line="3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votes and ballots;</w:t>
      </w:r>
    </w:p>
    <w:p>
      <w:pPr>
        <w:spacing w:after="0" w:line="190"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 or retain other persons or entities to assist in the performance of the duties of inspector;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6" w:name="page67"/>
    <w:bookmarkEnd w:id="66"/>
    <w:p>
      <w:pPr>
        <w:jc w:val="both"/>
        <w:ind w:firstLine="1296"/>
        <w:spacing w:after="0" w:line="249" w:lineRule="auto"/>
        <w:tabs>
          <w:tab w:leader="none" w:pos="192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determining the shares represented and the validity of proxies and ballots, be limited to an examination of the proxies, any envelopes submitted with those proxies, any information provided in accordance with Section 1.09 of these Bylaws, ballots and the regular books and records of the Corporation. The inspector may consider other reliable information for the limited purpose of reconciling proxies and ballots submitted by or on behalf of banks, brokers or their nominees or a similar person which represent more votes than the holder of a proxy is authorized by the record owner to cast or more votes than the stockholder holds of record. If the inspector considers other reliable information as outlined in this section, the inspector, at the time of his or her certification pursuant to paragraph (f) of this section, shall specify the precise information considered, the person or persons from whom the information was obtained, when this information was obtained, the means by which the information was obtained, and the basis for the inspector’s belief that such information is accurate and reliable; and</w:t>
      </w:r>
    </w:p>
    <w:p>
      <w:pPr>
        <w:spacing w:after="0" w:line="187" w:lineRule="exact"/>
        <w:rPr>
          <w:rFonts w:ascii="Times New Roman" w:cs="Times New Roman" w:eastAsia="Times New Roman" w:hAnsi="Times New Roman"/>
          <w:sz w:val="21"/>
          <w:szCs w:val="21"/>
          <w:color w:val="auto"/>
        </w:rPr>
      </w:pPr>
    </w:p>
    <w:p>
      <w:pPr>
        <w:ind w:left="1920" w:hanging="624"/>
        <w:spacing w:after="0"/>
        <w:tabs>
          <w:tab w:leader="none" w:pos="192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any other acts that may be proper to conduct the election or vote with fairness to all stockholders.</w:t>
      </w:r>
    </w:p>
    <w:p>
      <w:pPr>
        <w:spacing w:after="0" w:line="215" w:lineRule="exact"/>
        <w:rPr>
          <w:sz w:val="20"/>
          <w:szCs w:val="20"/>
          <w:color w:val="auto"/>
        </w:rPr>
      </w:pPr>
    </w:p>
    <w:p>
      <w:pPr>
        <w:jc w:val="both"/>
        <w:ind w:firstLine="1127"/>
        <w:spacing w:after="0" w:line="253" w:lineRule="auto"/>
        <w:rPr>
          <w:sz w:val="20"/>
          <w:szCs w:val="20"/>
          <w:color w:val="auto"/>
        </w:rPr>
      </w:pPr>
      <w:r>
        <w:rPr>
          <w:rFonts w:ascii="Times New Roman" w:cs="Times New Roman" w:eastAsia="Times New Roman" w:hAnsi="Times New Roman"/>
          <w:sz w:val="21"/>
          <w:szCs w:val="21"/>
          <w:color w:val="auto"/>
        </w:rPr>
        <w:t xml:space="preserve">Section I.15. </w:t>
      </w:r>
      <w:r>
        <w:rPr>
          <w:rFonts w:ascii="Times New Roman" w:cs="Times New Roman" w:eastAsia="Times New Roman" w:hAnsi="Times New Roman"/>
          <w:sz w:val="21"/>
          <w:szCs w:val="21"/>
          <w:u w:val="single" w:color="auto"/>
          <w:color w:val="auto"/>
        </w:rPr>
        <w:t>Opening and Closing of Polls</w:t>
      </w:r>
      <w:r>
        <w:rPr>
          <w:rFonts w:ascii="Times New Roman" w:cs="Times New Roman" w:eastAsia="Times New Roman" w:hAnsi="Times New Roman"/>
          <w:sz w:val="21"/>
          <w:szCs w:val="21"/>
          <w:color w:val="auto"/>
        </w:rPr>
        <w:t>. The date and time for the opening and the closing of the polls for each matter to be voted upon at a stockholder meeting shall be fixed by the Chairperson of the meeting and announced at the meeting. The inspector shall be prohibited from accepting any ballots, proxies or votes or any revocations thereof or changes thereto after the closing of the polls, unless the Delaware Court of Chancery upon application by a stockholder shall determine otherwise.</w:t>
      </w:r>
    </w:p>
    <w:p>
      <w:pPr>
        <w:spacing w:after="0" w:line="200" w:lineRule="exact"/>
        <w:rPr>
          <w:sz w:val="20"/>
          <w:szCs w:val="20"/>
          <w:color w:val="auto"/>
        </w:rPr>
      </w:pPr>
    </w:p>
    <w:p>
      <w:pPr>
        <w:spacing w:after="0" w:line="231" w:lineRule="exact"/>
        <w:rPr>
          <w:sz w:val="20"/>
          <w:szCs w:val="20"/>
          <w:color w:val="auto"/>
        </w:rPr>
      </w:pPr>
    </w:p>
    <w:p>
      <w:pPr>
        <w:jc w:val="both"/>
        <w:ind w:firstLine="1127"/>
        <w:spacing w:after="0" w:line="247" w:lineRule="auto"/>
        <w:rPr>
          <w:sz w:val="20"/>
          <w:szCs w:val="20"/>
          <w:color w:val="auto"/>
        </w:rPr>
      </w:pPr>
      <w:r>
        <w:rPr>
          <w:rFonts w:ascii="Times New Roman" w:cs="Times New Roman" w:eastAsia="Times New Roman" w:hAnsi="Times New Roman"/>
          <w:sz w:val="21"/>
          <w:szCs w:val="21"/>
          <w:color w:val="auto"/>
        </w:rPr>
        <w:t xml:space="preserve">Section I.16. </w:t>
      </w:r>
      <w:r>
        <w:rPr>
          <w:rFonts w:ascii="Times New Roman" w:cs="Times New Roman" w:eastAsia="Times New Roman" w:hAnsi="Times New Roman"/>
          <w:sz w:val="21"/>
          <w:szCs w:val="21"/>
          <w:u w:val="single" w:color="auto"/>
          <w:color w:val="auto"/>
        </w:rPr>
        <w:t>List of Stockholders Entitled to Vote</w:t>
      </w:r>
      <w:r>
        <w:rPr>
          <w:rFonts w:ascii="Times New Roman" w:cs="Times New Roman" w:eastAsia="Times New Roman" w:hAnsi="Times New Roman"/>
          <w:sz w:val="21"/>
          <w:szCs w:val="21"/>
          <w:color w:val="auto"/>
        </w:rPr>
        <w:t>. The Corporation shall prepare,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1.16 or to vote in person or by proxy at any meeting of the stockholders. The Corporation shall not be required to include electronic mail addresses or other electronic contact information on such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7" w:name="page68"/>
    <w:bookmarkEnd w:id="67"/>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BOARD OF DIRECTORS</w:t>
      </w:r>
    </w:p>
    <w:p>
      <w:pPr>
        <w:spacing w:after="0" w:line="219" w:lineRule="exact"/>
        <w:rPr>
          <w:sz w:val="20"/>
          <w:szCs w:val="20"/>
          <w:color w:val="auto"/>
        </w:rPr>
      </w:pPr>
    </w:p>
    <w:p>
      <w:pPr>
        <w:jc w:val="both"/>
        <w:ind w:firstLine="1127"/>
        <w:spacing w:after="0" w:line="253" w:lineRule="auto"/>
        <w:rPr>
          <w:sz w:val="20"/>
          <w:szCs w:val="20"/>
          <w:color w:val="auto"/>
        </w:rPr>
      </w:pPr>
      <w:r>
        <w:rPr>
          <w:rFonts w:ascii="Times New Roman" w:cs="Times New Roman" w:eastAsia="Times New Roman" w:hAnsi="Times New Roman"/>
          <w:sz w:val="21"/>
          <w:szCs w:val="21"/>
          <w:color w:val="auto"/>
        </w:rPr>
        <w:t xml:space="preserve">Section II.01. </w:t>
      </w:r>
      <w:r>
        <w:rPr>
          <w:rFonts w:ascii="Times New Roman" w:cs="Times New Roman" w:eastAsia="Times New Roman" w:hAnsi="Times New Roman"/>
          <w:sz w:val="21"/>
          <w:szCs w:val="21"/>
          <w:u w:val="single" w:color="auto"/>
          <w:color w:val="auto"/>
        </w:rPr>
        <w:t>General Powers</w:t>
      </w:r>
      <w:r>
        <w:rPr>
          <w:rFonts w:ascii="Times New Roman" w:cs="Times New Roman" w:eastAsia="Times New Roman" w:hAnsi="Times New Roman"/>
          <w:sz w:val="21"/>
          <w:szCs w:val="21"/>
          <w:color w:val="auto"/>
        </w:rPr>
        <w:t>. Except as may otherwise be provided by the DGCL or the Certificate of Incorporation, the business and affairs of the Corporation shall be managed by or under the direction of the Board of Directors. In addition to the powers and authority expressly conferred upon it by applicable law, the Certificate of Incorporation (including any certificate of designations relating to any series of preferred stock) or these Bylaws, the Board of Directors is hereby empowered to exercise all such powers and do all such acts and things as may be exercised or done by the Corporation, except as otherwise specifically required by law or as otherwise provided in the Certificate of Incorporation (including any certificate of designations relating to any series of preferred stock).</w:t>
      </w:r>
    </w:p>
    <w:p>
      <w:pPr>
        <w:spacing w:after="0" w:line="164" w:lineRule="exact"/>
        <w:rPr>
          <w:sz w:val="20"/>
          <w:szCs w:val="20"/>
          <w:color w:val="auto"/>
        </w:rPr>
      </w:pPr>
    </w:p>
    <w:p>
      <w:pPr>
        <w:ind w:right="40"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II.02. </w:t>
      </w:r>
      <w:r>
        <w:rPr>
          <w:rFonts w:ascii="Times New Roman" w:cs="Times New Roman" w:eastAsia="Times New Roman" w:hAnsi="Times New Roman"/>
          <w:sz w:val="21"/>
          <w:szCs w:val="21"/>
          <w:u w:val="single" w:color="auto"/>
          <w:color w:val="auto"/>
        </w:rPr>
        <w:t>Number, Election and Qualification</w:t>
      </w:r>
      <w:r>
        <w:rPr>
          <w:rFonts w:ascii="Times New Roman" w:cs="Times New Roman" w:eastAsia="Times New Roman" w:hAnsi="Times New Roman"/>
          <w:sz w:val="21"/>
          <w:szCs w:val="21"/>
          <w:color w:val="auto"/>
        </w:rPr>
        <w:t>. Subject to the terms of any one or more series of preferred stock, the total number of directors constituting the Board of Directors shall be at least one, or such larger number as may be fixed from time to time exclusively by resolution adopted by the Board of Directors. No reduction of the authorized number of directors shall have the effect of removing any director before that director’s term of office expires. At any meeting of stockholders at which directors are to be elected, directors shall be elected by the plurality of the votes cast by the holders of shares present in person or represented by proxy at the meeting and entitled to vote thereon. Directors need not be stockholders of the Corporation. To the extent set forth in the Certificate of Incorporation, the directors of the Corporation shall be divided into classes with terms set forth therein.</w:t>
      </w:r>
    </w:p>
    <w:p>
      <w:pPr>
        <w:spacing w:after="0" w:line="200" w:lineRule="exact"/>
        <w:rPr>
          <w:sz w:val="20"/>
          <w:szCs w:val="20"/>
          <w:color w:val="auto"/>
        </w:rPr>
      </w:pPr>
    </w:p>
    <w:p>
      <w:pPr>
        <w:spacing w:after="0" w:line="220" w:lineRule="exact"/>
        <w:rPr>
          <w:sz w:val="20"/>
          <w:szCs w:val="20"/>
          <w:color w:val="auto"/>
        </w:rPr>
      </w:pPr>
    </w:p>
    <w:p>
      <w:pPr>
        <w:ind w:right="100"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II.03. </w:t>
      </w:r>
      <w:r>
        <w:rPr>
          <w:rFonts w:ascii="Times New Roman" w:cs="Times New Roman" w:eastAsia="Times New Roman" w:hAnsi="Times New Roman"/>
          <w:sz w:val="21"/>
          <w:szCs w:val="21"/>
          <w:u w:val="single" w:color="auto"/>
          <w:color w:val="auto"/>
        </w:rPr>
        <w:t>The Chairperson of the Board</w:t>
      </w:r>
      <w:r>
        <w:rPr>
          <w:rFonts w:ascii="Times New Roman" w:cs="Times New Roman" w:eastAsia="Times New Roman" w:hAnsi="Times New Roman"/>
          <w:sz w:val="21"/>
          <w:szCs w:val="21"/>
          <w:color w:val="auto"/>
        </w:rPr>
        <w:t>. The Board of Directors may elect a Chairperson of the Board from among its members. If elected, the Board of Directors shall designate the Chairperson of the Board as either a non-executive Chairperson of the Board or an executive Chairperson of the Board. The Chairperson of the Board shall not be deemed an officer of the Corporation, unless the Board shall determine otherwise. Subject to the control vested in the Board by statute, by the Certificate of Incorporation, or by these Bylaws, the Chairperson of the Board shall, if present, preside over all meetings of the stockholders and of the Board and shall have such other duties and powers as from time to time may be assigned to him or her by the Board, the Certificate of Incorporation or these Bylaws. References in these Bylaws to the “Chairperson of the Board” shall mean the non-executive Chairperson of the Board or executive Chairperson of the Board, as designated by the Board of Directors from time to time. In the absence (or inability or refusal to act) of the Chairperson of the Board, the Chief Executive Officer (if such person shall be a director) or such other director or officer of the Corporation designated by the Chairperson of the Board shall preside when present at all meetings of the stockholders and the Board.</w:t>
      </w:r>
    </w:p>
    <w:p>
      <w:pPr>
        <w:spacing w:after="0" w:line="170" w:lineRule="exact"/>
        <w:rPr>
          <w:sz w:val="20"/>
          <w:szCs w:val="20"/>
          <w:color w:val="auto"/>
        </w:rPr>
      </w:pPr>
    </w:p>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II.04. </w:t>
      </w:r>
      <w:r>
        <w:rPr>
          <w:rFonts w:ascii="Times New Roman" w:cs="Times New Roman" w:eastAsia="Times New Roman" w:hAnsi="Times New Roman"/>
          <w:sz w:val="21"/>
          <w:szCs w:val="21"/>
          <w:u w:val="single" w:color="auto"/>
          <w:color w:val="auto"/>
        </w:rPr>
        <w:t>Annual and Regular Meetings</w:t>
      </w:r>
      <w:r>
        <w:rPr>
          <w:rFonts w:ascii="Times New Roman" w:cs="Times New Roman" w:eastAsia="Times New Roman" w:hAnsi="Times New Roman"/>
          <w:sz w:val="21"/>
          <w:szCs w:val="21"/>
          <w:color w:val="auto"/>
        </w:rPr>
        <w:t>. The annual meeting of the Board of Directors for the purpose of electing officers and for the transaction of such other business as may come before the meeting shall be held after the annual meeting of the stockholders and may be held at such places within or without the State of Delaware and at such times as the Board may from time to time determine, and if so determined notice thereof need not be given. Notice of such annual meeting of the Board of Directors need not be given.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13</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397" w:right="3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from time to time may by resolution provide for the holding of regular meetings and fix the place (which may be within or without the State of Delaware) and the date and hour of such meetings. Notice of regular meetings need not be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the Board of Directors shall fix or change the time or place of any regular meeting, notice of such action shall be mailed promptly, or sent by telephone, including a voice messaging system or other system or technology designed to record and communicate messages, telegraph, electronic mail or other electronic means, to each director who shall not have been present at the meeting at which such action was taken, addressed to him or her at his or her usual place of business, or shall be delivered to him or her personally. Notice of such action need not be given to any director who attends the first regular meeting after such action is taken, except when the director attends such meeting for the express purpose of objecting, at the beginning of the meeting, to the transaction of any business because the meeting is not lawfully called or convened.</w:t>
      </w:r>
    </w:p>
    <w:p>
      <w:pPr>
        <w:spacing w:after="0" w:line="188" w:lineRule="exact"/>
        <w:rPr>
          <w:sz w:val="20"/>
          <w:szCs w:val="20"/>
          <w:color w:val="auto"/>
        </w:rPr>
      </w:pPr>
    </w:p>
    <w:p>
      <w:pPr>
        <w:jc w:val="both"/>
        <w:ind w:firstLine="1127"/>
        <w:spacing w:after="0" w:line="248" w:lineRule="auto"/>
        <w:rPr>
          <w:sz w:val="20"/>
          <w:szCs w:val="20"/>
          <w:color w:val="auto"/>
        </w:rPr>
      </w:pPr>
      <w:r>
        <w:rPr>
          <w:rFonts w:ascii="Times New Roman" w:cs="Times New Roman" w:eastAsia="Times New Roman" w:hAnsi="Times New Roman"/>
          <w:sz w:val="21"/>
          <w:szCs w:val="21"/>
          <w:color w:val="auto"/>
        </w:rPr>
        <w:t xml:space="preserve">Section II.05. </w:t>
      </w:r>
      <w:r>
        <w:rPr>
          <w:rFonts w:ascii="Times New Roman" w:cs="Times New Roman" w:eastAsia="Times New Roman" w:hAnsi="Times New Roman"/>
          <w:sz w:val="21"/>
          <w:szCs w:val="21"/>
          <w:u w:val="single" w:color="auto"/>
          <w:color w:val="auto"/>
        </w:rPr>
        <w:t>Special Meetings; Notice</w:t>
      </w:r>
      <w:r>
        <w:rPr>
          <w:rFonts w:ascii="Times New Roman" w:cs="Times New Roman" w:eastAsia="Times New Roman" w:hAnsi="Times New Roman"/>
          <w:sz w:val="21"/>
          <w:szCs w:val="21"/>
          <w:color w:val="auto"/>
        </w:rPr>
        <w:t>. Special meetings of the Board of Directors for any purpose or purposes shall be held whenever called by the Chairperson of the Board, Chief Executive Officer or by the Board of Directors pursuant to the following sentence, at such place (within or without the State of Delaware), date and hour as may be specified in the notices of such meetings. Special meetings of the Board of Directors also may be held whenever called pursuant to a resolution approved by the Board of Directors. Notice shall be duly given to each director (a) in person or by telephone at least twenty-four (24) hours in advance of the meeting, (b) by sending written notice by reputable overnight courier, telecopy,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to such other address as any director may request by notice to the Secretary at least seventy-two (72) hours in advance of the meeting. Notice of any special meeting need not be given to any director who attends such meeting except when the director attends such meeting for the express purpose of objecting, at the beginning of the meeting, to the transaction of any business because the meeting is not lawfully called or convened.</w:t>
      </w:r>
    </w:p>
    <w:p>
      <w:pPr>
        <w:spacing w:after="0" w:line="173"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II.06. </w:t>
      </w:r>
      <w:r>
        <w:rPr>
          <w:rFonts w:ascii="Times New Roman" w:cs="Times New Roman" w:eastAsia="Times New Roman" w:hAnsi="Times New Roman"/>
          <w:sz w:val="21"/>
          <w:szCs w:val="21"/>
          <w:u w:val="single" w:color="auto"/>
          <w:color w:val="auto"/>
        </w:rPr>
        <w:t>Quorum; Voting</w:t>
      </w:r>
      <w:r>
        <w:rPr>
          <w:rFonts w:ascii="Times New Roman" w:cs="Times New Roman" w:eastAsia="Times New Roman" w:hAnsi="Times New Roman"/>
          <w:sz w:val="21"/>
          <w:szCs w:val="21"/>
          <w:color w:val="auto"/>
        </w:rPr>
        <w:t>. At all meetings of the Board of Directors, the presence of at least a majority of the total number of directors shall constitute a quorum for the transaction of business. Except as otherwise required by law, the Certificate of Incorporation or these Bylaws, the vote of at least a majority of the directors present at any meeting at which a quorum is present shall be the act of the Board of Directors.</w:t>
      </w:r>
    </w:p>
    <w:p>
      <w:pPr>
        <w:spacing w:after="0" w:line="174" w:lineRule="exact"/>
        <w:rPr>
          <w:sz w:val="20"/>
          <w:szCs w:val="20"/>
          <w:color w:val="auto"/>
        </w:rPr>
      </w:pPr>
    </w:p>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II.07. </w:t>
      </w:r>
      <w:r>
        <w:rPr>
          <w:rFonts w:ascii="Times New Roman" w:cs="Times New Roman" w:eastAsia="Times New Roman" w:hAnsi="Times New Roman"/>
          <w:sz w:val="21"/>
          <w:szCs w:val="21"/>
          <w:u w:val="single" w:color="auto"/>
          <w:color w:val="auto"/>
        </w:rPr>
        <w:t>Adjournment</w:t>
      </w:r>
      <w:r>
        <w:rPr>
          <w:rFonts w:ascii="Times New Roman" w:cs="Times New Roman" w:eastAsia="Times New Roman" w:hAnsi="Times New Roman"/>
          <w:sz w:val="21"/>
          <w:szCs w:val="21"/>
          <w:color w:val="auto"/>
        </w:rPr>
        <w:t>. A majority of the directors present, whether or not a quorum is present, may adjourn any meeting of the Board of Directors to another time or place.</w:t>
      </w:r>
    </w:p>
    <w:p>
      <w:pPr>
        <w:spacing w:after="0" w:line="154"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II.08. </w:t>
      </w:r>
      <w:r>
        <w:rPr>
          <w:rFonts w:ascii="Times New Roman" w:cs="Times New Roman" w:eastAsia="Times New Roman" w:hAnsi="Times New Roman"/>
          <w:sz w:val="21"/>
          <w:szCs w:val="21"/>
          <w:u w:val="single" w:color="auto"/>
          <w:color w:val="auto"/>
        </w:rPr>
        <w:t>Action Without a Meeting</w:t>
      </w:r>
      <w:r>
        <w:rPr>
          <w:rFonts w:ascii="Times New Roman" w:cs="Times New Roman" w:eastAsia="Times New Roman" w:hAnsi="Times New Roman"/>
          <w:sz w:val="21"/>
          <w:szCs w:val="21"/>
          <w:color w:val="auto"/>
        </w:rPr>
        <w:t>. Any action required or permitted to be taken at any meeting of the Board of Directors, or any committee thereof, may be taken without a meeting if all members of the Board of Directors or committee, as the case may be, consent thereto in writing or by electronic transmission. After the action is taken, the consent or consents relating thereto shall be filed with the minutes of proceedings of the Board of Directors or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69" w:name="page70"/>
    <w:bookmarkEnd w:id="69"/>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II.09. </w:t>
      </w:r>
      <w:r>
        <w:rPr>
          <w:rFonts w:ascii="Times New Roman" w:cs="Times New Roman" w:eastAsia="Times New Roman" w:hAnsi="Times New Roman"/>
          <w:sz w:val="21"/>
          <w:szCs w:val="21"/>
          <w:u w:val="single" w:color="auto"/>
          <w:color w:val="auto"/>
        </w:rPr>
        <w:t>Regulations; Manner of Acting</w:t>
      </w:r>
      <w:r>
        <w:rPr>
          <w:rFonts w:ascii="Times New Roman" w:cs="Times New Roman" w:eastAsia="Times New Roman" w:hAnsi="Times New Roman"/>
          <w:sz w:val="21"/>
          <w:szCs w:val="21"/>
          <w:color w:val="auto"/>
        </w:rPr>
        <w:t>. To the extent consistent with applicable law, the Certificate of Incorporation and these Bylaws, the Board of Directors may adopt by resolution such rules and regulations for the conduct of meetings of the Board of Directors and for the management of the property, affairs and business of the Corporation as the Board of Directors may deem appropriate. The directors shall act only as a Board of Directors and the individual directors shall have no power in their individual capacities unless expressly authorized by the Board of Directors.</w:t>
      </w:r>
    </w:p>
    <w:p>
      <w:pPr>
        <w:spacing w:after="0" w:line="16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II.10. </w:t>
      </w:r>
      <w:r>
        <w:rPr>
          <w:rFonts w:ascii="Times New Roman" w:cs="Times New Roman" w:eastAsia="Times New Roman" w:hAnsi="Times New Roman"/>
          <w:sz w:val="21"/>
          <w:szCs w:val="21"/>
          <w:u w:val="single" w:color="auto"/>
          <w:color w:val="auto"/>
        </w:rPr>
        <w:t>Action by Telephonic Communications</w:t>
      </w:r>
      <w:r>
        <w:rPr>
          <w:rFonts w:ascii="Times New Roman" w:cs="Times New Roman" w:eastAsia="Times New Roman" w:hAnsi="Times New Roman"/>
          <w:sz w:val="21"/>
          <w:szCs w:val="21"/>
          <w:color w:val="auto"/>
        </w:rPr>
        <w:t>. Members of the Board of Directors, or any committee thereof, may participate in a meeting of the Board or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74" w:lineRule="exact"/>
        <w:rPr>
          <w:sz w:val="20"/>
          <w:szCs w:val="20"/>
          <w:color w:val="auto"/>
        </w:rPr>
      </w:pPr>
    </w:p>
    <w:p>
      <w:pPr>
        <w:jc w:val="both"/>
        <w:ind w:firstLine="1127"/>
        <w:spacing w:after="0" w:line="258" w:lineRule="auto"/>
        <w:rPr>
          <w:sz w:val="20"/>
          <w:szCs w:val="20"/>
          <w:color w:val="auto"/>
        </w:rPr>
      </w:pPr>
      <w:r>
        <w:rPr>
          <w:rFonts w:ascii="Times New Roman" w:cs="Times New Roman" w:eastAsia="Times New Roman" w:hAnsi="Times New Roman"/>
          <w:sz w:val="21"/>
          <w:szCs w:val="21"/>
          <w:color w:val="auto"/>
        </w:rPr>
        <w:t xml:space="preserve">Section II.11. </w:t>
      </w:r>
      <w:r>
        <w:rPr>
          <w:rFonts w:ascii="Times New Roman" w:cs="Times New Roman" w:eastAsia="Times New Roman" w:hAnsi="Times New Roman"/>
          <w:sz w:val="21"/>
          <w:szCs w:val="21"/>
          <w:u w:val="single" w:color="auto"/>
          <w:color w:val="auto"/>
        </w:rPr>
        <w:t>Resignations</w:t>
      </w:r>
      <w:r>
        <w:rPr>
          <w:rFonts w:ascii="Times New Roman" w:cs="Times New Roman" w:eastAsia="Times New Roman" w:hAnsi="Times New Roman"/>
          <w:sz w:val="21"/>
          <w:szCs w:val="21"/>
          <w:color w:val="auto"/>
        </w:rPr>
        <w:t>. Any director may resign at any time by submitting an electronic transmission or by delivering a written notice of resignation, signed by such director, to the Corporation. Unless otherwise specified therein, such resignation shall take effect upon delivery.</w:t>
      </w:r>
    </w:p>
    <w:p>
      <w:pPr>
        <w:spacing w:after="0" w:line="174" w:lineRule="exact"/>
        <w:rPr>
          <w:sz w:val="20"/>
          <w:szCs w:val="20"/>
          <w:color w:val="auto"/>
        </w:rPr>
      </w:pPr>
    </w:p>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II.12. </w:t>
      </w:r>
      <w:r>
        <w:rPr>
          <w:rFonts w:ascii="Times New Roman" w:cs="Times New Roman" w:eastAsia="Times New Roman" w:hAnsi="Times New Roman"/>
          <w:sz w:val="21"/>
          <w:szCs w:val="21"/>
          <w:u w:val="single" w:color="auto"/>
          <w:color w:val="auto"/>
        </w:rPr>
        <w:t>Removal of Directors</w:t>
      </w:r>
      <w:r>
        <w:rPr>
          <w:rFonts w:ascii="Times New Roman" w:cs="Times New Roman" w:eastAsia="Times New Roman" w:hAnsi="Times New Roman"/>
          <w:sz w:val="21"/>
          <w:szCs w:val="21"/>
          <w:color w:val="auto"/>
        </w:rPr>
        <w:t>. Directors may be removed from office as provided in the Certificate of Incorporation.</w:t>
      </w:r>
    </w:p>
    <w:p>
      <w:pPr>
        <w:spacing w:after="0" w:line="140" w:lineRule="exact"/>
        <w:rPr>
          <w:sz w:val="20"/>
          <w:szCs w:val="20"/>
          <w:color w:val="auto"/>
        </w:rPr>
      </w:pPr>
    </w:p>
    <w:p>
      <w:pPr>
        <w:ind w:right="80"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II.13. </w:t>
      </w:r>
      <w:r>
        <w:rPr>
          <w:rFonts w:ascii="Times New Roman" w:cs="Times New Roman" w:eastAsia="Times New Roman" w:hAnsi="Times New Roman"/>
          <w:sz w:val="21"/>
          <w:szCs w:val="21"/>
          <w:u w:val="single" w:color="auto"/>
          <w:color w:val="auto"/>
        </w:rPr>
        <w:t>Vacancies and Newly Created Directorships</w:t>
      </w:r>
      <w:r>
        <w:rPr>
          <w:rFonts w:ascii="Times New Roman" w:cs="Times New Roman" w:eastAsia="Times New Roman" w:hAnsi="Times New Roman"/>
          <w:sz w:val="21"/>
          <w:szCs w:val="21"/>
          <w:color w:val="auto"/>
        </w:rPr>
        <w:t>. Subject to the terms of any one or more series of preferred stock, any vacancies in the Board of Directors for any reason and any newly created directorships resulting by reason of any increase in the number of directors shall be filled only by the Board of Directors acting by a majority of the Board of Directors, even if less than a quorum, or by a sole remaining director, and any directors so appointed shall hold office until the next election of the class of directors to which such directors have been appointed and until their successors are duly elected and qualified, except that, for so long as holders of common stock may act by written consent, such vacancies may also be filled by a majority of the voting power of the Corporation’s outstanding shares of common stock entitled to vote generally in the election of directors, voting together as a single class.</w:t>
      </w:r>
    </w:p>
    <w:p>
      <w:pPr>
        <w:spacing w:after="0" w:line="181"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II.14.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The amount, if any, which each director shall be entitled to receive as compensation for such director’s services, shall be fixed from time to time by resolution of the Board of Directors or any committee thereof or as an agreement between the Corporation and any director. The directors may be reimbursed their out-of-pocket expenses, if any, of attendance at each meeting of the Board of Directors in accordance with the Corporation’s policies in effect from time to time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and reimbursement for service as committee members.</w:t>
      </w:r>
    </w:p>
    <w:p>
      <w:pPr>
        <w:spacing w:after="0" w:line="183"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II.15. </w:t>
      </w:r>
      <w:r>
        <w:rPr>
          <w:rFonts w:ascii="Times New Roman" w:cs="Times New Roman" w:eastAsia="Times New Roman" w:hAnsi="Times New Roman"/>
          <w:sz w:val="21"/>
          <w:szCs w:val="21"/>
          <w:u w:val="single" w:color="auto"/>
          <w:color w:val="auto"/>
        </w:rPr>
        <w:t>Reliance on Accounts and Reports, Etc</w:t>
      </w:r>
      <w:r>
        <w:rPr>
          <w:rFonts w:ascii="Times New Roman" w:cs="Times New Roman" w:eastAsia="Times New Roman" w:hAnsi="Times New Roman"/>
          <w:sz w:val="21"/>
          <w:szCs w:val="21"/>
          <w:color w:val="auto"/>
        </w:rPr>
        <w:t>. A director, or a member of any committee designated by the Board of Directors, shall, in the performance of such director’s or member’s duties, be fully protected in relying in good faith upon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70" w:name="page71"/>
    <w:bookmarkEnd w:id="70"/>
    <w:p>
      <w:pPr>
        <w:jc w:val="both"/>
        <w:spacing w:after="0" w:line="257" w:lineRule="auto"/>
        <w:rPr>
          <w:sz w:val="20"/>
          <w:szCs w:val="20"/>
          <w:color w:val="auto"/>
        </w:rPr>
      </w:pPr>
      <w:r>
        <w:rPr>
          <w:rFonts w:ascii="Times New Roman" w:cs="Times New Roman" w:eastAsia="Times New Roman" w:hAnsi="Times New Roman"/>
          <w:sz w:val="21"/>
          <w:szCs w:val="21"/>
          <w:color w:val="auto"/>
        </w:rPr>
        <w:t>Corporation and upon information, opinions, reports or statements presented to the Corporation by any of the Corporation’s officers or employees, or committees designated by the Board of Directors, or by any other person as to the matters the director or the member reasonably believes are within such other person’s professional or expert competence and who the director or member reasonably believes or determines has been selected with reasonable care by or on behalf of the Corporation.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COMMITTEES</w:t>
      </w:r>
    </w:p>
    <w:p>
      <w:pPr>
        <w:spacing w:after="0" w:line="232"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III.01. </w:t>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 The Board of Directors, by resolution, may designate from among its members one (1) or more committees of the Board of Directors, each consisting of one or more directors as from time to time may be fixed by the Board of Directors. Any such committee shall serve at the pleasure of the Board of Directors. The Board of Directors may appoint a Chairperson of any committee, who shall preside at meetings of any such committee. The Board of Directors may elect one (1) or more of its members as alternate members of any such committee who may take the place of any absent or disqualified member or members at any meeting of such committee, upon request of the Chairperson of the Board or the Chairperson of such committee.</w:t>
      </w:r>
    </w:p>
    <w:p>
      <w:pPr>
        <w:spacing w:after="0" w:line="200" w:lineRule="exact"/>
        <w:rPr>
          <w:sz w:val="20"/>
          <w:szCs w:val="20"/>
          <w:color w:val="auto"/>
        </w:rPr>
      </w:pPr>
    </w:p>
    <w:p>
      <w:pPr>
        <w:spacing w:after="0" w:line="217"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III.02. </w:t>
      </w:r>
      <w:r>
        <w:rPr>
          <w:rFonts w:ascii="Times New Roman" w:cs="Times New Roman" w:eastAsia="Times New Roman" w:hAnsi="Times New Roman"/>
          <w:sz w:val="21"/>
          <w:szCs w:val="21"/>
          <w:u w:val="single" w:color="auto"/>
          <w:color w:val="auto"/>
        </w:rPr>
        <w:t>Powers</w:t>
      </w:r>
      <w:r>
        <w:rPr>
          <w:rFonts w:ascii="Times New Roman" w:cs="Times New Roman" w:eastAsia="Times New Roman" w:hAnsi="Times New Roman"/>
          <w:sz w:val="21"/>
          <w:szCs w:val="21"/>
          <w:color w:val="auto"/>
        </w:rPr>
        <w:t>. Subject to any limitation imposed by applicable law, each committee shall have and may exercise such powers of the Board of Directors as may be provided by resolution or resolutions of the Board of Directors or provided in charters or other organization documents of such committee approved by the Board of Directors. No committee shall have the power or authority: to approve or adopt, or recommend to the stockholders, any action or matter (other than the election or removal of directors) expressly required by the DGCL to be submitted by the Board of Directors to the stockholders for approval; or to adopt, amend or repeal the Bylaws of the Corporation.</w:t>
      </w:r>
    </w:p>
    <w:p>
      <w:pPr>
        <w:spacing w:after="0" w:line="183"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III.03. </w:t>
      </w:r>
      <w:r>
        <w:rPr>
          <w:rFonts w:ascii="Times New Roman" w:cs="Times New Roman" w:eastAsia="Times New Roman" w:hAnsi="Times New Roman"/>
          <w:sz w:val="21"/>
          <w:szCs w:val="21"/>
          <w:u w:val="single" w:color="auto"/>
          <w:color w:val="auto"/>
        </w:rPr>
        <w:t>Proceedings</w:t>
      </w:r>
      <w:r>
        <w:rPr>
          <w:rFonts w:ascii="Times New Roman" w:cs="Times New Roman" w:eastAsia="Times New Roman" w:hAnsi="Times New Roman"/>
          <w:sz w:val="21"/>
          <w:szCs w:val="21"/>
          <w:color w:val="auto"/>
        </w:rPr>
        <w:t>. Except as otherwise provided herein or required by law, each committee may fix its own rules of procedure and may meet at such place (within or without the State of Delaware), at such time and upon such notice, if any, as it shall determine from time to time. Each committee shall keep minutes of its proceedings and shall report such proceedings to the Board of Directors at the meeting of the Board next following any such proceedings.</w:t>
      </w:r>
    </w:p>
    <w:p>
      <w:pPr>
        <w:spacing w:after="0" w:line="160"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III.04. </w:t>
      </w:r>
      <w:r>
        <w:rPr>
          <w:rFonts w:ascii="Times New Roman" w:cs="Times New Roman" w:eastAsia="Times New Roman" w:hAnsi="Times New Roman"/>
          <w:sz w:val="21"/>
          <w:szCs w:val="21"/>
          <w:u w:val="single" w:color="auto"/>
          <w:color w:val="auto"/>
        </w:rPr>
        <w:t>Quorum and Manner of Acting</w:t>
      </w:r>
      <w:r>
        <w:rPr>
          <w:rFonts w:ascii="Times New Roman" w:cs="Times New Roman" w:eastAsia="Times New Roman" w:hAnsi="Times New Roman"/>
          <w:sz w:val="21"/>
          <w:szCs w:val="21"/>
          <w:color w:val="auto"/>
        </w:rPr>
        <w:t>. Except as may be otherwise provided in the resolution creating such committee or in the rules of such committee, at all meetings of any committee, the presence of members (or alternate members) constituting a majority of the total number of committee members serving shall constitute a quorum for the transaction of business, except that, in the case of one-member committees, the presence of one member shall constitute a quorum and in the case of two-member committees, the presence of two members shall constitute a quorum. The act of the majority of the members present at any meeting at which a quorum is present shall be the act of such committee. Any action required or permitted to be taken at any meeting of any committee may be taken without a meeting, in accordance with Section 2.08 of Article II of these Bylaws. The members of any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16</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1" w:name="page72"/>
    <w:bookmarkEnd w:id="71"/>
    <w:p>
      <w:pPr>
        <w:jc w:val="both"/>
        <w:spacing w:after="0" w:line="277" w:lineRule="auto"/>
        <w:rPr>
          <w:sz w:val="20"/>
          <w:szCs w:val="20"/>
          <w:color w:val="auto"/>
        </w:rPr>
      </w:pPr>
      <w:r>
        <w:rPr>
          <w:rFonts w:ascii="Times New Roman" w:cs="Times New Roman" w:eastAsia="Times New Roman" w:hAnsi="Times New Roman"/>
          <w:sz w:val="21"/>
          <w:szCs w:val="21"/>
          <w:color w:val="auto"/>
        </w:rPr>
        <w:t>shall act only as a committee, and the individual members of such committee shall have no power in their individual capacities unless expressly authorized by the Board of Directors or the committee.</w:t>
      </w:r>
    </w:p>
    <w:p>
      <w:pPr>
        <w:spacing w:after="0" w:line="154"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III.05. </w:t>
      </w:r>
      <w:r>
        <w:rPr>
          <w:rFonts w:ascii="Times New Roman" w:cs="Times New Roman" w:eastAsia="Times New Roman" w:hAnsi="Times New Roman"/>
          <w:sz w:val="21"/>
          <w:szCs w:val="21"/>
          <w:u w:val="single" w:color="auto"/>
          <w:color w:val="auto"/>
        </w:rPr>
        <w:t>Action by Telephonic Communications</w:t>
      </w:r>
      <w:r>
        <w:rPr>
          <w:rFonts w:ascii="Times New Roman" w:cs="Times New Roman" w:eastAsia="Times New Roman" w:hAnsi="Times New Roman"/>
          <w:sz w:val="21"/>
          <w:szCs w:val="21"/>
          <w:color w:val="auto"/>
        </w:rPr>
        <w:t>. Unless otherwise provided by the Board of Directors, members of any committee may participate in a meeting of such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60" w:lineRule="exact"/>
        <w:rPr>
          <w:sz w:val="20"/>
          <w:szCs w:val="20"/>
          <w:color w:val="auto"/>
        </w:rPr>
      </w:pPr>
    </w:p>
    <w:p>
      <w:pPr>
        <w:jc w:val="both"/>
        <w:ind w:firstLine="1127"/>
        <w:spacing w:after="0" w:line="261" w:lineRule="auto"/>
        <w:rPr>
          <w:sz w:val="20"/>
          <w:szCs w:val="20"/>
          <w:color w:val="auto"/>
        </w:rPr>
      </w:pPr>
      <w:r>
        <w:rPr>
          <w:rFonts w:ascii="Times New Roman" w:cs="Times New Roman" w:eastAsia="Times New Roman" w:hAnsi="Times New Roman"/>
          <w:sz w:val="21"/>
          <w:szCs w:val="21"/>
          <w:color w:val="auto"/>
        </w:rPr>
        <w:t xml:space="preserve">Section III.06. </w:t>
      </w:r>
      <w:r>
        <w:rPr>
          <w:rFonts w:ascii="Times New Roman" w:cs="Times New Roman" w:eastAsia="Times New Roman" w:hAnsi="Times New Roman"/>
          <w:sz w:val="21"/>
          <w:szCs w:val="21"/>
          <w:u w:val="single" w:color="auto"/>
          <w:color w:val="auto"/>
        </w:rPr>
        <w:t>Absent or Disqualified Members</w:t>
      </w:r>
      <w:r>
        <w:rPr>
          <w:rFonts w:ascii="Times New Roman" w:cs="Times New Roman" w:eastAsia="Times New Roman" w:hAnsi="Times New Roman"/>
          <w:sz w:val="21"/>
          <w:szCs w:val="21"/>
          <w:color w:val="auto"/>
        </w:rPr>
        <w:t>. In the absence or disqualification of a member of any committee, if no alternate member is present to act in his or her stead,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57"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III.07. </w:t>
      </w:r>
      <w:r>
        <w:rPr>
          <w:rFonts w:ascii="Times New Roman" w:cs="Times New Roman" w:eastAsia="Times New Roman" w:hAnsi="Times New Roman"/>
          <w:sz w:val="21"/>
          <w:szCs w:val="21"/>
          <w:u w:val="single" w:color="auto"/>
          <w:color w:val="auto"/>
        </w:rPr>
        <w:t>Resignations</w:t>
      </w:r>
      <w:r>
        <w:rPr>
          <w:rFonts w:ascii="Times New Roman" w:cs="Times New Roman" w:eastAsia="Times New Roman" w:hAnsi="Times New Roman"/>
          <w:sz w:val="21"/>
          <w:szCs w:val="21"/>
          <w:color w:val="auto"/>
        </w:rPr>
        <w:t>. Any member (and any alternate member) of any committee may resign at any time by submitting an electronic transmission or by delivering a written notice of resignation, signed by such member, to the Board of Directors or the Chairperson of the Board. Unless otherwise specified therein, such resignation shall take effect upon delivery.</w:t>
      </w:r>
    </w:p>
    <w:p>
      <w:pPr>
        <w:spacing w:after="0" w:line="153" w:lineRule="exact"/>
        <w:rPr>
          <w:sz w:val="20"/>
          <w:szCs w:val="20"/>
          <w:color w:val="auto"/>
        </w:rPr>
      </w:pPr>
    </w:p>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III.08. </w:t>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color w:val="auto"/>
        </w:rPr>
        <w:t>. Any member (and any alternate member) of any committee may be removed at any time, either for or without cause, by resolution adopted by the Board of Directors.</w:t>
      </w:r>
    </w:p>
    <w:p>
      <w:pPr>
        <w:spacing w:after="0" w:line="154"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III.09.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If any vacancy shall occur in any committee, by reason of disqualification, death, resignation, removal or otherwise, the remaining members (and any alternate members) shall continue to act, and any such vacancy may be filled by the Board of Directors.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OFFICERS</w:t>
      </w:r>
    </w:p>
    <w:p>
      <w:pPr>
        <w:spacing w:after="0" w:line="219"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IV.01. </w:t>
      </w:r>
      <w:r>
        <w:rPr>
          <w:rFonts w:ascii="Times New Roman" w:cs="Times New Roman" w:eastAsia="Times New Roman" w:hAnsi="Times New Roman"/>
          <w:sz w:val="21"/>
          <w:szCs w:val="21"/>
          <w:u w:val="single" w:color="auto"/>
          <w:color w:val="auto"/>
        </w:rPr>
        <w:t>Chief Executive Officer</w:t>
      </w:r>
      <w:r>
        <w:rPr>
          <w:rFonts w:ascii="Times New Roman" w:cs="Times New Roman" w:eastAsia="Times New Roman" w:hAnsi="Times New Roman"/>
          <w:sz w:val="21"/>
          <w:szCs w:val="21"/>
          <w:color w:val="auto"/>
        </w:rPr>
        <w:t>. The Board of Directors may elect a Chief Executive Officer to serve at the pleasure of the Board of Directors. The Chief Executive Officer shall (a) supervise the implementation of policies adopted or approved by the Board of Directors, (b) exercise a general supervision and superintendence over all the business and affairs of the Corporation subject to the authority of the Board of Directors, (c) appoint and remove subordinate officers, agents and employees, except those appointed by the Board of Directors, and (d) possess such other powers and perform such other duties as may be assigned to him or her by these Bylaws, as may from time to time be assigned by the Board of Directors and as may be incident to the office of Chief Executive Officer of the Corporation. The Chief Executive Officer shall have general authority to execute bonds, deeds and contracts in the name of the Corporation, except where required or permitted by law to be otherwise signed and executed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17</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2" w:name="page73"/>
    <w:bookmarkEnd w:id="72"/>
    <w:p>
      <w:pPr>
        <w:spacing w:after="0" w:line="277" w:lineRule="auto"/>
        <w:rPr>
          <w:sz w:val="20"/>
          <w:szCs w:val="20"/>
          <w:color w:val="auto"/>
        </w:rPr>
      </w:pPr>
      <w:r>
        <w:rPr>
          <w:rFonts w:ascii="Times New Roman" w:cs="Times New Roman" w:eastAsia="Times New Roman" w:hAnsi="Times New Roman"/>
          <w:sz w:val="21"/>
          <w:szCs w:val="21"/>
          <w:color w:val="auto"/>
        </w:rPr>
        <w:t>except that the other officers of the Corporation may sign and execute documents when so authorized by these Bylaws, the Board of Directors or the Chief Executive Officer.</w:t>
      </w:r>
    </w:p>
    <w:p>
      <w:pPr>
        <w:spacing w:after="0" w:line="154" w:lineRule="exact"/>
        <w:rPr>
          <w:sz w:val="20"/>
          <w:szCs w:val="20"/>
          <w:color w:val="auto"/>
        </w:rPr>
      </w:pPr>
    </w:p>
    <w:p>
      <w:pPr>
        <w:ind w:firstLine="1127"/>
        <w:spacing w:after="0" w:line="258" w:lineRule="auto"/>
        <w:rPr>
          <w:sz w:val="20"/>
          <w:szCs w:val="20"/>
          <w:color w:val="auto"/>
        </w:rPr>
      </w:pPr>
      <w:r>
        <w:rPr>
          <w:rFonts w:ascii="Times New Roman" w:cs="Times New Roman" w:eastAsia="Times New Roman" w:hAnsi="Times New Roman"/>
          <w:sz w:val="21"/>
          <w:szCs w:val="21"/>
          <w:color w:val="auto"/>
        </w:rPr>
        <w:t xml:space="preserve">Section IV.02. </w:t>
      </w:r>
      <w:r>
        <w:rPr>
          <w:rFonts w:ascii="Times New Roman" w:cs="Times New Roman" w:eastAsia="Times New Roman" w:hAnsi="Times New Roman"/>
          <w:sz w:val="21"/>
          <w:szCs w:val="21"/>
          <w:u w:val="single" w:color="auto"/>
          <w:color w:val="auto"/>
        </w:rPr>
        <w:t>Chief Financial Officer of the Corporation</w:t>
      </w:r>
      <w:r>
        <w:rPr>
          <w:rFonts w:ascii="Times New Roman" w:cs="Times New Roman" w:eastAsia="Times New Roman" w:hAnsi="Times New Roman"/>
          <w:sz w:val="21"/>
          <w:szCs w:val="21"/>
          <w:color w:val="auto"/>
        </w:rPr>
        <w:t>. The Board of Directors may elect a Chief Financial Officer of the Corporation to serve at the pleasure of the Board of Directors. The Chief Financial Officer of the Corporation shall</w:t>
      </w:r>
    </w:p>
    <w:p>
      <w:pPr>
        <w:spacing w:after="0" w:line="1" w:lineRule="exact"/>
        <w:rPr>
          <w:sz w:val="20"/>
          <w:szCs w:val="20"/>
          <w:color w:val="auto"/>
        </w:rPr>
      </w:pPr>
    </w:p>
    <w:p>
      <w:pPr>
        <w:jc w:val="both"/>
        <w:ind w:firstLine="7"/>
        <w:spacing w:after="0" w:line="248" w:lineRule="auto"/>
        <w:tabs>
          <w:tab w:leader="none" w:pos="30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the custody of the corporate funds and securities, except as otherwise provided by the Board of Directors, (b) keep full and accurate accounts of receipts and disbursements in books belonging to the Corporation, (c) deposit all moneys and other valuable effects in the name and to the credit of the Corporation in such depositories as may be designated by the Board of Directors, (d) disburse the funds of the Corporation as may be ordered by the Board of Directors, taking proper vouchers for such disbursements, and (e) render to the Chief Executive Officer and the Board of Directors, whenever they may require it, an account of all his or her transactions as Chief Financial Officer and of the financial condition of the Corporation.</w:t>
      </w:r>
    </w:p>
    <w:p>
      <w:pPr>
        <w:spacing w:after="0" w:line="170"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IV.03. </w:t>
      </w:r>
      <w:r>
        <w:rPr>
          <w:rFonts w:ascii="Times New Roman" w:cs="Times New Roman" w:eastAsia="Times New Roman" w:hAnsi="Times New Roman"/>
          <w:sz w:val="21"/>
          <w:szCs w:val="21"/>
          <w:u w:val="single" w:color="auto"/>
          <w:color w:val="auto"/>
        </w:rPr>
        <w:t>Treasurer and Assistant Treasurers</w:t>
      </w:r>
      <w:r>
        <w:rPr>
          <w:rFonts w:ascii="Times New Roman" w:cs="Times New Roman" w:eastAsia="Times New Roman" w:hAnsi="Times New Roman"/>
          <w:sz w:val="21"/>
          <w:szCs w:val="21"/>
          <w:color w:val="auto"/>
        </w:rPr>
        <w:t>. The Board of Directors may elect a Treasurer of the Corporation and any number of Assistant Treasurers to serve at the pleasure of the Board of Directors. The Treasurer shall perform such duties and shall have such powers as may from time to time be assigned by the Board or the Chief Executive Officer or the Chief Financial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authorized by the Board or the Chief Executive Officer, to make proper accounts of such funds, and to render as required by the Board statements of all such transactions and of the financial condition of the Corporation. 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170"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IV.04. </w:t>
      </w:r>
      <w:r>
        <w:rPr>
          <w:rFonts w:ascii="Times New Roman" w:cs="Times New Roman" w:eastAsia="Times New Roman" w:hAnsi="Times New Roman"/>
          <w:sz w:val="21"/>
          <w:szCs w:val="21"/>
          <w:u w:val="single" w:color="auto"/>
          <w:color w:val="auto"/>
        </w:rPr>
        <w:t>Secretary of the Corporation</w:t>
      </w:r>
      <w:r>
        <w:rPr>
          <w:rFonts w:ascii="Times New Roman" w:cs="Times New Roman" w:eastAsia="Times New Roman" w:hAnsi="Times New Roman"/>
          <w:sz w:val="21"/>
          <w:szCs w:val="21"/>
          <w:color w:val="auto"/>
        </w:rPr>
        <w:t>. The Board of Directors shall elect a Secretary of the Corporation to serve at the pleasure of the Board of Directors. The Secretary of the Corporation shall (a) keep minutes of all meetings of the stockholders and of the Board of Directors, (b) authenticate records of the Corporation, (c) give, or cause to be given, notice of all meetings of the stockholders and special meetings of the Board of Directors, and (d) in general, have such powers and perform such other duties as may be assigned to him or her by these Bylaws, as may from time to time be assigned to him or her by the Board of Directors or the Chief Executive Officer and as may be incident to the office of Secretary of the Corporation. If the Secretary shall be unable or shall refuse to cause to be given notice of all meetings of the stockholders and special meetings of the Board of Directors, and if there be no Assistant Secretary, then the Board of Directors may choose another officer to cause such notice to be given. The Secretary shall see that all books, reports, statements certificates and other documents and records required by law to be kept or filed are properly kept or filed, as the case may be, which may be kept or filed (subject to any provision contained in the DGCL) outside the State of Delaware at such place or places as may be designated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3" w:name="page74"/>
    <w:bookmarkEnd w:id="73"/>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IV.05. </w:t>
      </w:r>
      <w:r>
        <w:rPr>
          <w:rFonts w:ascii="Times New Roman" w:cs="Times New Roman" w:eastAsia="Times New Roman" w:hAnsi="Times New Roman"/>
          <w:sz w:val="21"/>
          <w:szCs w:val="21"/>
          <w:u w:val="single" w:color="auto"/>
          <w:color w:val="auto"/>
        </w:rPr>
        <w:t>Other Officers Elected by Board of Directors</w:t>
      </w:r>
      <w:r>
        <w:rPr>
          <w:rFonts w:ascii="Times New Roman" w:cs="Times New Roman" w:eastAsia="Times New Roman" w:hAnsi="Times New Roman"/>
          <w:sz w:val="21"/>
          <w:szCs w:val="21"/>
          <w:color w:val="auto"/>
        </w:rPr>
        <w:t>. At any meeting of the Board of Directors, the Board of Directors may elect a President (who may or may not be the Chief Executive Officer), a Chief Operations Officer, Vice Presidents, Assistant Secretaries or such other officers of the Corporation as the Board of Directors may deem necessary, to serve at the pleasure of the Board of Directors. Other officers elected by the Board of Directors shall have such powers and perform such duties as may be assigned to such officers by or pursuant to authorization of the Board of Directors or by the Chief Executive Officer. Any number of offices may be held by the same person.</w:t>
      </w:r>
    </w:p>
    <w:p>
      <w:pPr>
        <w:spacing w:after="0" w:line="170"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IV.06. </w:t>
      </w:r>
      <w:r>
        <w:rPr>
          <w:rFonts w:ascii="Times New Roman" w:cs="Times New Roman" w:eastAsia="Times New Roman" w:hAnsi="Times New Roman"/>
          <w:sz w:val="21"/>
          <w:szCs w:val="21"/>
          <w:u w:val="single" w:color="auto"/>
          <w:color w:val="auto"/>
        </w:rPr>
        <w:t>Term of Office</w:t>
      </w:r>
      <w:r>
        <w:rPr>
          <w:rFonts w:ascii="Times New Roman" w:cs="Times New Roman" w:eastAsia="Times New Roman" w:hAnsi="Times New Roman"/>
          <w:sz w:val="21"/>
          <w:szCs w:val="21"/>
          <w:color w:val="auto"/>
        </w:rPr>
        <w:t>. Each officer shall hold office until his or her successor shall have been duly elected and shall have qualified or until his or her death or until he or she shall resign, but, subject to the requirements of the Certificate of Incorporation, any officer may be removed pursuant to the provisions set forth in Section 4.07.</w:t>
      </w:r>
    </w:p>
    <w:p>
      <w:pPr>
        <w:spacing w:after="0" w:line="166"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IV.07. </w:t>
      </w:r>
      <w:r>
        <w:rPr>
          <w:rFonts w:ascii="Times New Roman" w:cs="Times New Roman" w:eastAsia="Times New Roman" w:hAnsi="Times New Roman"/>
          <w:sz w:val="21"/>
          <w:szCs w:val="21"/>
          <w:u w:val="single" w:color="auto"/>
          <w:color w:val="auto"/>
        </w:rPr>
        <w:t>Removal and Resignation; Vacancies</w:t>
      </w:r>
      <w:r>
        <w:rPr>
          <w:rFonts w:ascii="Times New Roman" w:cs="Times New Roman" w:eastAsia="Times New Roman" w:hAnsi="Times New Roman"/>
          <w:sz w:val="21"/>
          <w:szCs w:val="21"/>
          <w:color w:val="auto"/>
        </w:rPr>
        <w:t>. Any officer may be removed for or without cause at any time by the Board of Directors. Any officer may resign at any time by delivering a resignation in writing or by electronic transmission, signed or given by such officer, to the Board of Directors, the Chief Executive Officer or the Secretary. Unless otherwise specified therein, such resignation shall take effect upon delivery. Any vacancy occurring in any office of the Corporation by death, resignation, removal or otherwise, shall be filled by or pursuant to authorization of the Board of Directors.</w:t>
      </w:r>
    </w:p>
    <w:p>
      <w:pPr>
        <w:spacing w:after="0" w:line="168" w:lineRule="exact"/>
        <w:rPr>
          <w:sz w:val="20"/>
          <w:szCs w:val="20"/>
          <w:color w:val="auto"/>
        </w:rPr>
      </w:pPr>
    </w:p>
    <w:p>
      <w:pPr>
        <w:jc w:val="both"/>
        <w:ind w:firstLine="1127"/>
        <w:spacing w:after="0" w:line="261" w:lineRule="auto"/>
        <w:rPr>
          <w:sz w:val="20"/>
          <w:szCs w:val="20"/>
          <w:color w:val="auto"/>
        </w:rPr>
      </w:pPr>
      <w:r>
        <w:rPr>
          <w:rFonts w:ascii="Times New Roman" w:cs="Times New Roman" w:eastAsia="Times New Roman" w:hAnsi="Times New Roman"/>
          <w:sz w:val="21"/>
          <w:szCs w:val="21"/>
          <w:color w:val="auto"/>
        </w:rPr>
        <w:t xml:space="preserve">Section IV.08. </w:t>
      </w:r>
      <w:r>
        <w:rPr>
          <w:rFonts w:ascii="Times New Roman" w:cs="Times New Roman" w:eastAsia="Times New Roman" w:hAnsi="Times New Roman"/>
          <w:sz w:val="21"/>
          <w:szCs w:val="21"/>
          <w:u w:val="single" w:color="auto"/>
          <w:color w:val="auto"/>
        </w:rPr>
        <w:t>Authority and Duties of Officers</w:t>
      </w:r>
      <w:r>
        <w:rPr>
          <w:rFonts w:ascii="Times New Roman" w:cs="Times New Roman" w:eastAsia="Times New Roman" w:hAnsi="Times New Roman"/>
          <w:sz w:val="21"/>
          <w:szCs w:val="21"/>
          <w:color w:val="auto"/>
        </w:rPr>
        <w:t>. The officers of the Corporation shall have such authority and shall exercise such powers and perform such duties as may be specified in these Bylaws or pursuant to authorization of the Board of Directors, or which generally pertain to such officer’s title and each officer shall exercise such powers and perform such duties as may be required by law.</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CAPITAL STOCK</w:t>
      </w:r>
    </w:p>
    <w:p>
      <w:pPr>
        <w:spacing w:after="0" w:line="219" w:lineRule="exact"/>
        <w:rPr>
          <w:sz w:val="20"/>
          <w:szCs w:val="20"/>
          <w:color w:val="auto"/>
        </w:rPr>
      </w:pPr>
    </w:p>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V.01. </w:t>
      </w:r>
      <w:r>
        <w:rPr>
          <w:rFonts w:ascii="Times New Roman" w:cs="Times New Roman" w:eastAsia="Times New Roman" w:hAnsi="Times New Roman"/>
          <w:sz w:val="21"/>
          <w:szCs w:val="21"/>
          <w:u w:val="single" w:color="auto"/>
          <w:color w:val="auto"/>
        </w:rPr>
        <w:t>Certificates of Stock</w:t>
      </w:r>
      <w:r>
        <w:rPr>
          <w:rFonts w:ascii="Times New Roman" w:cs="Times New Roman" w:eastAsia="Times New Roman" w:hAnsi="Times New Roman"/>
          <w:sz w:val="21"/>
          <w:szCs w:val="21"/>
          <w:color w:val="auto"/>
        </w:rPr>
        <w:t>. The Board of Directors may authorize that some or all of the shares of any or all of the Corporation’s classes or series of stock be evidenced by a certificate or certificates of stock. The Board of Directors may also authorize the issue of some or all of the shares of any or all of the Corporation’s classes or series of stock without certificates. The rights and obligations of stockholders with the same class and/or series of stock shall be identical whether or not their shares are represented by certificates.</w:t>
      </w:r>
    </w:p>
    <w:p>
      <w:pPr>
        <w:spacing w:after="0" w:line="162" w:lineRule="exact"/>
        <w:rPr>
          <w:sz w:val="20"/>
          <w:szCs w:val="20"/>
          <w:color w:val="auto"/>
        </w:rPr>
      </w:pPr>
    </w:p>
    <w:p>
      <w:pPr>
        <w:jc w:val="both"/>
        <w:ind w:firstLine="1296"/>
        <w:spacing w:after="0" w:line="252" w:lineRule="auto"/>
        <w:tabs>
          <w:tab w:leader="none" w:pos="192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with Certificates</w:t>
      </w:r>
      <w:r>
        <w:rPr>
          <w:rFonts w:ascii="Times New Roman" w:cs="Times New Roman" w:eastAsia="Times New Roman" w:hAnsi="Times New Roman"/>
          <w:sz w:val="21"/>
          <w:szCs w:val="21"/>
          <w:color w:val="auto"/>
        </w:rPr>
        <w:t>. If the Board of Directors chooses to issue shares of stock evidenced by a certificate or certificates, each individual certificate shall include the following on its face: (i) the Corporation’s name, (ii) the fact that the Corporation is organized under the laws of Delaware, (iii) the name of the person to whom the certificate is issued, (iv) the number of shares represented thereby, (v) the class of shares and the designation of the series, if any, which the certificate represents, and (vi) such other information as applicable law may require or as may be lawful. If the Corporation is authorized to issue different classes of shares or different series within a class, the designations, relative rights, preferences and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19</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21"/>
          <w:szCs w:val="21"/>
          <w:color w:val="auto"/>
        </w:rPr>
        <w:t>determined for each class or series (and the authority of the Board of Directors to determine variations for future series) shall be summarized on the front or back of each certificate. Alternatively, each certificate shall state on its front or back that the Corporation will furnish the stockholder this information in writing, without charge, upon request. Each certificate of stock issued by the Corporation shall be signed by any two officers of the Corporation. If the person who signed a certificate no longer holds office when the certificate is issued, the certificate is nonetheless valid.</w:t>
      </w:r>
    </w:p>
    <w:p>
      <w:pPr>
        <w:spacing w:after="0" w:line="162" w:lineRule="exact"/>
        <w:rPr>
          <w:sz w:val="20"/>
          <w:szCs w:val="20"/>
          <w:color w:val="auto"/>
        </w:rPr>
      </w:pPr>
    </w:p>
    <w:p>
      <w:pPr>
        <w:jc w:val="both"/>
        <w:ind w:firstLine="1296"/>
        <w:spacing w:after="0" w:line="253" w:lineRule="auto"/>
        <w:tabs>
          <w:tab w:leader="none" w:pos="192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without Certificates</w:t>
      </w:r>
      <w:r>
        <w:rPr>
          <w:rFonts w:ascii="Times New Roman" w:cs="Times New Roman" w:eastAsia="Times New Roman" w:hAnsi="Times New Roman"/>
          <w:sz w:val="21"/>
          <w:szCs w:val="21"/>
          <w:color w:val="auto"/>
        </w:rPr>
        <w:t>. If the Board of Directors chooses to issue shares of stock without certificates, the Corporation, shall, within a reasonable time after the issue or transfer of shares without certificates, send the stockholder a written notice containing the information required to be set forth or stated on certificates pursuant to the laws of the DGCL.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200" w:lineRule="exact"/>
        <w:rPr>
          <w:sz w:val="20"/>
          <w:szCs w:val="20"/>
          <w:color w:val="auto"/>
        </w:rPr>
      </w:pPr>
    </w:p>
    <w:p>
      <w:pPr>
        <w:spacing w:after="0" w:line="218" w:lineRule="exact"/>
        <w:rPr>
          <w:sz w:val="20"/>
          <w:szCs w:val="20"/>
          <w:color w:val="auto"/>
        </w:rPr>
      </w:pPr>
    </w:p>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V.02. </w:t>
      </w:r>
      <w:r>
        <w:rPr>
          <w:rFonts w:ascii="Times New Roman" w:cs="Times New Roman" w:eastAsia="Times New Roman" w:hAnsi="Times New Roman"/>
          <w:sz w:val="21"/>
          <w:szCs w:val="21"/>
          <w:u w:val="single" w:color="auto"/>
          <w:color w:val="auto"/>
        </w:rPr>
        <w:t>Signatures</w:t>
      </w:r>
      <w:r>
        <w:rPr>
          <w:rFonts w:ascii="Times New Roman" w:cs="Times New Roman" w:eastAsia="Times New Roman" w:hAnsi="Times New Roman"/>
          <w:sz w:val="21"/>
          <w:szCs w:val="21"/>
          <w:color w:val="auto"/>
        </w:rPr>
        <w:t>. All signatures on the certificate referred to in Section 5.01 of these Bylaws may be in engraved or printed form, to the extent permitted by law. In case any officer, transfer agent or registrar who has signed, or whose engraved or printed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62"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V.03. </w:t>
      </w: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 Except as provided in this Section 5.03, no new share certificates for shares shall be issued to replace a previously issued certificate unless the latter is surrendered to the Corporation and cancelled at the same time. The Corporation may direct that a new certificate be issued in place of any certificate theretofore issued by the Corporation alleged to have been lost, stolen or destroyed, upon delivery to the Corporation of an affidavit (or other document acceptable to the Corporation) of the owner or owners of such certificate, setting forth such allegation. The Corporation may require the owner of such lost, stolen or destroyed certificate, or his or her legal representative, to give the Corporation a bond (or other security, including an indemnification agreement) sufficient to indemnify it against any claim that may be made against it on account of the alleged loss, theft or destruction of any such certificate or the issuance of any such new certificate.</w:t>
      </w:r>
    </w:p>
    <w:p>
      <w:pPr>
        <w:spacing w:after="0" w:line="167"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V.04. </w:t>
      </w:r>
      <w:r>
        <w:rPr>
          <w:rFonts w:ascii="Times New Roman" w:cs="Times New Roman" w:eastAsia="Times New Roman" w:hAnsi="Times New Roman"/>
          <w:sz w:val="21"/>
          <w:szCs w:val="21"/>
          <w:u w:val="single" w:color="auto"/>
          <w:color w:val="auto"/>
        </w:rPr>
        <w:t>Transfer of Stock</w:t>
      </w:r>
      <w:r>
        <w:rPr>
          <w:rFonts w:ascii="Times New Roman" w:cs="Times New Roman" w:eastAsia="Times New Roman" w:hAnsi="Times New Roman"/>
          <w:sz w:val="21"/>
          <w:szCs w:val="21"/>
          <w:color w:val="auto"/>
        </w:rPr>
        <w:t>.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the laws of the DGCL. Subject to the provisions of the Certificate of Incorporation and these Bylaws, the Board of Directors may prescribe such additional rules and regulations as it may deem appropriate relating to the issue, transfer and registration of shares of the Corporation. Except as otherwise required by law, no transfer of stock shall be valid against the Corporation for any purpose until it shall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entered in the stock records of the Corporation by an entry showing the names of the persons from and to whom it was transferred.</w:t>
      </w:r>
    </w:p>
    <w:p>
      <w:pPr>
        <w:spacing w:after="0" w:line="215" w:lineRule="exact"/>
        <w:rPr>
          <w:sz w:val="20"/>
          <w:szCs w:val="20"/>
          <w:color w:val="auto"/>
        </w:rPr>
      </w:pPr>
    </w:p>
    <w:p>
      <w:pPr>
        <w:ind w:left="11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V.05.</w:t>
      </w:r>
      <w:r>
        <w:rPr>
          <w:sz w:val="20"/>
          <w:szCs w:val="20"/>
          <w:color w:val="auto"/>
        </w:rPr>
        <w:tab/>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ind w:right="60" w:firstLine="1296"/>
        <w:spacing w:after="0" w:line="247" w:lineRule="auto"/>
        <w:tabs>
          <w:tab w:leader="none" w:pos="15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determine the stockholders entitled to notice of any meeting of stockholders or any adjournment thereof, the Board of Directors may fix, in advance, a record date, which record date shall not precede the date on which the resolution fixing the record date is adopted by the Board of Directors, and which shall not be more than sixty (60) nor fewer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1" w:lineRule="exact"/>
        <w:rPr>
          <w:rFonts w:ascii="Times New Roman" w:cs="Times New Roman" w:eastAsia="Times New Roman" w:hAnsi="Times New Roman"/>
          <w:sz w:val="21"/>
          <w:szCs w:val="21"/>
          <w:color w:val="auto"/>
        </w:rPr>
      </w:pPr>
    </w:p>
    <w:p>
      <w:pPr>
        <w:jc w:val="both"/>
        <w:ind w:firstLine="1296"/>
        <w:spacing w:after="0" w:line="252" w:lineRule="auto"/>
        <w:tabs>
          <w:tab w:leader="none" w:pos="184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69" w:lineRule="exact"/>
        <w:rPr>
          <w:rFonts w:ascii="Times New Roman" w:cs="Times New Roman" w:eastAsia="Times New Roman" w:hAnsi="Times New Roman"/>
          <w:sz w:val="21"/>
          <w:szCs w:val="21"/>
          <w:color w:val="auto"/>
        </w:rPr>
      </w:pPr>
    </w:p>
    <w:p>
      <w:pPr>
        <w:jc w:val="both"/>
        <w:ind w:firstLine="1296"/>
        <w:spacing w:after="0" w:line="250" w:lineRule="auto"/>
        <w:tabs>
          <w:tab w:leader="none" w:pos="15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restricted by the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21</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6" w:name="page77"/>
    <w:bookmarkEnd w:id="76"/>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V.06. </w:t>
      </w:r>
      <w:r>
        <w:rPr>
          <w:rFonts w:ascii="Times New Roman" w:cs="Times New Roman" w:eastAsia="Times New Roman" w:hAnsi="Times New Roman"/>
          <w:sz w:val="21"/>
          <w:szCs w:val="21"/>
          <w:u w:val="single" w:color="auto"/>
          <w:color w:val="auto"/>
        </w:rPr>
        <w:t>Registered Stockholders</w:t>
      </w:r>
      <w:r>
        <w:rPr>
          <w:rFonts w:ascii="Times New Roman" w:cs="Times New Roman" w:eastAsia="Times New Roman" w:hAnsi="Times New Roman"/>
          <w:sz w:val="21"/>
          <w:szCs w:val="21"/>
          <w:color w:val="auto"/>
        </w:rPr>
        <w:t>. The Corporation may treat the registered owner as the person exclusively entitled to receive dividends and other distributions, to vote, to receive notice and otherwise to exercise all the rights and powers of the owner of the shares represented by such certificate.</w:t>
      </w:r>
    </w:p>
    <w:p>
      <w:pPr>
        <w:spacing w:after="0" w:line="153"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V.07. </w:t>
      </w:r>
      <w:r>
        <w:rPr>
          <w:rFonts w:ascii="Times New Roman" w:cs="Times New Roman" w:eastAsia="Times New Roman" w:hAnsi="Times New Roman"/>
          <w:sz w:val="21"/>
          <w:szCs w:val="21"/>
          <w:u w:val="single" w:color="auto"/>
          <w:color w:val="auto"/>
        </w:rPr>
        <w:t>Transfer Agent and Registrar</w:t>
      </w:r>
      <w:r>
        <w:rPr>
          <w:rFonts w:ascii="Times New Roman" w:cs="Times New Roman" w:eastAsia="Times New Roman" w:hAnsi="Times New Roman"/>
          <w:sz w:val="21"/>
          <w:szCs w:val="21"/>
          <w:color w:val="auto"/>
        </w:rPr>
        <w:t>. The Board of Directors may appoint one (1) or more transfer agents and one (1) or more registrars, and may require all certificates representing shares to bear the signature of any such transfer agents or registrars.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INDEMNIFICATION</w:t>
      </w:r>
    </w:p>
    <w:p>
      <w:pPr>
        <w:spacing w:after="0" w:line="23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VI.01. </w:t>
      </w:r>
      <w:r>
        <w:rPr>
          <w:rFonts w:ascii="Times New Roman" w:cs="Times New Roman" w:eastAsia="Times New Roman" w:hAnsi="Times New Roman"/>
          <w:sz w:val="21"/>
          <w:szCs w:val="21"/>
          <w:u w:val="single" w:color="auto"/>
          <w:color w:val="auto"/>
        </w:rPr>
        <w:t>Indemnification and Advancement of Expenses</w:t>
      </w:r>
      <w:r>
        <w:rPr>
          <w:rFonts w:ascii="Times New Roman" w:cs="Times New Roman" w:eastAsia="Times New Roman" w:hAnsi="Times New Roman"/>
          <w:sz w:val="21"/>
          <w:szCs w:val="21"/>
          <w:color w:val="auto"/>
        </w:rPr>
        <w:t>. The Corporation shall indemnify and provide advancement to any Indemnitee (as defined below) to the fullest extent permitted by law, as such may be amended from time to time. The rights to indemnification and advancement conferred in this Section shall be contract rights. In furtherance of the foregoing indemnification and advancement obligations, and without limiting the generality thereof:</w:t>
      </w:r>
    </w:p>
    <w:p>
      <w:pPr>
        <w:spacing w:after="0" w:line="160" w:lineRule="exact"/>
        <w:rPr>
          <w:sz w:val="20"/>
          <w:szCs w:val="20"/>
          <w:color w:val="auto"/>
        </w:rPr>
      </w:pPr>
    </w:p>
    <w:p>
      <w:pPr>
        <w:jc w:val="both"/>
        <w:ind w:firstLine="1296"/>
        <w:spacing w:after="0" w:line="248" w:lineRule="auto"/>
        <w:tabs>
          <w:tab w:leader="none" w:pos="192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Other Than Proceedings by or in the Right of the Corporation</w:t>
      </w:r>
      <w:r>
        <w:rPr>
          <w:rFonts w:ascii="Times New Roman" w:cs="Times New Roman" w:eastAsia="Times New Roman" w:hAnsi="Times New Roman"/>
          <w:sz w:val="21"/>
          <w:szCs w:val="21"/>
          <w:color w:val="auto"/>
        </w:rPr>
        <w:t xml:space="preserve">. Any Indemnitee shall be entitled to the rights of indemnification and advancement provided in this Section 6.01(a) if, by reason of his or her Corporate Status (as defined below), Indemnitee is, or is threatened to be made, a party to or participant in any Proceeding other than a Proceeding by or in the right of the Corporation. Pursuant to this Section 6.01(a), any Indemnitee shall be indemnified against all Expenses,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2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by or in the Right of the Corporation</w:t>
      </w:r>
      <w:r>
        <w:rPr>
          <w:rFonts w:ascii="Times New Roman" w:cs="Times New Roman" w:eastAsia="Times New Roman" w:hAnsi="Times New Roman"/>
          <w:sz w:val="21"/>
          <w:szCs w:val="21"/>
          <w:color w:val="auto"/>
        </w:rPr>
        <w:t xml:space="preserve">. Any Indemnitee shall be entitled to the rights of indemnification and advancement provided in this Section 6.01(b) if, by reason of his or her Corporate Status, Indemnitee is, or is threatened to be made, a party to or participant in any Proceeding brought by or in the right of the Corporation. Pursuant to this Section 6.01(b),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if applicable law so provides, no indemnification against such Expenses shall be made in respect of any claim, issue or matter in such Proceeding as to which Indemnitee shall have been finally adjudged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7" w:name="page78"/>
    <w:bookmarkEnd w:id="77"/>
    <w:p>
      <w:pPr>
        <w:spacing w:after="0" w:line="277" w:lineRule="auto"/>
        <w:rPr>
          <w:sz w:val="20"/>
          <w:szCs w:val="20"/>
          <w:color w:val="auto"/>
        </w:rPr>
      </w:pPr>
      <w:r>
        <w:rPr>
          <w:rFonts w:ascii="Times New Roman" w:cs="Times New Roman" w:eastAsia="Times New Roman" w:hAnsi="Times New Roman"/>
          <w:sz w:val="21"/>
          <w:szCs w:val="21"/>
          <w:color w:val="auto"/>
        </w:rPr>
        <w:t>liable to the Corporation unless and to the extent that the Court of Chancery of the State of Delaware or the court in which such Proceeding was brought shall determine that such indemnification may be made.</w:t>
      </w:r>
    </w:p>
    <w:p>
      <w:pPr>
        <w:spacing w:after="0" w:line="154" w:lineRule="exact"/>
        <w:rPr>
          <w:sz w:val="20"/>
          <w:szCs w:val="20"/>
          <w:color w:val="auto"/>
        </w:rPr>
      </w:pPr>
    </w:p>
    <w:p>
      <w:pPr>
        <w:jc w:val="both"/>
        <w:ind w:firstLine="1296"/>
        <w:spacing w:after="0" w:line="247" w:lineRule="auto"/>
        <w:tabs>
          <w:tab w:leader="none" w:pos="192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Sources</w:t>
      </w:r>
      <w:r>
        <w:rPr>
          <w:rFonts w:ascii="Times New Roman" w:cs="Times New Roman" w:eastAsia="Times New Roman" w:hAnsi="Times New Roman"/>
          <w:sz w:val="21"/>
          <w:szCs w:val="21"/>
          <w:color w:val="auto"/>
        </w:rPr>
        <w:t>. The Corporation hereby acknowledges that Indemnitees may have certain rights to indemnification, advancement of expenses and/or insurance provided by sources other than the Corporation (“</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Indemnitors</w:t>
      </w:r>
      <w:r>
        <w:rPr>
          <w:rFonts w:ascii="Times New Roman" w:cs="Times New Roman" w:eastAsia="Times New Roman" w:hAnsi="Times New Roman"/>
          <w:sz w:val="21"/>
          <w:szCs w:val="21"/>
          <w:color w:val="auto"/>
        </w:rPr>
        <w:t>”). The Corporation hereby agrees (i) that it is the indemnitor of first resort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its obligations to the Indemnitees are primary and any obligation of the Third Party Indemnitors to advance expenses or to provide indemnification for the same expenses or liabilities incurred by the Indemnitees are secondary), (ii) that it shall be required to advance the full amount of Expenses incurred by the Indemnitees and shall be liable for the full amount of all Expenses, judgments, penalties, fines and amounts paid in settlement by reason of such Indemnitee’s Corporate Status to the extent legally permitted and as required by the terms of this paragraph and the Bylaws of the Corporation from time to time (or any other agreement between the Corporation and the Indemnitees), without regard to any rights the Indemnitees may have against the Third Party Indemnitors, and (iii) that it irrevocably waives, relinquishes and releases the Third Party Indemnitors from any and all claims against the Third Party Indemnitors for contribution, subrogation or any other recovery of any kind in respect thereof. The Corporation further agrees that no advancement or payment by the Third Party Indemnitors on behalf of the Indemnitees with respect to any claim for which the Indemnitees have sought indemnification from the Corporation shall affect the foregoing and the Third Party Indemnitors shall have a right of contribution and/or to be subrogated to the extent of such advancement or payment to all of the rights of recovery of the Indemnitees against the Corporation. The Corporation and the Indemnitees agree that the Third Party Indemnitors are express third party beneficiaries of the terms of this paragraph.</w:t>
      </w:r>
    </w:p>
    <w:p>
      <w:pPr>
        <w:spacing w:after="0" w:line="184" w:lineRule="exact"/>
        <w:rPr>
          <w:sz w:val="20"/>
          <w:szCs w:val="20"/>
          <w:color w:val="auto"/>
        </w:rPr>
      </w:pPr>
    </w:p>
    <w:p>
      <w:pPr>
        <w:jc w:val="both"/>
        <w:ind w:firstLine="1208"/>
        <w:spacing w:after="0" w:line="250" w:lineRule="auto"/>
        <w:rPr>
          <w:sz w:val="20"/>
          <w:szCs w:val="20"/>
          <w:color w:val="auto"/>
        </w:rPr>
      </w:pPr>
      <w:r>
        <w:rPr>
          <w:rFonts w:ascii="Times New Roman" w:cs="Times New Roman" w:eastAsia="Times New Roman" w:hAnsi="Times New Roman"/>
          <w:sz w:val="21"/>
          <w:szCs w:val="21"/>
          <w:color w:val="auto"/>
        </w:rPr>
        <w:t xml:space="preserve">Section VI.02. </w:t>
      </w:r>
      <w:r>
        <w:rPr>
          <w:rFonts w:ascii="Times New Roman" w:cs="Times New Roman" w:eastAsia="Times New Roman" w:hAnsi="Times New Roman"/>
          <w:sz w:val="21"/>
          <w:szCs w:val="21"/>
          <w:u w:val="single" w:color="auto"/>
          <w:color w:val="auto"/>
        </w:rPr>
        <w:t>Indemnification for Expenses of a Party Who is Wholly or Partly Successful</w:t>
      </w:r>
      <w:r>
        <w:rPr>
          <w:rFonts w:ascii="Times New Roman" w:cs="Times New Roman" w:eastAsia="Times New Roman" w:hAnsi="Times New Roman"/>
          <w:sz w:val="21"/>
          <w:szCs w:val="21"/>
          <w:color w:val="auto"/>
        </w:rPr>
        <w:t>. Notwithstanding any other provision of this Article VI,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 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6.02 and without limitation, the termination of any claim, issue or matter in such a Proceeding by dismissal, with or without prejudice, shall be deemed to be a successful result as to such claim, issue or matter.</w:t>
      </w:r>
    </w:p>
    <w:p>
      <w:pPr>
        <w:spacing w:after="0" w:line="200" w:lineRule="exact"/>
        <w:rPr>
          <w:sz w:val="20"/>
          <w:szCs w:val="20"/>
          <w:color w:val="auto"/>
        </w:rPr>
      </w:pPr>
    </w:p>
    <w:p>
      <w:pPr>
        <w:spacing w:after="0" w:line="220" w:lineRule="exact"/>
        <w:rPr>
          <w:sz w:val="20"/>
          <w:szCs w:val="20"/>
          <w:color w:val="auto"/>
        </w:rPr>
      </w:pPr>
    </w:p>
    <w:p>
      <w:pPr>
        <w:jc w:val="both"/>
        <w:ind w:firstLine="1208"/>
        <w:spacing w:after="0" w:line="256" w:lineRule="auto"/>
        <w:rPr>
          <w:sz w:val="20"/>
          <w:szCs w:val="20"/>
          <w:color w:val="auto"/>
        </w:rPr>
      </w:pPr>
      <w:r>
        <w:rPr>
          <w:rFonts w:ascii="Times New Roman" w:cs="Times New Roman" w:eastAsia="Times New Roman" w:hAnsi="Times New Roman"/>
          <w:sz w:val="21"/>
          <w:szCs w:val="21"/>
          <w:color w:val="auto"/>
        </w:rPr>
        <w:t xml:space="preserve">Section VI.03. </w:t>
      </w:r>
      <w:r>
        <w:rPr>
          <w:rFonts w:ascii="Times New Roman" w:cs="Times New Roman" w:eastAsia="Times New Roman" w:hAnsi="Times New Roman"/>
          <w:sz w:val="21"/>
          <w:szCs w:val="21"/>
          <w:u w:val="single" w:color="auto"/>
          <w:color w:val="auto"/>
        </w:rPr>
        <w:t>Employees and Agents</w:t>
      </w:r>
      <w:r>
        <w:rPr>
          <w:rFonts w:ascii="Times New Roman" w:cs="Times New Roman" w:eastAsia="Times New Roman" w:hAnsi="Times New Roman"/>
          <w:sz w:val="21"/>
          <w:szCs w:val="21"/>
          <w:color w:val="auto"/>
        </w:rPr>
        <w:t>. This Article VI shall not limit the right of the Corporation, to the extent and in the manner permitted by law, to indemnify and to advance expenses to persons other than Indemnitees when and as authorized by appropriate corporate action. Without limiting the generality of the foregoing, the Corporation may, to the extent authorized from time to time by the Board of Directors, provide rights to indemnification and advancement of expenses to employees and agents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23</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8" w:name="page79"/>
    <w:bookmarkEnd w:id="78"/>
    <w:p>
      <w:pPr>
        <w:jc w:val="both"/>
        <w:ind w:firstLine="1208"/>
        <w:spacing w:after="0" w:line="249" w:lineRule="auto"/>
        <w:rPr>
          <w:sz w:val="20"/>
          <w:szCs w:val="20"/>
          <w:color w:val="auto"/>
        </w:rPr>
      </w:pPr>
      <w:r>
        <w:rPr>
          <w:rFonts w:ascii="Times New Roman" w:cs="Times New Roman" w:eastAsia="Times New Roman" w:hAnsi="Times New Roman"/>
          <w:sz w:val="21"/>
          <w:szCs w:val="21"/>
          <w:color w:val="auto"/>
        </w:rPr>
        <w:t xml:space="preserve">Section VI.04. </w:t>
      </w:r>
      <w:r>
        <w:rPr>
          <w:rFonts w:ascii="Times New Roman" w:cs="Times New Roman" w:eastAsia="Times New Roman" w:hAnsi="Times New Roman"/>
          <w:sz w:val="21"/>
          <w:szCs w:val="21"/>
          <w:u w:val="single" w:color="auto"/>
          <w:color w:val="auto"/>
        </w:rPr>
        <w:t>Advancement of Expenses</w:t>
      </w:r>
      <w:r>
        <w:rPr>
          <w:rFonts w:ascii="Times New Roman" w:cs="Times New Roman" w:eastAsia="Times New Roman" w:hAnsi="Times New Roman"/>
          <w:sz w:val="21"/>
          <w:szCs w:val="21"/>
          <w:color w:val="auto"/>
        </w:rPr>
        <w:t>. Notwithstanding any other provision of this Article VI,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6.04 shall be unsecured and interest free.</w:t>
      </w:r>
    </w:p>
    <w:p>
      <w:pPr>
        <w:spacing w:after="0" w:line="188" w:lineRule="exact"/>
        <w:rPr>
          <w:sz w:val="20"/>
          <w:szCs w:val="20"/>
          <w:color w:val="auto"/>
        </w:rPr>
      </w:pPr>
    </w:p>
    <w:p>
      <w:pPr>
        <w:jc w:val="both"/>
        <w:ind w:firstLine="1208"/>
        <w:spacing w:after="0" w:line="252" w:lineRule="auto"/>
        <w:rPr>
          <w:sz w:val="20"/>
          <w:szCs w:val="20"/>
          <w:color w:val="auto"/>
        </w:rPr>
      </w:pPr>
      <w:r>
        <w:rPr>
          <w:rFonts w:ascii="Times New Roman" w:cs="Times New Roman" w:eastAsia="Times New Roman" w:hAnsi="Times New Roman"/>
          <w:sz w:val="21"/>
          <w:szCs w:val="21"/>
          <w:color w:val="auto"/>
        </w:rPr>
        <w:t xml:space="preserve">Section VI.05. </w:t>
      </w:r>
      <w:r>
        <w:rPr>
          <w:rFonts w:ascii="Times New Roman" w:cs="Times New Roman" w:eastAsia="Times New Roman" w:hAnsi="Times New Roman"/>
          <w:sz w:val="21"/>
          <w:szCs w:val="21"/>
          <w:u w:val="single" w:color="auto"/>
          <w:color w:val="auto"/>
        </w:rPr>
        <w:t>Non-Exclusivity</w:t>
      </w:r>
      <w:r>
        <w:rPr>
          <w:rFonts w:ascii="Times New Roman" w:cs="Times New Roman" w:eastAsia="Times New Roman" w:hAnsi="Times New Roman"/>
          <w:sz w:val="21"/>
          <w:szCs w:val="21"/>
          <w:color w:val="auto"/>
        </w:rPr>
        <w:t>. The rights to indemnification and to the payment of Expenses incurred in defending a Proceeding in advance of the final disposition of such Proceeding conferred in this Article VI shall not be exclusive of any other rights which any person may have or hereafter acquire under applicable law, the Certificate of Incorporation, these Bylaws, any agreement, vote of stockholders, resolution of directors or otherwise. The assertion or employment of any right or remedy in this Article VI, or otherwise, shall not prevent the concurrent assertion or employment of any other right or remedy.</w:t>
      </w:r>
    </w:p>
    <w:p>
      <w:pPr>
        <w:spacing w:after="0" w:line="168" w:lineRule="exact"/>
        <w:rPr>
          <w:sz w:val="20"/>
          <w:szCs w:val="20"/>
          <w:color w:val="auto"/>
        </w:rPr>
      </w:pPr>
    </w:p>
    <w:p>
      <w:pPr>
        <w:jc w:val="both"/>
        <w:ind w:firstLine="1208"/>
        <w:spacing w:after="0" w:line="251" w:lineRule="auto"/>
        <w:rPr>
          <w:sz w:val="20"/>
          <w:szCs w:val="20"/>
          <w:color w:val="auto"/>
        </w:rPr>
      </w:pPr>
      <w:r>
        <w:rPr>
          <w:rFonts w:ascii="Times New Roman" w:cs="Times New Roman" w:eastAsia="Times New Roman" w:hAnsi="Times New Roman"/>
          <w:sz w:val="21"/>
          <w:szCs w:val="21"/>
          <w:color w:val="auto"/>
        </w:rPr>
        <w:t xml:space="preserve">Section VI.06.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Corporation shall have the power to purchase and maintain insurance, at its expense, to the fullest extent permitted by law, as such may be amended from time to time. Without limiting the generality of the foregoing, the Corporation shall have the power to purchase and maintain insurance on behalf of any person who is or was or has agreed to become a director, officer, employee or agent of the Corporation, or who is serving, was serving, or has agreed to serve at the request of the Corporation as a director, officer, trustee, general partner, managing member, fiduciary, employee or agent of any other Enterprise,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200" w:lineRule="exact"/>
        <w:rPr>
          <w:sz w:val="20"/>
          <w:szCs w:val="20"/>
          <w:color w:val="auto"/>
        </w:rPr>
      </w:pPr>
    </w:p>
    <w:p>
      <w:pPr>
        <w:spacing w:after="0" w:line="233" w:lineRule="exact"/>
        <w:rPr>
          <w:sz w:val="20"/>
          <w:szCs w:val="20"/>
          <w:color w:val="auto"/>
        </w:rPr>
      </w:pPr>
    </w:p>
    <w:p>
      <w:pPr>
        <w:jc w:val="both"/>
        <w:ind w:firstLine="1208"/>
        <w:spacing w:after="0" w:line="248" w:lineRule="auto"/>
        <w:rPr>
          <w:sz w:val="20"/>
          <w:szCs w:val="20"/>
          <w:color w:val="auto"/>
        </w:rPr>
      </w:pPr>
      <w:r>
        <w:rPr>
          <w:rFonts w:ascii="Times New Roman" w:cs="Times New Roman" w:eastAsia="Times New Roman" w:hAnsi="Times New Roman"/>
          <w:sz w:val="21"/>
          <w:szCs w:val="21"/>
          <w:color w:val="auto"/>
        </w:rPr>
        <w:t xml:space="preserve">Section VI.07. </w:t>
      </w:r>
      <w:r>
        <w:rPr>
          <w:rFonts w:ascii="Times New Roman" w:cs="Times New Roman" w:eastAsia="Times New Roman" w:hAnsi="Times New Roman"/>
          <w:sz w:val="21"/>
          <w:szCs w:val="21"/>
          <w:u w:val="single" w:color="auto"/>
          <w:color w:val="auto"/>
        </w:rPr>
        <w:t>Indemnification and Advancement</w:t>
      </w:r>
      <w:r>
        <w:rPr>
          <w:rFonts w:ascii="Times New Roman" w:cs="Times New Roman" w:eastAsia="Times New Roman" w:hAnsi="Times New Roman"/>
          <w:sz w:val="21"/>
          <w:szCs w:val="21"/>
          <w:color w:val="auto"/>
        </w:rPr>
        <w:t>. The Corporation shall indemnify, advance expenses to and hold harmless, to the fullest extent permitted by applicable law as it presently exists or may hereafter be amended, any person (Indemnitee)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or officer of the Corporation, or by reason of the fact that Indemnitee is or was serving at the request of the Corporation as a director, officer, trustee, general partner, managing member, fiduciary, employee or agent of any other Enterprise, in each case whether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24</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9" w:name="page80"/>
    <w:bookmarkEnd w:id="79"/>
    <w:p>
      <w:pPr>
        <w:jc w:val="both"/>
        <w:spacing w:after="0" w:line="277" w:lineRule="auto"/>
        <w:rPr>
          <w:sz w:val="20"/>
          <w:szCs w:val="20"/>
          <w:color w:val="auto"/>
        </w:rPr>
      </w:pPr>
      <w:r>
        <w:rPr>
          <w:rFonts w:ascii="Times New Roman" w:cs="Times New Roman" w:eastAsia="Times New Roman" w:hAnsi="Times New Roman"/>
          <w:sz w:val="21"/>
          <w:szCs w:val="21"/>
          <w:color w:val="auto"/>
        </w:rPr>
        <w:t>not serving in such capacity at the time any liability or expense is incurred for which indemnification, reimbursement, or advancement of expenses can be provided under this Section 6.07.</w:t>
      </w:r>
    </w:p>
    <w:p>
      <w:pPr>
        <w:spacing w:after="0" w:line="154" w:lineRule="exact"/>
        <w:rPr>
          <w:sz w:val="20"/>
          <w:szCs w:val="20"/>
          <w:color w:val="auto"/>
        </w:rPr>
      </w:pPr>
    </w:p>
    <w:p>
      <w:pPr>
        <w:jc w:val="both"/>
        <w:ind w:firstLine="1208"/>
        <w:spacing w:after="0" w:line="265" w:lineRule="auto"/>
        <w:rPr>
          <w:sz w:val="20"/>
          <w:szCs w:val="20"/>
          <w:color w:val="auto"/>
        </w:rPr>
      </w:pPr>
      <w:r>
        <w:rPr>
          <w:rFonts w:ascii="Times New Roman" w:cs="Times New Roman" w:eastAsia="Times New Roman" w:hAnsi="Times New Roman"/>
          <w:sz w:val="21"/>
          <w:szCs w:val="21"/>
          <w:color w:val="auto"/>
        </w:rPr>
        <w:t xml:space="preserve">Section VI.08. </w:t>
      </w:r>
      <w:r>
        <w:rPr>
          <w:rFonts w:ascii="Times New Roman" w:cs="Times New Roman" w:eastAsia="Times New Roman" w:hAnsi="Times New Roman"/>
          <w:sz w:val="21"/>
          <w:szCs w:val="21"/>
          <w:u w:val="single" w:color="auto"/>
          <w:color w:val="auto"/>
        </w:rPr>
        <w:t>Exception to Rights of Indemnification and Advancement</w:t>
      </w:r>
      <w:r>
        <w:rPr>
          <w:rFonts w:ascii="Times New Roman" w:cs="Times New Roman" w:eastAsia="Times New Roman" w:hAnsi="Times New Roman"/>
          <w:sz w:val="21"/>
          <w:szCs w:val="21"/>
          <w:color w:val="auto"/>
        </w:rPr>
        <w:t>. Notwithstanding any provision in this Article VI, the Corporation shall not be obligated by this Article VI to make any indemnity or advancement in connection with any claim made against an Indemnitee:</w:t>
      </w:r>
    </w:p>
    <w:p>
      <w:pPr>
        <w:spacing w:after="0" w:line="153" w:lineRule="exact"/>
        <w:rPr>
          <w:sz w:val="20"/>
          <w:szCs w:val="20"/>
          <w:color w:val="auto"/>
        </w:rPr>
      </w:pPr>
    </w:p>
    <w:p>
      <w:pPr>
        <w:jc w:val="both"/>
        <w:ind w:firstLine="1296"/>
        <w:spacing w:after="0" w:line="265" w:lineRule="auto"/>
        <w:tabs>
          <w:tab w:leader="none" w:pos="192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6.01(c), for which payment has actually been made to or on behalf of such Indemnitee under any insurance policy or other indemnity provision, except with respect to any excess beyond the amount paid under any insurance policy or other indemnity provision;</w:t>
      </w:r>
    </w:p>
    <w:p>
      <w:pPr>
        <w:spacing w:after="0" w:line="152"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52"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52"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2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such Proceeding’s initiation, the Board of Directors authorized such Proceeding (or any part of such Proceeding), (ii) the Corporation provides the indemnification or advancement, in its sole discretion, pursuant to the powers vested in the Corporation under applicable law, or (iii) the Proceeding is one to enforce such Indemnitee’s rights under this Article VI, Section 12 of the Certificate of Incorporation, or any other indemnification, advancement or exculpation rights to which Indemnitee may at any time be entitled under applicable law or any agreement.</w:t>
      </w:r>
    </w:p>
    <w:p>
      <w:pPr>
        <w:spacing w:after="0" w:line="200" w:lineRule="exact"/>
        <w:rPr>
          <w:sz w:val="20"/>
          <w:szCs w:val="20"/>
          <w:color w:val="auto"/>
        </w:rPr>
      </w:pPr>
    </w:p>
    <w:p>
      <w:pPr>
        <w:spacing w:after="0" w:line="233" w:lineRule="exact"/>
        <w:rPr>
          <w:sz w:val="20"/>
          <w:szCs w:val="20"/>
          <w:color w:val="auto"/>
        </w:rPr>
      </w:pPr>
    </w:p>
    <w:p>
      <w:pPr>
        <w:ind w:left="1460"/>
        <w:spacing w:after="0"/>
        <w:tabs>
          <w:tab w:leader="none" w:pos="3200" w:val="left"/>
        </w:tabs>
        <w:rPr>
          <w:sz w:val="20"/>
          <w:szCs w:val="20"/>
          <w:color w:val="auto"/>
        </w:rPr>
      </w:pPr>
      <w:r>
        <w:rPr>
          <w:rFonts w:ascii="Times New Roman" w:cs="Times New Roman" w:eastAsia="Times New Roman" w:hAnsi="Times New Roman"/>
          <w:sz w:val="21"/>
          <w:szCs w:val="21"/>
          <w:color w:val="auto"/>
        </w:rPr>
        <w:t>Section VI.09.</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Article VI:</w:t>
      </w:r>
    </w:p>
    <w:p>
      <w:pPr>
        <w:spacing w:after="0" w:line="215" w:lineRule="exact"/>
        <w:rPr>
          <w:sz w:val="20"/>
          <w:szCs w:val="20"/>
          <w:color w:val="auto"/>
        </w:rPr>
      </w:pPr>
    </w:p>
    <w:p>
      <w:pPr>
        <w:jc w:val="both"/>
        <w:ind w:firstLine="1296"/>
        <w:spacing w:after="0" w:line="257" w:lineRule="auto"/>
        <w:tabs>
          <w:tab w:leader="none" w:pos="192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Corporate Status</w:t>
      </w:r>
      <w:r>
        <w:rPr>
          <w:rFonts w:ascii="Times New Roman" w:cs="Times New Roman" w:eastAsia="Times New Roman" w:hAnsi="Times New Roman"/>
          <w:sz w:val="21"/>
          <w:szCs w:val="21"/>
          <w:color w:val="auto"/>
        </w:rPr>
        <w:t>” describes the status of an individual who is or was or has agreed to become a director or officer of the Corporation or while an officer or director of the Corporation who is serving, was serving, or has agreed to serve at the request of the Corporation as a director, officer, trustee, general partner, managing member, fiduciary, employee or agent of any other Enterprise.</w:t>
      </w:r>
    </w:p>
    <w:p>
      <w:pPr>
        <w:spacing w:after="0" w:line="173" w:lineRule="exact"/>
        <w:rPr>
          <w:rFonts w:ascii="Times New Roman" w:cs="Times New Roman" w:eastAsia="Times New Roman" w:hAnsi="Times New Roman"/>
          <w:sz w:val="21"/>
          <w:szCs w:val="21"/>
          <w:color w:val="auto"/>
        </w:rPr>
      </w:pPr>
    </w:p>
    <w:p>
      <w:pPr>
        <w:jc w:val="both"/>
        <w:ind w:firstLine="1296"/>
        <w:spacing w:after="0" w:line="252" w:lineRule="auto"/>
        <w:tabs>
          <w:tab w:leader="none" w:pos="192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Enterprise</w:t>
      </w:r>
      <w:r>
        <w:rPr>
          <w:rFonts w:ascii="Times New Roman" w:cs="Times New Roman" w:eastAsia="Times New Roman" w:hAnsi="Times New Roman"/>
          <w:sz w:val="21"/>
          <w:szCs w:val="21"/>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25</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0" w:name="page81"/>
    <w:bookmarkEnd w:id="80"/>
    <w:p>
      <w:pPr>
        <w:jc w:val="both"/>
        <w:ind w:firstLine="1296"/>
        <w:spacing w:after="0" w:line="249" w:lineRule="auto"/>
        <w:tabs>
          <w:tab w:leader="none" w:pos="192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supersedes bond, or other appeal bond or its equivalent.</w:t>
      </w:r>
    </w:p>
    <w:p>
      <w:pPr>
        <w:spacing w:after="0" w:line="169"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means any current or former director or officer of the Corporation; and</w:t>
      </w:r>
    </w:p>
    <w:p>
      <w:pPr>
        <w:spacing w:after="0" w:line="228" w:lineRule="exact"/>
        <w:rPr>
          <w:rFonts w:ascii="Times New Roman" w:cs="Times New Roman" w:eastAsia="Times New Roman" w:hAnsi="Times New Roman"/>
          <w:sz w:val="21"/>
          <w:szCs w:val="21"/>
          <w:color w:val="auto"/>
        </w:rPr>
      </w:pPr>
    </w:p>
    <w:p>
      <w:pPr>
        <w:jc w:val="both"/>
        <w:ind w:firstLine="1296"/>
        <w:spacing w:after="0" w:line="248" w:lineRule="auto"/>
        <w:tabs>
          <w:tab w:leader="none" w:pos="192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shall include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of Indemnitee’s Corporate Status, by reason of any action (or failure to act) taken by him or of any action (or failure to act) on his part while acting pursuant to his Corporate Status, whether or not serving in such capacity at the time any liability or expense is incurred for which indemnification, reimbursement, or advancement of expenses can be provided under this Article VI. If the Indemnitee believes in good faith that a given situation may lead to or culminate in the institution of a Proceeding, this shall be considered a Proceeding under this Article VI.</w:t>
      </w:r>
    </w:p>
    <w:p>
      <w:pPr>
        <w:spacing w:after="0" w:line="189"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VI.10. </w:t>
      </w:r>
      <w:r>
        <w:rPr>
          <w:rFonts w:ascii="Times New Roman" w:cs="Times New Roman" w:eastAsia="Times New Roman" w:hAnsi="Times New Roman"/>
          <w:sz w:val="21"/>
          <w:szCs w:val="21"/>
          <w:u w:val="single" w:color="auto"/>
          <w:color w:val="auto"/>
        </w:rPr>
        <w:t>Right of Indemnitee to Bring Suit</w:t>
      </w:r>
      <w:r>
        <w:rPr>
          <w:rFonts w:ascii="Times New Roman" w:cs="Times New Roman" w:eastAsia="Times New Roman" w:hAnsi="Times New Roman"/>
          <w:sz w:val="21"/>
          <w:szCs w:val="21"/>
          <w:color w:val="auto"/>
        </w:rPr>
        <w:t>. If a claim under this Article VI is not paid in full by the Corporation within ninety (90) days after a written claim has been received by the Corporation, Indemnitee may at any time thereafter bring suit against the Corporation in the Court of Chancery of the State of Delaware or any other court of competent jurisdiction in the State of Delaware to recover the unpaid amount of the claim. In any such action, the Corporation shall have the burden of proving that Indemnitee was not entitled to the requested indemnification, advancement or payment of Expenses. It shall be a defense to any such action (other than an action brought to enforce a claim for Expenses incurred in defending any proceeding in advance of its final disposition where the required undertaking, if any is required, has been tendered to the Corporation) that Indemnitee has not met the standards of conduct which make it permissible under these Bylaws, the Certificate of Incorporation or the DGCL for the Corporation to indemnify Indemnitee for the amount claimed. Neither the failure of the Corporation (including its Board of Directors, independent legal counsel, or its stockholders) to have made a determination prior to the commencement of such action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1" w:name="page82"/>
    <w:bookmarkEnd w:id="81"/>
    <w:p>
      <w:pPr>
        <w:jc w:val="both"/>
        <w:spacing w:after="0" w:line="252" w:lineRule="auto"/>
        <w:rPr>
          <w:sz w:val="20"/>
          <w:szCs w:val="20"/>
          <w:color w:val="auto"/>
        </w:rPr>
      </w:pPr>
      <w:r>
        <w:rPr>
          <w:rFonts w:ascii="Times New Roman" w:cs="Times New Roman" w:eastAsia="Times New Roman" w:hAnsi="Times New Roman"/>
          <w:sz w:val="21"/>
          <w:szCs w:val="21"/>
          <w:color w:val="auto"/>
        </w:rPr>
        <w:t>indemnification or advancement is proper in the circumstances because Indemnitee has met the applicable standard of conduct set forth in these Bylaws, the Certificate of Incorporation or the DGCL, nor an actual determination by the Corporation (including its Board of Directors, independent legal counsel, or its stockholders) that Indemnitee has not met such applicable standard of conduct, shall be a defense to the action or create a presumption that Indemnitee has not met any applicable standard of conduct. If successful, in whole or in part, Indemnitee shall also be entitled to be paid the Expenses of prosecuting such action to the fullest extent permitted by law.</w:t>
      </w:r>
    </w:p>
    <w:p>
      <w:pPr>
        <w:spacing w:after="0" w:line="170"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VI.11. </w:t>
      </w:r>
      <w:r>
        <w:rPr>
          <w:rFonts w:ascii="Times New Roman" w:cs="Times New Roman" w:eastAsia="Times New Roman" w:hAnsi="Times New Roman"/>
          <w:sz w:val="21"/>
          <w:szCs w:val="21"/>
          <w:u w:val="single" w:color="auto"/>
          <w:color w:val="auto"/>
        </w:rPr>
        <w:t>Survival of Indemnification and Advancement of Expenses</w:t>
      </w:r>
      <w:r>
        <w:rPr>
          <w:rFonts w:ascii="Times New Roman" w:cs="Times New Roman" w:eastAsia="Times New Roman" w:hAnsi="Times New Roman"/>
          <w:sz w:val="21"/>
          <w:szCs w:val="21"/>
          <w:color w:val="auto"/>
        </w:rPr>
        <w:t>. The indemnification and advancement of expenses provided by, or granted pursuant to, this Article VI shall continue as to a person who has ceased to be a director or officer and shall inure to the benefit of the heirs, executors and administrators of such a person.</w:t>
      </w:r>
    </w:p>
    <w:p>
      <w:pPr>
        <w:spacing w:after="0" w:line="166" w:lineRule="exact"/>
        <w:rPr>
          <w:sz w:val="20"/>
          <w:szCs w:val="20"/>
          <w:color w:val="auto"/>
        </w:rPr>
      </w:pPr>
    </w:p>
    <w:p>
      <w:pPr>
        <w:jc w:val="both"/>
        <w:ind w:firstLine="1127"/>
        <w:spacing w:after="0" w:line="258" w:lineRule="auto"/>
        <w:rPr>
          <w:sz w:val="20"/>
          <w:szCs w:val="20"/>
          <w:color w:val="auto"/>
        </w:rPr>
      </w:pPr>
      <w:r>
        <w:rPr>
          <w:rFonts w:ascii="Times New Roman" w:cs="Times New Roman" w:eastAsia="Times New Roman" w:hAnsi="Times New Roman"/>
          <w:sz w:val="21"/>
          <w:szCs w:val="21"/>
          <w:color w:val="auto"/>
        </w:rPr>
        <w:t xml:space="preserve">Section VI.12. </w:t>
      </w:r>
      <w:r>
        <w:rPr>
          <w:rFonts w:ascii="Times New Roman" w:cs="Times New Roman" w:eastAsia="Times New Roman" w:hAnsi="Times New Roman"/>
          <w:sz w:val="21"/>
          <w:szCs w:val="21"/>
          <w:u w:val="single" w:color="auto"/>
          <w:color w:val="auto"/>
        </w:rPr>
        <w:t>Change in Rights</w:t>
      </w:r>
      <w:r>
        <w:rPr>
          <w:rFonts w:ascii="Times New Roman" w:cs="Times New Roman" w:eastAsia="Times New Roman" w:hAnsi="Times New Roman"/>
          <w:sz w:val="21"/>
          <w:szCs w:val="21"/>
          <w:color w:val="auto"/>
        </w:rPr>
        <w:t>. Neither any amendment nor repeal of this Article VI, nor the adoption of any provision in these Bylaws inconsistent with this Article VI, shall eliminate or reduce the effect of this Article VI in respect of any acts or omissions occurring prior to such alteration, amendment, addition to, repeal or adoption.</w:t>
      </w:r>
    </w:p>
    <w:p>
      <w:pPr>
        <w:spacing w:after="0" w:line="1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GENERAL PROVISIONS</w:t>
      </w:r>
    </w:p>
    <w:p>
      <w:pPr>
        <w:spacing w:after="0" w:line="232" w:lineRule="exact"/>
        <w:rPr>
          <w:sz w:val="20"/>
          <w:szCs w:val="20"/>
          <w:color w:val="auto"/>
        </w:rPr>
      </w:pPr>
    </w:p>
    <w:p>
      <w:pPr>
        <w:jc w:val="both"/>
        <w:ind w:firstLine="1127"/>
        <w:spacing w:after="0" w:line="248" w:lineRule="auto"/>
        <w:rPr>
          <w:sz w:val="20"/>
          <w:szCs w:val="20"/>
          <w:color w:val="auto"/>
        </w:rPr>
      </w:pPr>
      <w:r>
        <w:rPr>
          <w:rFonts w:ascii="Times New Roman" w:cs="Times New Roman" w:eastAsia="Times New Roman" w:hAnsi="Times New Roman"/>
          <w:sz w:val="21"/>
          <w:szCs w:val="21"/>
          <w:color w:val="auto"/>
        </w:rPr>
        <w:t xml:space="preserve">Section VII.01. </w:t>
      </w: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Subject to any applicable provisions of law or the Certificate of Incorporation, dividends upon the shares of capital stock of the Corporation may be declared by the Board of Directors at any regular or special meeting of the Board of Directors and any such dividend may be paid in cash, property or shares of the Corporation’s capital stock. 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the director or member reasonably believes or determines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89" w:lineRule="exact"/>
        <w:rPr>
          <w:sz w:val="20"/>
          <w:szCs w:val="20"/>
          <w:color w:val="auto"/>
        </w:rPr>
      </w:pPr>
    </w:p>
    <w:p>
      <w:pPr>
        <w:jc w:val="both"/>
        <w:ind w:firstLine="1127"/>
        <w:spacing w:after="0" w:line="250" w:lineRule="auto"/>
        <w:rPr>
          <w:sz w:val="20"/>
          <w:szCs w:val="20"/>
          <w:color w:val="auto"/>
        </w:rPr>
      </w:pPr>
      <w:r>
        <w:rPr>
          <w:rFonts w:ascii="Times New Roman" w:cs="Times New Roman" w:eastAsia="Times New Roman" w:hAnsi="Times New Roman"/>
          <w:sz w:val="21"/>
          <w:szCs w:val="21"/>
          <w:color w:val="auto"/>
        </w:rPr>
        <w:t xml:space="preserve">Section VII.02. </w:t>
      </w:r>
      <w:r>
        <w:rPr>
          <w:rFonts w:ascii="Times New Roman" w:cs="Times New Roman" w:eastAsia="Times New Roman" w:hAnsi="Times New Roman"/>
          <w:sz w:val="21"/>
          <w:szCs w:val="21"/>
          <w:u w:val="single" w:color="auto"/>
          <w:color w:val="auto"/>
        </w:rPr>
        <w:t>Execution of Instruments</w:t>
      </w:r>
      <w:r>
        <w:rPr>
          <w:rFonts w:ascii="Times New Roman" w:cs="Times New Roman" w:eastAsia="Times New Roman" w:hAnsi="Times New Roman"/>
          <w:sz w:val="21"/>
          <w:szCs w:val="21"/>
          <w:color w:val="auto"/>
        </w:rPr>
        <w:t>. The Board of Directors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 The officers of the Corporation may also execute and deliver such contracts or instruments which generally pertain to the duties associated with such officer’s title. Any person who is authorized to execute a contract, instrument or other document on behalf of the Corporation may execute a power of attorney allowing another person to execute such document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27</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2" w:name="page83"/>
    <w:bookmarkEnd w:id="82"/>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VII.03. </w:t>
      </w:r>
      <w:r>
        <w:rPr>
          <w:rFonts w:ascii="Times New Roman" w:cs="Times New Roman" w:eastAsia="Times New Roman" w:hAnsi="Times New Roman"/>
          <w:sz w:val="21"/>
          <w:szCs w:val="21"/>
          <w:u w:val="single" w:color="auto"/>
          <w:color w:val="auto"/>
        </w:rPr>
        <w:t>Voting as Stockholder</w:t>
      </w:r>
      <w:r>
        <w:rPr>
          <w:rFonts w:ascii="Times New Roman" w:cs="Times New Roman" w:eastAsia="Times New Roman" w:hAnsi="Times New Roman"/>
          <w:sz w:val="21"/>
          <w:szCs w:val="21"/>
          <w:color w:val="auto"/>
        </w:rPr>
        <w:t>. Unless otherwise determined by resolution of the Board of Directors, the Chief Executive Officer, the President, if any, the Chief Financial Officer, any Executive Vice President or any other person authorized by the Board of Directors shall have full power and authority on behalf of the Corporation to attend any meeting of stockholders or equity holders of any corporation or other entity in which the Corporation may hold stock or equity interests, and to act, vote (or execute proxies to vote) and exercise in person or by proxy all other rights, powers and privileges incident to the ownership of such stock or equity interests. Such officers acting on behalf of the Corporation shall have full power and authority to execute any instrument expressing consent to or dissent from any action of any such corporation or entity without a meeting. The Board of Directors may by resolution from time to time confer such power and authority upon any other person or persons.</w:t>
      </w:r>
    </w:p>
    <w:p>
      <w:pPr>
        <w:spacing w:after="0" w:line="167" w:lineRule="exact"/>
        <w:rPr>
          <w:sz w:val="20"/>
          <w:szCs w:val="20"/>
          <w:color w:val="auto"/>
        </w:rPr>
      </w:pPr>
    </w:p>
    <w:p>
      <w:pPr>
        <w:jc w:val="both"/>
        <w:ind w:firstLine="1127"/>
        <w:spacing w:after="0" w:line="291" w:lineRule="auto"/>
        <w:rPr>
          <w:sz w:val="20"/>
          <w:szCs w:val="20"/>
          <w:color w:val="auto"/>
        </w:rPr>
      </w:pPr>
      <w:r>
        <w:rPr>
          <w:rFonts w:ascii="Times New Roman" w:cs="Times New Roman" w:eastAsia="Times New Roman" w:hAnsi="Times New Roman"/>
          <w:sz w:val="21"/>
          <w:szCs w:val="21"/>
          <w:color w:val="auto"/>
        </w:rPr>
        <w:t xml:space="preserve">Section VII.04.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be fixed, and shall be subject to change, by the Board of Directors.</w:t>
      </w:r>
    </w:p>
    <w:p>
      <w:pPr>
        <w:spacing w:after="0" w:line="126"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VII.05.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 affidavit of the Secretary or an Assistant Secretary or of the transfer agent or other agent of the Corporation that the notice has been given in writing or by a form of electronic transmission shall, in the absence of fraud, be </w:t>
      </w:r>
      <w:r>
        <w:rPr>
          <w:rFonts w:ascii="Times New Roman" w:cs="Times New Roman" w:eastAsia="Times New Roman" w:hAnsi="Times New Roman"/>
          <w:sz w:val="21"/>
          <w:szCs w:val="21"/>
          <w:i w:val="1"/>
          <w:iCs w:val="1"/>
          <w:color w:val="auto"/>
        </w:rPr>
        <w:t>prima facie</w:t>
      </w:r>
      <w:r>
        <w:rPr>
          <w:rFonts w:ascii="Times New Roman" w:cs="Times New Roman" w:eastAsia="Times New Roman" w:hAnsi="Times New Roman"/>
          <w:sz w:val="21"/>
          <w:szCs w:val="21"/>
          <w:color w:val="auto"/>
        </w:rPr>
        <w:t xml:space="preserve"> evidence of the facts stated therein.</w:t>
      </w:r>
    </w:p>
    <w:p>
      <w:pPr>
        <w:spacing w:after="0" w:line="153"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VII.06. </w:t>
      </w:r>
      <w:r>
        <w:rPr>
          <w:rFonts w:ascii="Times New Roman" w:cs="Times New Roman" w:eastAsia="Times New Roman" w:hAnsi="Times New Roman"/>
          <w:sz w:val="21"/>
          <w:szCs w:val="21"/>
          <w:u w:val="single" w:color="auto"/>
          <w:color w:val="auto"/>
        </w:rPr>
        <w:t>Form of Records</w:t>
      </w:r>
      <w:r>
        <w:rPr>
          <w:rFonts w:ascii="Times New Roman" w:cs="Times New Roman" w:eastAsia="Times New Roman" w:hAnsi="Times New Roman"/>
          <w:sz w:val="21"/>
          <w:szCs w:val="21"/>
          <w:color w:val="auto"/>
        </w:rPr>
        <w:t>.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the DGCL, (ii) record the information specified in the DGCL, and record transfers as specified in the DGCL. The Corporation shall so convert any records so kept upon the request of any person entitled to inspect such records pursuant to any provision of the DGCL.</w:t>
      </w:r>
    </w:p>
    <w:p>
      <w:pPr>
        <w:spacing w:after="0" w:line="200" w:lineRule="exact"/>
        <w:rPr>
          <w:sz w:val="20"/>
          <w:szCs w:val="20"/>
          <w:color w:val="auto"/>
        </w:rPr>
      </w:pPr>
    </w:p>
    <w:p>
      <w:pPr>
        <w:spacing w:after="0" w:line="220"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VII.07.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If any provision (or any part thereof)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section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6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AMENDMENT OF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28</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3" w:name="page84"/>
    <w:bookmarkEnd w:id="83"/>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VIII.01. </w:t>
      </w:r>
      <w:r>
        <w:rPr>
          <w:rFonts w:ascii="Times New Roman" w:cs="Times New Roman" w:eastAsia="Times New Roman" w:hAnsi="Times New Roman"/>
          <w:sz w:val="21"/>
          <w:szCs w:val="21"/>
          <w:u w:val="single" w:color="auto"/>
          <w:color w:val="auto"/>
        </w:rPr>
        <w:t>By the Board</w:t>
      </w:r>
      <w:r>
        <w:rPr>
          <w:rFonts w:ascii="Times New Roman" w:cs="Times New Roman" w:eastAsia="Times New Roman" w:hAnsi="Times New Roman"/>
          <w:sz w:val="21"/>
          <w:szCs w:val="21"/>
          <w:color w:val="auto"/>
        </w:rPr>
        <w:t>. Subject to the provisions of the Certificate of Incorporation, the Board of Directors may make, alter, amend, add to or repeal any and all of these Bylaws.</w:t>
      </w:r>
    </w:p>
    <w:p>
      <w:pPr>
        <w:spacing w:after="0" w:line="154"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VIII.02. </w:t>
      </w:r>
      <w:r>
        <w:rPr>
          <w:rFonts w:ascii="Times New Roman" w:cs="Times New Roman" w:eastAsia="Times New Roman" w:hAnsi="Times New Roman"/>
          <w:sz w:val="21"/>
          <w:szCs w:val="21"/>
          <w:u w:val="single" w:color="auto"/>
          <w:color w:val="auto"/>
        </w:rPr>
        <w:t>By the Stockholders</w:t>
      </w:r>
      <w:r>
        <w:rPr>
          <w:rFonts w:ascii="Times New Roman" w:cs="Times New Roman" w:eastAsia="Times New Roman" w:hAnsi="Times New Roman"/>
          <w:sz w:val="21"/>
          <w:szCs w:val="21"/>
          <w:color w:val="auto"/>
        </w:rPr>
        <w:t>. Subject to the provisions of the Certificate of Incorporation, the affirmative vote of the holders of at least a majority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CONSTRUCTION</w:t>
      </w:r>
    </w:p>
    <w:p>
      <w:pPr>
        <w:spacing w:after="0" w:line="232" w:lineRule="exact"/>
        <w:rPr>
          <w:sz w:val="20"/>
          <w:szCs w:val="20"/>
          <w:color w:val="auto"/>
        </w:rPr>
      </w:pPr>
    </w:p>
    <w:p>
      <w:pPr>
        <w:jc w:val="both"/>
        <w:ind w:firstLine="644"/>
        <w:spacing w:after="0" w:line="250" w:lineRule="auto"/>
        <w:rPr>
          <w:sz w:val="20"/>
          <w:szCs w:val="20"/>
          <w:color w:val="auto"/>
        </w:rPr>
      </w:pPr>
      <w:r>
        <w:rPr>
          <w:rFonts w:ascii="Times New Roman" w:cs="Times New Roman" w:eastAsia="Times New Roman" w:hAnsi="Times New Roman"/>
          <w:sz w:val="21"/>
          <w:szCs w:val="21"/>
          <w:color w:val="auto"/>
        </w:rPr>
        <w:t>In the event of any conflict between the provisions of these Bylaws as in effect from time to time and the provisions of the Certificate of Incorporation of the Corporation as in effect from time to time, the provisions of such Certificate of Incorporation shall be controlling.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corporations, other business entities, and natural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29</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 -14(A) UNDER THE SECURITIES EXCHANGE ACT OF 1934, 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48" w:lineRule="exact"/>
        <w:rPr>
          <w:sz w:val="20"/>
          <w:szCs w:val="20"/>
          <w:color w:val="auto"/>
        </w:rPr>
      </w:pPr>
    </w:p>
    <w:p>
      <w:pPr>
        <w:ind w:left="1380" w:hanging="912"/>
        <w:spacing w:after="0"/>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27, 2022 of Portillo's Inc.;</w:t>
      </w:r>
    </w:p>
    <w:p>
      <w:pPr>
        <w:spacing w:after="0" w:line="28" w:lineRule="exact"/>
        <w:rPr>
          <w:rFonts w:ascii="Arial" w:cs="Arial" w:eastAsia="Arial" w:hAnsi="Arial"/>
          <w:sz w:val="18"/>
          <w:szCs w:val="18"/>
          <w:color w:val="auto"/>
        </w:rPr>
      </w:pPr>
    </w:p>
    <w:p>
      <w:pPr>
        <w:ind w:left="1380" w:right="140" w:hanging="912"/>
        <w:spacing w:after="0" w:line="223" w:lineRule="auto"/>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8"/>
          <w:szCs w:val="18"/>
          <w:color w:val="auto"/>
        </w:rPr>
      </w:pPr>
    </w:p>
    <w:p>
      <w:pPr>
        <w:ind w:left="1380" w:right="140" w:hanging="912"/>
        <w:spacing w:after="0" w:line="226" w:lineRule="auto"/>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Arial" w:cs="Arial" w:eastAsia="Arial" w:hAnsi="Arial"/>
          <w:sz w:val="18"/>
          <w:szCs w:val="18"/>
          <w:color w:val="auto"/>
        </w:rPr>
      </w:pPr>
    </w:p>
    <w:p>
      <w:pPr>
        <w:ind w:left="1380" w:right="700" w:hanging="912"/>
        <w:spacing w:after="0" w:line="237" w:lineRule="auto"/>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 w:lineRule="exact"/>
        <w:rPr>
          <w:rFonts w:ascii="Arial" w:cs="Arial" w:eastAsia="Arial" w:hAnsi="Arial"/>
          <w:sz w:val="18"/>
          <w:szCs w:val="18"/>
          <w:color w:val="auto"/>
        </w:rPr>
      </w:pPr>
    </w:p>
    <w:p>
      <w:pPr>
        <w:ind w:left="1380" w:right="80" w:hanging="456"/>
        <w:spacing w:after="0" w:line="226"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Arial" w:cs="Arial" w:eastAsia="Arial" w:hAnsi="Arial"/>
          <w:sz w:val="18"/>
          <w:szCs w:val="18"/>
          <w:color w:val="auto"/>
        </w:rPr>
      </w:pPr>
    </w:p>
    <w:p>
      <w:pPr>
        <w:ind w:left="1380" w:hanging="456"/>
        <w:spacing w:after="0"/>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[Omitted];</w:t>
      </w:r>
    </w:p>
    <w:p>
      <w:pPr>
        <w:spacing w:after="0" w:line="28" w:lineRule="exact"/>
        <w:rPr>
          <w:rFonts w:ascii="Arial" w:cs="Arial" w:eastAsia="Arial" w:hAnsi="Arial"/>
          <w:sz w:val="18"/>
          <w:szCs w:val="18"/>
          <w:color w:val="auto"/>
        </w:rPr>
      </w:pPr>
    </w:p>
    <w:p>
      <w:pPr>
        <w:ind w:left="1380" w:right="280" w:hanging="456"/>
        <w:spacing w:after="0" w:line="223"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 w:lineRule="exact"/>
        <w:rPr>
          <w:rFonts w:ascii="Arial" w:cs="Arial" w:eastAsia="Arial" w:hAnsi="Arial"/>
          <w:sz w:val="18"/>
          <w:szCs w:val="18"/>
          <w:color w:val="auto"/>
        </w:rPr>
      </w:pPr>
    </w:p>
    <w:p>
      <w:pPr>
        <w:ind w:left="1380" w:right="40" w:hanging="456"/>
        <w:spacing w:after="0" w:line="226"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Arial" w:cs="Arial" w:eastAsia="Arial" w:hAnsi="Arial"/>
          <w:sz w:val="18"/>
          <w:szCs w:val="18"/>
          <w:color w:val="auto"/>
        </w:rPr>
      </w:pPr>
    </w:p>
    <w:p>
      <w:pPr>
        <w:ind w:left="1380" w:right="380" w:hanging="912"/>
        <w:spacing w:after="0" w:line="226" w:lineRule="auto"/>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8"/>
          <w:szCs w:val="18"/>
          <w:color w:val="auto"/>
        </w:rPr>
      </w:pPr>
    </w:p>
    <w:p>
      <w:pPr>
        <w:jc w:val="both"/>
        <w:ind w:left="1380" w:right="420" w:hanging="456"/>
        <w:spacing w:after="0" w:line="226"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8"/>
          <w:szCs w:val="18"/>
          <w:color w:val="auto"/>
        </w:rPr>
      </w:pPr>
    </w:p>
    <w:p>
      <w:pPr>
        <w:ind w:left="1380" w:right="760" w:hanging="456"/>
        <w:spacing w:after="0" w:line="237"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6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17145</wp:posOffset>
            </wp:positionV>
            <wp:extent cx="32302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Osanloo</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 -14(A) UNDER THE SECURITIES EXCHANGE ACT OF 1934, 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48" w:lineRule="exact"/>
        <w:rPr>
          <w:sz w:val="20"/>
          <w:szCs w:val="20"/>
          <w:color w:val="auto"/>
        </w:rPr>
      </w:pPr>
    </w:p>
    <w:p>
      <w:pPr>
        <w:ind w:left="1300" w:hanging="859"/>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27, 2022 of Portillo's Inc.;</w:t>
      </w:r>
    </w:p>
    <w:p>
      <w:pPr>
        <w:spacing w:after="0" w:line="28" w:lineRule="exact"/>
        <w:rPr>
          <w:rFonts w:ascii="Arial" w:cs="Arial" w:eastAsia="Arial" w:hAnsi="Arial"/>
          <w:sz w:val="18"/>
          <w:szCs w:val="18"/>
          <w:color w:val="auto"/>
        </w:rPr>
      </w:pPr>
    </w:p>
    <w:p>
      <w:pPr>
        <w:ind w:left="1300" w:right="220"/>
        <w:spacing w:after="0" w:line="208" w:lineRule="auto"/>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w:t>
      </w:r>
    </w:p>
    <w:p>
      <w:pPr>
        <w:ind w:left="1300" w:hanging="859"/>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misleading with respect to the period covered by this report;</w:t>
      </w:r>
    </w:p>
    <w:p>
      <w:pPr>
        <w:spacing w:after="0" w:line="24" w:lineRule="exact"/>
        <w:rPr>
          <w:rFonts w:ascii="Arial" w:cs="Arial" w:eastAsia="Arial" w:hAnsi="Arial"/>
          <w:sz w:val="18"/>
          <w:szCs w:val="18"/>
          <w:color w:val="auto"/>
        </w:rPr>
      </w:pPr>
    </w:p>
    <w:p>
      <w:pPr>
        <w:ind w:left="1300" w:right="220"/>
        <w:spacing w:after="0" w:line="220" w:lineRule="auto"/>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w:t>
      </w:r>
    </w:p>
    <w:p>
      <w:pPr>
        <w:ind w:left="1300" w:hanging="859"/>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presented in this report;</w:t>
      </w:r>
    </w:p>
    <w:p>
      <w:pPr>
        <w:spacing w:after="0" w:line="24" w:lineRule="exact"/>
        <w:rPr>
          <w:rFonts w:ascii="Arial" w:cs="Arial" w:eastAsia="Arial" w:hAnsi="Arial"/>
          <w:sz w:val="18"/>
          <w:szCs w:val="18"/>
          <w:color w:val="auto"/>
        </w:rPr>
      </w:pPr>
    </w:p>
    <w:p>
      <w:pPr>
        <w:ind w:left="1300"/>
        <w:spacing w:after="0" w:line="214" w:lineRule="auto"/>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w:t>
      </w:r>
    </w:p>
    <w:p>
      <w:pPr>
        <w:ind w:left="1300" w:hanging="859"/>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procedures (as defined in Exchange Act Rules 13a-15(e) and 15d-15(e)) for the registrant and have:</w:t>
      </w:r>
    </w:p>
    <w:p>
      <w:pPr>
        <w:spacing w:after="0" w:line="24" w:lineRule="exact"/>
        <w:rPr>
          <w:rFonts w:ascii="Arial" w:cs="Arial" w:eastAsia="Arial" w:hAnsi="Arial"/>
          <w:sz w:val="18"/>
          <w:szCs w:val="18"/>
          <w:color w:val="auto"/>
        </w:rPr>
      </w:pPr>
    </w:p>
    <w:p>
      <w:pPr>
        <w:ind w:left="1300" w:right="60" w:hanging="429"/>
        <w:spacing w:after="0" w:line="223"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Arial" w:cs="Arial" w:eastAsia="Arial" w:hAnsi="Arial"/>
          <w:sz w:val="18"/>
          <w:szCs w:val="18"/>
          <w:color w:val="auto"/>
        </w:rPr>
      </w:pPr>
    </w:p>
    <w:p>
      <w:pPr>
        <w:ind w:left="1300" w:hanging="429"/>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[Omitted];</w:t>
      </w:r>
    </w:p>
    <w:p>
      <w:pPr>
        <w:spacing w:after="0" w:line="28" w:lineRule="exact"/>
        <w:rPr>
          <w:rFonts w:ascii="Arial" w:cs="Arial" w:eastAsia="Arial" w:hAnsi="Arial"/>
          <w:sz w:val="18"/>
          <w:szCs w:val="18"/>
          <w:color w:val="auto"/>
        </w:rPr>
      </w:pPr>
    </w:p>
    <w:p>
      <w:pPr>
        <w:ind w:left="1300" w:right="360" w:hanging="429"/>
        <w:spacing w:after="0" w:line="223"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 w:lineRule="exact"/>
        <w:rPr>
          <w:rFonts w:ascii="Arial" w:cs="Arial" w:eastAsia="Arial" w:hAnsi="Arial"/>
          <w:sz w:val="18"/>
          <w:szCs w:val="18"/>
          <w:color w:val="auto"/>
        </w:rPr>
      </w:pPr>
    </w:p>
    <w:p>
      <w:pPr>
        <w:ind w:left="1300" w:right="120" w:hanging="429"/>
        <w:spacing w:after="0" w:line="22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Arial" w:cs="Arial" w:eastAsia="Arial" w:hAnsi="Arial"/>
          <w:sz w:val="18"/>
          <w:szCs w:val="18"/>
          <w:color w:val="auto"/>
        </w:rPr>
      </w:pPr>
    </w:p>
    <w:p>
      <w:pPr>
        <w:ind w:left="1300" w:right="460"/>
        <w:spacing w:after="0" w:line="225" w:lineRule="auto"/>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w:t>
      </w:r>
    </w:p>
    <w:p>
      <w:pPr>
        <w:ind w:left="1300" w:hanging="859"/>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performing the equivalent functions):</w:t>
      </w:r>
    </w:p>
    <w:p>
      <w:pPr>
        <w:spacing w:after="0" w:line="24" w:lineRule="exact"/>
        <w:rPr>
          <w:rFonts w:ascii="Arial" w:cs="Arial" w:eastAsia="Arial" w:hAnsi="Arial"/>
          <w:sz w:val="18"/>
          <w:szCs w:val="18"/>
          <w:color w:val="auto"/>
        </w:rPr>
      </w:pPr>
    </w:p>
    <w:p>
      <w:pPr>
        <w:jc w:val="both"/>
        <w:ind w:left="1300" w:right="500" w:hanging="429"/>
        <w:spacing w:after="0" w:line="223"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8"/>
          <w:szCs w:val="18"/>
          <w:color w:val="auto"/>
        </w:rPr>
      </w:pPr>
    </w:p>
    <w:p>
      <w:pPr>
        <w:ind w:left="1300" w:right="840" w:hanging="429"/>
        <w:spacing w:after="0" w:line="23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6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17145</wp:posOffset>
            </wp:positionV>
            <wp:extent cx="32302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4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Treasurer</w:t>
      </w: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2"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connection with the Quarterly Report on Form 10-Q of Portillo's Inc. (the “Company”), for the quarterly period ended March 27,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 w:lineRule="exact"/>
        <w:rPr>
          <w:sz w:val="20"/>
          <w:szCs w:val="20"/>
          <w:color w:val="auto"/>
        </w:rPr>
      </w:pPr>
    </w:p>
    <w:p>
      <w:pPr>
        <w:ind w:left="900" w:hanging="44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 w:lineRule="exact"/>
        <w:rPr>
          <w:sz w:val="20"/>
          <w:szCs w:val="20"/>
          <w:color w:val="auto"/>
        </w:rPr>
      </w:pPr>
    </w:p>
    <w:p>
      <w:pPr>
        <w:ind w:left="900" w:right="140" w:hanging="445"/>
        <w:spacing w:after="0" w:line="233"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color w:val="auto"/>
              </w:rPr>
              <w:t>Date: May 5, 2022</w:t>
            </w:r>
          </w:p>
        </w:tc>
        <w:tc>
          <w:tcPr>
            <w:tcW w:w="274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Osanloo</w:t>
            </w:r>
          </w:p>
        </w:tc>
      </w:tr>
      <w:tr>
        <w:trPr>
          <w:trHeight w:val="216"/>
        </w:trPr>
        <w:tc>
          <w:tcPr>
            <w:tcW w:w="3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Michael Osanloo</w:t>
            </w:r>
          </w:p>
        </w:tc>
      </w:tr>
      <w:tr>
        <w:trPr>
          <w:trHeight w:val="188"/>
        </w:trPr>
        <w:tc>
          <w:tcPr>
            <w:tcW w:w="34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40" w:type="dxa"/>
            <w:vAlign w:val="bottom"/>
            <w:gridSpan w:val="2"/>
          </w:tcPr>
          <w:p>
            <w:pPr>
              <w:ind w:left="20"/>
              <w:spacing w:after="0" w:line="188" w:lineRule="exact"/>
              <w:rPr>
                <w:sz w:val="20"/>
                <w:szCs w:val="20"/>
                <w:color w:val="auto"/>
              </w:rPr>
            </w:pPr>
            <w:r>
              <w:rPr>
                <w:rFonts w:ascii="Arial" w:cs="Arial" w:eastAsia="Arial" w:hAnsi="Arial"/>
                <w:sz w:val="18"/>
                <w:szCs w:val="18"/>
                <w:color w:val="auto"/>
              </w:rPr>
              <w:t>President, Chief Executive Officer and Director</w:t>
            </w:r>
          </w:p>
        </w:tc>
      </w:tr>
      <w:tr>
        <w:trPr>
          <w:trHeight w:val="236"/>
        </w:trPr>
        <w:tc>
          <w:tcPr>
            <w:tcW w:w="3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75"/>
        </w:trPr>
        <w:tc>
          <w:tcPr>
            <w:tcW w:w="3440" w:type="dxa"/>
            <w:vAlign w:val="bottom"/>
          </w:tcPr>
          <w:p>
            <w:pPr>
              <w:spacing w:after="0"/>
              <w:rPr>
                <w:sz w:val="20"/>
                <w:szCs w:val="20"/>
                <w:color w:val="auto"/>
              </w:rPr>
            </w:pPr>
            <w:r>
              <w:rPr>
                <w:rFonts w:ascii="Arial" w:cs="Arial" w:eastAsia="Arial" w:hAnsi="Arial"/>
                <w:sz w:val="18"/>
                <w:szCs w:val="18"/>
                <w:color w:val="auto"/>
              </w:rPr>
              <w:t>Date: May 5, 2022</w:t>
            </w:r>
          </w:p>
        </w:tc>
        <w:tc>
          <w:tcPr>
            <w:tcW w:w="2740" w:type="dxa"/>
            <w:vAlign w:val="bottom"/>
          </w:tcPr>
          <w:p>
            <w:pPr>
              <w:ind w:left="20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Hook</w:t>
            </w:r>
          </w:p>
        </w:tc>
      </w:tr>
      <w:tr>
        <w:trPr>
          <w:trHeight w:val="216"/>
        </w:trPr>
        <w:tc>
          <w:tcPr>
            <w:tcW w:w="3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Michelle Hook</w:t>
            </w:r>
          </w:p>
        </w:tc>
      </w:tr>
      <w:tr>
        <w:trPr>
          <w:trHeight w:val="180"/>
        </w:trPr>
        <w:tc>
          <w:tcPr>
            <w:tcW w:w="3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ind w:left="20"/>
              <w:spacing w:after="0" w:line="180" w:lineRule="exact"/>
              <w:rPr>
                <w:sz w:val="20"/>
                <w:szCs w:val="20"/>
                <w:color w:val="auto"/>
              </w:rPr>
            </w:pPr>
            <w:r>
              <w:rPr>
                <w:rFonts w:ascii="Arial" w:cs="Arial" w:eastAsia="Arial" w:hAnsi="Arial"/>
                <w:sz w:val="18"/>
                <w:szCs w:val="18"/>
                <w:color w:val="auto"/>
              </w:rPr>
              <w:t>Chief Financial Officer and Treasurer</w:t>
            </w:r>
          </w:p>
        </w:tc>
      </w:tr>
      <w:tr>
        <w:trPr>
          <w:trHeight w:val="236"/>
        </w:trPr>
        <w:tc>
          <w:tcPr>
            <w:tcW w:w="3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lvl w:ilvl="1">
      <w:lvlJc w:val="left"/>
      <w:lvlText w:val="•"/>
      <w:numFmt w:val="bullet"/>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lowerRoman"/>
      <w:start w:val="1"/>
    </w:lvl>
  </w:abstractNum>
  <w:abstractNum w:abstractNumId="11">
    <w:nsid w:val="51EAD36B"/>
    <w:multiLevelType w:val="hybridMultilevel"/>
    <w:lvl w:ilvl="0">
      <w:lvlJc w:val="left"/>
      <w:lvlText w:val="%1."/>
      <w:numFmt w:val="decimal"/>
      <w:start w:val="5"/>
    </w:lvl>
  </w:abstractNum>
  <w:abstractNum w:abstractNumId="12">
    <w:nsid w:val="2D517796"/>
    <w:multiLevelType w:val="hybridMultilevel"/>
    <w:lvl w:ilvl="0">
      <w:lvlJc w:val="left"/>
      <w:lvlText w:val="(%1)"/>
      <w:numFmt w:val="lowerRoman"/>
      <w:start w:val="1"/>
    </w:lvl>
    <w:lvl w:ilvl="1">
      <w:lvlJc w:val="left"/>
      <w:lvlText w:val="(%2)"/>
      <w:numFmt w:val="decimal"/>
      <w:start w:val="1"/>
    </w:lvl>
  </w:abstractNum>
  <w:abstractNum w:abstractNumId="13">
    <w:nsid w:val="580BD78F"/>
    <w:multiLevelType w:val="hybridMultilevel"/>
    <w:lvl w:ilvl="0">
      <w:lvlJc w:val="left"/>
      <w:lvlText w:val="(%1)"/>
      <w:numFmt w:val="decimal"/>
      <w:start w:val="2"/>
    </w:lvl>
  </w:abstractNum>
  <w:abstractNum w:abstractNumId="14">
    <w:nsid w:val="153EA438"/>
    <w:multiLevelType w:val="hybridMultilevel"/>
    <w:lvl w:ilvl="0">
      <w:lvlJc w:val="left"/>
      <w:lvlText w:val="(%1)"/>
      <w:numFmt w:val="lowerRoman"/>
      <w:start w:val="2"/>
    </w:lvl>
    <w:lvl w:ilvl="1">
      <w:lvlJc w:val="left"/>
      <w:lvlText w:val="(%2)"/>
      <w:numFmt w:val="decimal"/>
      <w:start w:val="1"/>
    </w:lvl>
  </w:abstractNum>
  <w:abstractNum w:abstractNumId="15">
    <w:nsid w:val="3855585C"/>
    <w:multiLevelType w:val="hybridMultilevel"/>
    <w:lvl w:ilvl="0">
      <w:lvlJc w:val="left"/>
      <w:lvlText w:val="%1."/>
      <w:numFmt w:val="decimal"/>
      <w:start w:val="6"/>
    </w:lvl>
  </w:abstractNum>
  <w:abstractNum w:abstractNumId="16">
    <w:nsid w:val="70A64E2A"/>
    <w:multiLevelType w:val="hybridMultilevel"/>
    <w:lvl w:ilvl="0">
      <w:lvlJc w:val="left"/>
      <w:lvlText w:val="%1."/>
      <w:numFmt w:val="decimal"/>
      <w:start w:val="7"/>
    </w:lvl>
  </w:abstractNum>
  <w:abstractNum w:abstractNumId="17">
    <w:nsid w:val="6A2342EC"/>
    <w:multiLevelType w:val="hybridMultilevel"/>
    <w:lvl w:ilvl="0">
      <w:lvlJc w:val="left"/>
      <w:lvlText w:val="%1."/>
      <w:numFmt w:val="decimal"/>
      <w:start w:val="8"/>
    </w:lvl>
  </w:abstractNum>
  <w:abstractNum w:abstractNumId="18">
    <w:nsid w:val="2A487CB0"/>
    <w:multiLevelType w:val="hybridMultilevel"/>
    <w:lvl w:ilvl="0">
      <w:lvlJc w:val="left"/>
      <w:lvlText w:val="%1."/>
      <w:numFmt w:val="decimal"/>
      <w:start w:val="9"/>
    </w:lvl>
  </w:abstractNum>
  <w:abstractNum w:abstractNumId="19">
    <w:nsid w:val="1D4ED43B"/>
    <w:multiLevelType w:val="hybridMultilevel"/>
    <w:lvl w:ilvl="0">
      <w:lvlJc w:val="left"/>
      <w:lvlText w:val="%1."/>
      <w:numFmt w:val="decimal"/>
      <w:start w:val="10"/>
    </w:lvl>
  </w:abstractNum>
  <w:abstractNum w:abstractNumId="20">
    <w:nsid w:val="725A06FB"/>
    <w:multiLevelType w:val="hybridMultilevel"/>
    <w:lvl w:ilvl="0">
      <w:lvlJc w:val="left"/>
      <w:lvlText w:val="(%1)"/>
      <w:numFmt w:val="lowerRoman"/>
      <w:start w:val="1"/>
    </w:lvl>
  </w:abstractNum>
  <w:abstractNum w:abstractNumId="21">
    <w:nsid w:val="2CD89A32"/>
    <w:multiLevelType w:val="hybridMultilevel"/>
    <w:lvl w:ilvl="0">
      <w:lvlJc w:val="left"/>
      <w:lvlText w:val="(%1)"/>
      <w:numFmt w:val="lowerRoman"/>
      <w:start w:val="1"/>
    </w:lvl>
  </w:abstractNum>
  <w:abstractNum w:abstractNumId="22">
    <w:nsid w:val="57E4CCAF"/>
    <w:multiLevelType w:val="hybridMultilevel"/>
    <w:lvl w:ilvl="0">
      <w:lvlJc w:val="left"/>
      <w:lvlText w:val="(%1)"/>
      <w:numFmt w:val="lowerLetter"/>
      <w:start w:val="26"/>
    </w:lvl>
  </w:abstractNum>
  <w:abstractNum w:abstractNumId="23">
    <w:nsid w:val="7A6D8D3C"/>
    <w:multiLevelType w:val="hybridMultilevel"/>
    <w:lvl w:ilvl="0">
      <w:lvlJc w:val="left"/>
      <w:lvlText w:val="(%1)"/>
      <w:numFmt w:val="lowerRoman"/>
      <w:start w:val="1"/>
    </w:lvl>
    <w:lvl w:ilvl="1">
      <w:lvlJc w:val="left"/>
      <w:lvlText w:val="(%2)"/>
      <w:numFmt w:val="decimal"/>
      <w:start w:val="1"/>
    </w:lvl>
  </w:abstractNum>
  <w:abstractNum w:abstractNumId="24">
    <w:nsid w:val="4B588F54"/>
    <w:multiLevelType w:val="hybridMultilevel"/>
    <w:lvl w:ilvl="0">
      <w:lvlJc w:val="left"/>
      <w:lvlText w:val="%1"/>
      <w:numFmt w:val="lowerRoman"/>
      <w:start w:val="1"/>
    </w:lvl>
    <w:lvl w:ilvl="1">
      <w:lvlJc w:val="left"/>
      <w:lvlText w:val="(%2)"/>
      <w:numFmt w:val="decimal"/>
      <w:start w:val="4"/>
    </w:lvl>
  </w:abstractNum>
  <w:abstractNum w:abstractNumId="25">
    <w:nsid w:val="542289EC"/>
    <w:multiLevelType w:val="hybridMultilevel"/>
    <w:lvl w:ilvl="0">
      <w:lvlJc w:val="left"/>
      <w:lvlText w:val="(%1)"/>
      <w:numFmt w:val="lowerRoman"/>
      <w:start w:val="3"/>
    </w:lvl>
    <w:lvl w:ilvl="1">
      <w:lvlJc w:val="left"/>
      <w:lvlText w:val="%2"/>
      <w:numFmt w:val="decimal"/>
      <w:start w:val="1"/>
    </w:lvl>
  </w:abstractNum>
  <w:abstractNum w:abstractNumId="26">
    <w:nsid w:val="6DE91B18"/>
    <w:multiLevelType w:val="hybridMultilevel"/>
    <w:lvl w:ilvl="0">
      <w:lvlJc w:val="left"/>
      <w:lvlText w:val="(%1)"/>
      <w:numFmt w:val="lowerRoman"/>
      <w:start w:val="5"/>
    </w:lvl>
    <w:lvl w:ilvl="1">
      <w:lvlJc w:val="left"/>
      <w:lvlText w:val="(%2)"/>
      <w:numFmt w:val="decimal"/>
      <w:start w:val="1"/>
    </w:lvl>
  </w:abstractNum>
  <w:abstractNum w:abstractNumId="27">
    <w:nsid w:val="38437FDB"/>
    <w:multiLevelType w:val="hybridMultilevel"/>
    <w:lvl w:ilvl="0">
      <w:lvlJc w:val="left"/>
      <w:lvlText w:val="%1."/>
      <w:numFmt w:val="decimal"/>
      <w:start w:val="11"/>
    </w:lvl>
  </w:abstractNum>
  <w:abstractNum w:abstractNumId="28">
    <w:nsid w:val="7644A45C"/>
    <w:multiLevelType w:val="hybridMultilevel"/>
    <w:lvl w:ilvl="0">
      <w:lvlJc w:val="left"/>
      <w:lvlText w:val="%1"/>
      <w:numFmt w:val="decimal"/>
      <w:start w:val="12"/>
    </w:lvl>
  </w:abstractNum>
  <w:abstractNum w:abstractNumId="29">
    <w:nsid w:val="32FFF902"/>
    <w:multiLevelType w:val="hybridMultilevel"/>
    <w:lvl w:ilvl="0">
      <w:lvlJc w:val="left"/>
      <w:lvlText w:val="%1."/>
      <w:numFmt w:val="decimal"/>
      <w:start w:val="13"/>
    </w:lvl>
  </w:abstractNum>
  <w:abstractNum w:abstractNumId="30">
    <w:nsid w:val="684A481A"/>
    <w:multiLevelType w:val="hybridMultilevel"/>
    <w:lvl w:ilvl="0">
      <w:lvlJc w:val="left"/>
      <w:lvlText w:val="%1."/>
      <w:numFmt w:val="decimal"/>
      <w:start w:val="14"/>
    </w:lvl>
  </w:abstractNum>
  <w:abstractNum w:abstractNumId="31">
    <w:nsid w:val="579478FE"/>
    <w:multiLevelType w:val="hybridMultilevel"/>
    <w:lvl w:ilvl="0">
      <w:lvlJc w:val="left"/>
      <w:lvlText w:val="%1."/>
      <w:numFmt w:val="decimal"/>
      <w:start w:val="16"/>
    </w:lvl>
  </w:abstractNum>
  <w:abstractNum w:abstractNumId="32">
    <w:nsid w:val="749ABB43"/>
    <w:multiLevelType w:val="hybridMultilevel"/>
    <w:lvl w:ilvl="0">
      <w:lvlJc w:val="left"/>
      <w:lvlText w:val="%1."/>
      <w:numFmt w:val="decimal"/>
      <w:start w:val="17"/>
    </w:lvl>
    <w:lvl w:ilvl="1">
      <w:lvlJc w:val="left"/>
      <w:lvlText w:val="(%2)"/>
      <w:numFmt w:val="lowerLetter"/>
      <w:start w:val="1"/>
    </w:lvl>
  </w:abstractNum>
  <w:abstractNum w:abstractNumId="33">
    <w:nsid w:val="3DC240FB"/>
    <w:multiLevelType w:val="hybridMultilevel"/>
    <w:lvl w:ilvl="0">
      <w:lvlJc w:val="left"/>
      <w:lvlText w:val="%1"/>
      <w:numFmt w:val="decimal"/>
      <w:start w:val="1"/>
    </w:lvl>
    <w:lvl w:ilvl="1">
      <w:lvlJc w:val="left"/>
      <w:lvlText w:val="(%2)"/>
      <w:numFmt w:val="lowerLetter"/>
      <w:start w:val="6"/>
    </w:lvl>
  </w:abstractNum>
  <w:abstractNum w:abstractNumId="34">
    <w:nsid w:val="1BA026FA"/>
    <w:multiLevelType w:val="hybridMultilevel"/>
    <w:lvl w:ilvl="0">
      <w:lvlJc w:val="left"/>
      <w:lvlText w:val="(%1)"/>
      <w:numFmt w:val="decimal"/>
      <w:start w:val="3"/>
    </w:lvl>
    <w:lvl w:ilvl="1">
      <w:lvlJc w:val="left"/>
      <w:lvlText w:val="(%2)"/>
      <w:numFmt w:val="lowerLetter"/>
      <w:start w:val="12"/>
    </w:lvl>
  </w:abstractNum>
  <w:abstractNum w:abstractNumId="35">
    <w:nsid w:val="79A1DEAA"/>
    <w:multiLevelType w:val="hybridMultilevel"/>
    <w:lvl w:ilvl="0">
      <w:lvlJc w:val="left"/>
      <w:lvlText w:val="(%1)"/>
      <w:numFmt w:val="lowerLetter"/>
      <w:start w:val="14"/>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2"/>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1"/>
    </w:lvl>
    <w:lvl w:ilvl="1">
      <w:lvlJc w:val="left"/>
      <w:lvlText w:val="(%2)"/>
      <w:numFmt w:val="lowerRoman"/>
      <w:start w:val="1"/>
    </w:lvl>
  </w:abstractNum>
  <w:abstractNum w:abstractNumId="41">
    <w:nsid w:val="4F4EF00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2">
    <w:nsid w:val="23F9C13C"/>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3">
    <w:nsid w:val="649BB77C"/>
    <w:multiLevelType w:val="hybridMultilevel"/>
    <w:lvl w:ilvl="0">
      <w:lvlJc w:val="left"/>
      <w:lvlText w:val="(%1)"/>
      <w:numFmt w:val="upperLetter"/>
      <w:start w:val="6"/>
    </w:lvl>
  </w:abstractNum>
  <w:abstractNum w:abstractNumId="44">
    <w:nsid w:val="275AC794"/>
    <w:multiLevelType w:val="hybridMultilevel"/>
    <w:lvl w:ilvl="0">
      <w:lvlJc w:val="left"/>
      <w:lvlText w:val="(%1)"/>
      <w:numFmt w:val="upperLetter"/>
      <w:start w:val="13"/>
    </w:lvl>
  </w:abstractNum>
  <w:abstractNum w:abstractNumId="45">
    <w:nsid w:val="39386575"/>
    <w:multiLevelType w:val="hybridMultilevel"/>
    <w:lvl w:ilvl="0">
      <w:lvlJc w:val="left"/>
      <w:lvlText w:val="(%1)"/>
      <w:numFmt w:val="lowerRoman"/>
      <w:start w:val="2"/>
    </w:lvl>
    <w:lvl w:ilvl="1">
      <w:lvlJc w:val="left"/>
      <w:lvlText w:val="(%2)"/>
      <w:numFmt w:val="upperLetter"/>
      <w:start w:val="1"/>
    </w:lvl>
  </w:abstractNum>
  <w:abstractNum w:abstractNumId="46">
    <w:nsid w:val="1CF10FD8"/>
    <w:multiLevelType w:val="hybridMultilevel"/>
    <w:lvl w:ilvl="0">
      <w:lvlJc w:val="left"/>
      <w:lvlText w:val="%1"/>
      <w:numFmt w:val="lowerLetter"/>
      <w:start w:val="1"/>
    </w:lvl>
    <w:lvl w:ilvl="1">
      <w:lvlJc w:val="left"/>
      <w:lvlText w:val="(%2)"/>
      <w:numFmt w:val="lowerRoman"/>
      <w:start w:val="4"/>
    </w:lvl>
  </w:abstractNum>
  <w:abstractNum w:abstractNumId="47">
    <w:nsid w:val="180115BE"/>
    <w:multiLevelType w:val="hybridMultilevel"/>
    <w:lvl w:ilvl="0">
      <w:lvlJc w:val="left"/>
      <w:lvlText w:val="(%1)"/>
      <w:numFmt w:val="lowerLetter"/>
      <w:start w:val="3"/>
    </w:lvl>
    <w:lvl w:ilvl="1">
      <w:lvlJc w:val="left"/>
      <w:lvlText w:val="(%2)"/>
      <w:numFmt w:val="lowerRoman"/>
      <w:start w:val="1"/>
    </w:lvl>
  </w:abstractNum>
  <w:abstractNum w:abstractNumId="48">
    <w:nsid w:val="235BA861"/>
    <w:multiLevelType w:val="hybridMultilevel"/>
    <w:lvl w:ilvl="0">
      <w:lvlJc w:val="left"/>
      <w:lvlText w:val="(%1)"/>
      <w:numFmt w:val="lowerLetter"/>
      <w:start w:val="4"/>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1"/>
    </w:lvl>
    <w:lvl w:ilvl="1">
      <w:lvlJc w:val="left"/>
      <w:lvlText w:val="(%2)"/>
      <w:numFmt w:val="lowerRoman"/>
      <w:start w:val="1"/>
    </w:lvl>
  </w:abstractNum>
  <w:abstractNum w:abstractNumId="51">
    <w:nsid w:val="15B5AF5C"/>
    <w:multiLevelType w:val="hybridMultilevel"/>
    <w:lvl w:ilvl="0">
      <w:lvlJc w:val="left"/>
      <w:lvlText w:val="(%1)"/>
      <w:numFmt w:val="lowerLetter"/>
      <w:start w:val="2"/>
    </w:lvl>
    <w:lvl w:ilvl="1">
      <w:lvlJc w:val="left"/>
      <w:lvlText w:val="%2"/>
      <w:numFmt w:val="lowerRoman"/>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8"/>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2"/>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Letter"/>
      <w:start w:val="3"/>
    </w:lvl>
  </w:abstractNum>
  <w:abstractNum w:abstractNumId="60">
    <w:nsid w:val="310C50B3"/>
    <w:multiLevelType w:val="hybridMultilevel"/>
    <w:lvl w:ilvl="0">
      <w:lvlJc w:val="left"/>
      <w:lvlText w:val="(%1)"/>
      <w:numFmt w:val="lowerLetter"/>
      <w:start w:val="1"/>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lowerLetter"/>
      <w:start w:val="3"/>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bullet"/>
      <w:start w:val="1"/>
    </w:lvl>
  </w:abstractNum>
  <w:abstractNum w:abstractNumId="66">
    <w:nsid w:val="1F48EAA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2022-05-05T07:15:53Z</dcterms:created>
  <dcterms:modified xsi:type="dcterms:W3CDTF">2022-05-05T07:15:53Z</dcterms:modified>
</cp:coreProperties>
</file>