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Lauer Denise Peggy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09/22/2025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Portillo's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PTLO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18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C/O PORTILLO'S INC.</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2001 SPRING RD, SUITE 400</w:t>
            </w: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OAK</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IL</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60523</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BROOK</w:t>
            </w:r>
          </w:p>
        </w:tc>
        <w:tc>
          <w:tcPr>
            <w:tcW w:w="1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Chief Marketing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67,025</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subject to time-based vesting granted on September 22, 2025, one-third of which vest on each of the first three anniversaries of the grant date, subject to the Reporting Person's continued service with the Issuer and the terms of the applicable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 (incorporated herein by reference).</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By: /s/ Kelly M. Kaiser,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1953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953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Denise 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P. Lauer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057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84" w:lineRule="exact"/>
        <w:rPr>
          <w:sz w:val="20"/>
          <w:szCs w:val="20"/>
          <w:color w:val="auto"/>
        </w:rPr>
      </w:pPr>
    </w:p>
    <w:p>
      <w:pPr>
        <w:ind w:right="380"/>
        <w:spacing w:after="0" w:line="309"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Michelle Hook, Kelly M. Kaiser, Christine DeCicco or either of them signing singly, and with full power of substitution, the undersigned’s true and lawful attorney-in-fact to:</w:t>
      </w:r>
    </w:p>
    <w:p>
      <w:pPr>
        <w:spacing w:after="0" w:line="173" w:lineRule="exact"/>
        <w:rPr>
          <w:sz w:val="20"/>
          <w:szCs w:val="20"/>
          <w:color w:val="auto"/>
        </w:rPr>
      </w:pPr>
    </w:p>
    <w:p>
      <w:pPr>
        <w:ind w:right="40"/>
        <w:spacing w:after="0" w:line="242" w:lineRule="auto"/>
        <w:tabs>
          <w:tab w:leader="none" w:pos="28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and any documentation required to enroll in and comply with any EDGARNext program,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36" w:lineRule="exact"/>
        <w:rPr>
          <w:rFonts w:ascii="Times New Roman" w:cs="Times New Roman" w:eastAsia="Times New Roman" w:hAnsi="Times New Roman"/>
          <w:sz w:val="20"/>
          <w:szCs w:val="20"/>
          <w:color w:val="auto"/>
        </w:rPr>
      </w:pPr>
    </w:p>
    <w:p>
      <w:pPr>
        <w:ind w:right="40"/>
        <w:spacing w:after="0" w:line="238" w:lineRule="auto"/>
        <w:tabs>
          <w:tab w:leader="none" w:pos="28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and Retrieval (“EDGAR”) system account, including: (a) appointing, removing and replacing account administrators, account users, technical administrators and delegated entities;</w:t>
      </w:r>
    </w:p>
    <w:p>
      <w:pPr>
        <w:spacing w:after="0" w:line="1" w:lineRule="exact"/>
        <w:rPr>
          <w:rFonts w:ascii="Times New Roman" w:cs="Times New Roman" w:eastAsia="Times New Roman" w:hAnsi="Times New Roman"/>
          <w:sz w:val="20"/>
          <w:szCs w:val="20"/>
          <w:color w:val="auto"/>
        </w:rPr>
      </w:pPr>
    </w:p>
    <w:p>
      <w:pPr>
        <w:ind w:right="40"/>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any other actions contemplated by Rule 10 of Regulation S-T with respect to account administrators;</w:t>
      </w:r>
    </w:p>
    <w:p>
      <w:pPr>
        <w:spacing w:after="0" w:line="251" w:lineRule="exact"/>
        <w:rPr>
          <w:rFonts w:ascii="Times New Roman" w:cs="Times New Roman" w:eastAsia="Times New Roman" w:hAnsi="Times New Roman"/>
          <w:sz w:val="20"/>
          <w:szCs w:val="20"/>
          <w:color w:val="auto"/>
        </w:rPr>
      </w:pPr>
    </w:p>
    <w:p>
      <w:pPr>
        <w:ind w:right="140"/>
        <w:spacing w:after="0" w:line="266" w:lineRule="auto"/>
        <w:tabs>
          <w:tab w:leader="none" w:pos="28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225" w:lineRule="exact"/>
        <w:rPr>
          <w:rFonts w:ascii="Times New Roman" w:cs="Times New Roman" w:eastAsia="Times New Roman" w:hAnsi="Times New Roman"/>
          <w:sz w:val="20"/>
          <w:szCs w:val="20"/>
          <w:color w:val="auto"/>
        </w:rPr>
      </w:pPr>
    </w:p>
    <w:p>
      <w:pPr>
        <w:ind w:right="160"/>
        <w:spacing w:after="0" w:line="282" w:lineRule="auto"/>
        <w:tabs>
          <w:tab w:leader="none" w:pos="28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of Portillo's, Inc., a Delaware corporation (the "Company"), Forms 3, 4, and 5 in accordance with Section 16(a) of the Securities Exchange Act of 1934 and the rules thereunder;</w:t>
      </w:r>
    </w:p>
    <w:p>
      <w:pPr>
        <w:spacing w:after="0" w:line="194" w:lineRule="exact"/>
        <w:rPr>
          <w:rFonts w:ascii="Times New Roman" w:cs="Times New Roman" w:eastAsia="Times New Roman" w:hAnsi="Times New Roman"/>
          <w:sz w:val="20"/>
          <w:szCs w:val="20"/>
          <w:color w:val="auto"/>
        </w:rPr>
      </w:pPr>
    </w:p>
    <w:p>
      <w:pPr>
        <w:ind w:right="100"/>
        <w:spacing w:after="0" w:line="250" w:lineRule="auto"/>
        <w:tabs>
          <w:tab w:leader="none" w:pos="28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226" w:lineRule="exact"/>
        <w:rPr>
          <w:rFonts w:ascii="Times New Roman" w:cs="Times New Roman" w:eastAsia="Times New Roman" w:hAnsi="Times New Roman"/>
          <w:sz w:val="20"/>
          <w:szCs w:val="20"/>
          <w:color w:val="auto"/>
        </w:rPr>
      </w:pPr>
    </w:p>
    <w:p>
      <w:pPr>
        <w:ind w:right="60"/>
        <w:spacing w:after="0" w:line="245" w:lineRule="auto"/>
        <w:tabs>
          <w:tab w:leader="none" w:pos="28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16 of the Securities Exchange Act of 1934.</w:t>
      </w:r>
    </w:p>
    <w:p>
      <w:pPr>
        <w:spacing w:after="0" w:line="24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19th day of September, 2025.</w:t>
      </w:r>
    </w:p>
    <w:p>
      <w:pPr>
        <w:sectPr>
          <w:pgSz w:w="11900" w:h="16838" w:orient="portrait"/>
          <w:cols w:equalWidth="0" w:num="1">
            <w:col w:w="10940"/>
          </w:cols>
          <w:pgMar w:left="480" w:top="100" w:right="47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5340"/>
        <w:spacing w:after="0"/>
        <w:rPr>
          <w:sz w:val="20"/>
          <w:szCs w:val="20"/>
          <w:color w:val="auto"/>
        </w:rPr>
      </w:pPr>
      <w:r>
        <w:rPr>
          <w:rFonts w:ascii="Arial" w:cs="Arial" w:eastAsia="Arial" w:hAnsi="Arial"/>
          <w:sz w:val="19"/>
          <w:szCs w:val="19"/>
          <w:color w:val="auto"/>
        </w:rPr>
        <w:t>/s/ Denise P.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46355</wp:posOffset>
            </wp:positionV>
            <wp:extent cx="35642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64255" cy="9525"/>
                    </a:xfrm>
                    <a:prstGeom prst="rect">
                      <a:avLst/>
                    </a:prstGeom>
                    <a:noFill/>
                  </pic:spPr>
                </pic:pic>
              </a:graphicData>
            </a:graphic>
          </wp:anchor>
        </w:drawing>
      </w:r>
    </w:p>
    <w:p>
      <w:pPr>
        <w:spacing w:after="0" w:line="62"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20"/>
          <w:szCs w:val="20"/>
          <w:color w:val="auto"/>
        </w:rPr>
        <w:t>Signature</w:t>
      </w:r>
    </w:p>
    <w:p>
      <w:pPr>
        <w:spacing w:after="0" w:line="364" w:lineRule="exact"/>
        <w:rPr>
          <w:sz w:val="20"/>
          <w:szCs w:val="20"/>
          <w:color w:val="auto"/>
        </w:rPr>
      </w:pPr>
    </w:p>
    <w:p>
      <w:pPr>
        <w:jc w:val="center"/>
        <w:ind w:left="5340"/>
        <w:spacing w:after="0"/>
        <w:rPr>
          <w:sz w:val="20"/>
          <w:szCs w:val="20"/>
          <w:color w:val="auto"/>
        </w:rPr>
      </w:pPr>
      <w:r>
        <w:rPr>
          <w:rFonts w:ascii="Arial" w:cs="Arial" w:eastAsia="Arial" w:hAnsi="Arial"/>
          <w:sz w:val="22"/>
          <w:szCs w:val="22"/>
          <w:color w:val="auto"/>
        </w:rPr>
        <w:t>Denise P.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27305</wp:posOffset>
            </wp:positionV>
            <wp:extent cx="35642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64255" cy="9525"/>
                    </a:xfrm>
                    <a:prstGeom prst="rect">
                      <a:avLst/>
                    </a:prstGeom>
                    <a:noFill/>
                  </pic:spPr>
                </pic:pic>
              </a:graphicData>
            </a:graphic>
          </wp:anchor>
        </w:drawing>
      </w:r>
    </w:p>
    <w:p>
      <w:pPr>
        <w:spacing w:after="0" w:line="3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0"/>
          <w:szCs w:val="20"/>
          <w:color w:val="auto"/>
        </w:rPr>
        <w:t>Print Name</w:t>
      </w:r>
    </w:p>
    <w:sectPr>
      <w:pgSz w:w="11900" w:h="16838" w:orient="portrait"/>
      <w:cols w:equalWidth="0" w:num="1">
        <w:col w:w="9980"/>
      </w:cols>
      <w:pgMar w:left="1440" w:top="1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089453" TargetMode="External"/><Relationship Id="rId11" Type="http://schemas.openxmlformats.org/officeDocument/2006/relationships/hyperlink" Target="http://www.sec.gov/cgi-bin/browse-edgar?action=getcompany&amp;CIK=0001871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2025-09-30T16:46:08Z</dcterms:created>
  <dcterms:modified xsi:type="dcterms:W3CDTF">2025-09-30T16:46:08Z</dcterms:modified>
</cp:coreProperties>
</file>