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LEE EUGENE I JR</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Portillo's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PTLO</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40" w:type="dxa"/>
            <w:vAlign w:val="bottom"/>
            <w:gridSpan w:val="3"/>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Borders>
              <w:bottom w:val="single" w:sz="8" w:color="0000EE"/>
            </w:tcBorders>
          </w:tcPr>
          <w:p>
            <w:pPr>
              <w:spacing w:after="0"/>
              <w:rPr>
                <w:sz w:val="6"/>
                <w:szCs w:val="6"/>
                <w:color w:val="auto"/>
              </w:rPr>
            </w:pPr>
          </w:p>
        </w:tc>
        <w:tc>
          <w:tcPr>
            <w:tcW w:w="2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40" w:type="dxa"/>
            <w:vAlign w:val="bottom"/>
            <w:gridSpan w:val="3"/>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920" w:type="dxa"/>
            <w:vAlign w:val="bottom"/>
            <w:tcBorders>
              <w:top w:val="single" w:sz="8" w:color="0000EE"/>
            </w:tcBorders>
          </w:tcPr>
          <w:p>
            <w:pPr>
              <w:spacing w:after="0"/>
              <w:rPr>
                <w:sz w:val="6"/>
                <w:szCs w:val="6"/>
                <w:color w:val="auto"/>
              </w:rPr>
            </w:pPr>
          </w:p>
        </w:tc>
        <w:tc>
          <w:tcPr>
            <w:tcW w:w="7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3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05/11/2026</w:t>
            </w:r>
          </w:p>
        </w:tc>
        <w:tc>
          <w:tcPr>
            <w:tcW w:w="26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PORTILLO'S INC.</w:t>
            </w:r>
          </w:p>
        </w:tc>
        <w:tc>
          <w:tcPr>
            <w:tcW w:w="120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40" w:type="dxa"/>
            <w:vAlign w:val="bottom"/>
            <w:gridSpan w:val="3"/>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2001 SPRING ROAD, SUITE 400</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26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OAK BROOK</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60523</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0000FF"/>
              </w:rPr>
              <w:t>05/11/2026</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70,165</w:t>
            </w:r>
          </w:p>
        </w:tc>
        <w:tc>
          <w:tcPr>
            <w:tcW w:w="4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Pr>
          <w:p>
            <w:pPr>
              <w:spacing w:after="0"/>
              <w:rPr>
                <w:sz w:val="18"/>
                <w:szCs w:val="18"/>
                <w:color w:val="auto"/>
              </w:rPr>
            </w:pPr>
          </w:p>
        </w:tc>
        <w:tc>
          <w:tcPr>
            <w:tcW w:w="620" w:type="dxa"/>
            <w:vAlign w:val="bottom"/>
            <w:gridSpan w:val="3"/>
          </w:tcPr>
          <w:p>
            <w:pPr>
              <w:ind w:left="2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4.28</w:t>
            </w:r>
            <w:r>
              <w:rPr>
                <w:rFonts w:ascii="Times New Roman" w:cs="Times New Roman" w:eastAsia="Times New Roman" w:hAnsi="Times New Roman"/>
                <w:sz w:val="22"/>
                <w:szCs w:val="22"/>
                <w:color w:val="008000"/>
                <w:vertAlign w:val="superscript"/>
              </w:rPr>
              <w:t>(1)</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0000FF"/>
              </w:rPr>
              <w:t>486,415</w:t>
            </w:r>
          </w:p>
        </w:tc>
        <w:tc>
          <w:tcPr>
            <w:tcW w:w="9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73,479</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per share reported in this column is a weighted average price. These shares were acquired in multiple transactions at prices ranging from $4.23 to $4.32, inclusive. The reporting person undertakes to provide to the Issuer or the staff of the Securities and Exchange Commission, upon request, full information regarding the number of shares purchased at each separate price within the range set forth in the preceding sentence.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Kelly M. Kaiser,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855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8552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Eugene I.</w:t>
        <w:tab/>
        <w:t>05/12/2026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Lee,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206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2067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42843" TargetMode="External"/><Relationship Id="rId14" Type="http://schemas.openxmlformats.org/officeDocument/2006/relationships/hyperlink" Target="http://www.sec.gov/cgi-bin/browse-edgar?action=getcompany&amp;CIK=000187150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2026-05-12T17:04:25Z</dcterms:created>
  <dcterms:modified xsi:type="dcterms:W3CDTF">2026-05-12T17:04:25Z</dcterms:modified>
</cp:coreProperties>
</file>