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6605.xml.htm"/>
      <w:bookmarkStart w:id="1" w:name="kswkform4_1786566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EUGENE I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PORTILLO'S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SPRING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Portillo's Inc.</w:t>
              </w:r>
            </w:hyperlink>
            <w:r>
              <w:rPr/>
              <w:t xml:space="preserve"> [ </w:t>
            </w:r>
            <w:r>
              <w:rPr>
                <w:rFonts w:ascii="Times;serif" w:hAnsi="Times;serif"/>
                <w:color w:val="0000FF"/>
                <w:sz w:val="24"/>
                <w:shd w:fill="FFFFFF" w:val="clear"/>
              </w:rPr>
              <w:t>PTLO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2"/>
        <w:gridCol w:w="771"/>
        <w:gridCol w:w="599"/>
        <w:gridCol w:w="350"/>
        <w:gridCol w:w="934"/>
        <w:gridCol w:w="459"/>
        <w:gridCol w:w="714"/>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65,355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4.59</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551,770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73,479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per share reported in this column is a weighted average price. These shares were acquired in multiple transactions at prices ranging from $4.51 to $4.63, inclusive. The reporting person undertakes to provide to the Issuer or the staff of the Securities and Exchange Commission, upon request, full information regarding the number of shares purchased at each separate price within the range set forth in the preceding sentence.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M. Kaiser, as attorney-in-fact for Eugene I. Lee,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2843" TargetMode="External"/><Relationship Id="rId5" Type="http://schemas.openxmlformats.org/officeDocument/2006/relationships/hyperlink" Target="http://www.sec.gov/cgi-bin/browse-edgar?action=getcompany&amp;CIK=0001871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3511</Characters>
  <CharactersWithSpaces>4093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