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177800</wp:posOffset>
            </wp:positionV>
            <wp:extent cx="1543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70"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u w:val="single" w:color="auto"/>
          <w:color w:val="auto"/>
        </w:rPr>
        <w:t>FORM 10-Q</w:t>
      </w:r>
    </w:p>
    <w:p>
      <w:pPr>
        <w:spacing w:after="0" w:line="200" w:lineRule="exact"/>
        <w:rPr>
          <w:sz w:val="24"/>
          <w:szCs w:val="24"/>
          <w:color w:val="auto"/>
        </w:rPr>
      </w:pPr>
    </w:p>
    <w:p>
      <w:pPr>
        <w:spacing w:after="0" w:line="230" w:lineRule="exact"/>
        <w:rPr>
          <w:sz w:val="24"/>
          <w:szCs w:val="24"/>
          <w:color w:val="auto"/>
        </w:rPr>
      </w:pPr>
    </w:p>
    <w:p>
      <w:pPr>
        <w:ind w:left="840" w:hanging="484"/>
        <w:spacing w:after="0"/>
        <w:tabs>
          <w:tab w:leader="none" w:pos="840" w:val="left"/>
        </w:tabs>
        <w:numPr>
          <w:ilvl w:val="1"/>
          <w:numId w:val="1"/>
        </w:numPr>
        <w:rPr>
          <w:rFonts w:ascii="MS PGothic" w:cs="MS PGothic" w:eastAsia="MS PGothic" w:hAnsi="MS PGothic"/>
          <w:sz w:val="22"/>
          <w:szCs w:val="22"/>
          <w:color w:val="auto"/>
        </w:rPr>
      </w:pPr>
      <w:r>
        <w:rPr>
          <w:rFonts w:ascii="Arial" w:cs="Arial" w:eastAsia="Arial" w:hAnsi="Arial"/>
          <w:sz w:val="20"/>
          <w:szCs w:val="20"/>
          <w:color w:val="auto"/>
        </w:rPr>
        <w:t>QUARTERLY REPORT PURSUANT TO SECTION 13 OR 15(d) OF THE SECURITIES EXCHANGE ACT OF 1934</w:t>
      </w:r>
    </w:p>
    <w:p>
      <w:pPr>
        <w:spacing w:after="0" w:line="231" w:lineRule="exact"/>
        <w:rPr>
          <w:rFonts w:ascii="MS PGothic" w:cs="MS PGothic" w:eastAsia="MS PGothic" w:hAnsi="MS PGothic"/>
          <w:sz w:val="22"/>
          <w:szCs w:val="22"/>
          <w:color w:val="auto"/>
        </w:rPr>
      </w:pPr>
    </w:p>
    <w:p>
      <w:pPr>
        <w:ind w:left="3100"/>
        <w:spacing w:after="0"/>
        <w:rPr>
          <w:rFonts w:ascii="MS PGothic" w:cs="MS PGothic" w:eastAsia="MS PGothic" w:hAnsi="MS PGothic"/>
          <w:sz w:val="22"/>
          <w:szCs w:val="22"/>
          <w:color w:val="auto"/>
        </w:rPr>
      </w:pPr>
      <w:r>
        <w:rPr>
          <w:rFonts w:ascii="Arial" w:cs="Arial" w:eastAsia="Arial" w:hAnsi="Arial"/>
          <w:sz w:val="20"/>
          <w:szCs w:val="20"/>
          <w:b w:val="1"/>
          <w:bCs w:val="1"/>
          <w:color w:val="auto"/>
        </w:rPr>
        <w:t>FOR THE QUARTERLY PERIOD ENDED June 25, 2023</w:t>
      </w:r>
    </w:p>
    <w:p>
      <w:pPr>
        <w:spacing w:after="0" w:line="266" w:lineRule="exact"/>
        <w:rPr>
          <w:rFonts w:ascii="MS PGothic" w:cs="MS PGothic" w:eastAsia="MS PGothic" w:hAnsi="MS PGothic"/>
          <w:sz w:val="22"/>
          <w:szCs w:val="22"/>
          <w:color w:val="auto"/>
        </w:rPr>
      </w:pPr>
    </w:p>
    <w:p>
      <w:pPr>
        <w:ind w:left="580" w:hanging="439"/>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9"/>
          <w:szCs w:val="19"/>
          <w:color w:val="auto"/>
        </w:rPr>
        <w:t>TRANSITION REPORT PURSUANT TO SECTION 13 OR 15(d) OF THE SECURITIES EXCHANGE ACT OF 1934 FOR</w:t>
      </w:r>
    </w:p>
    <w:p>
      <w:pPr>
        <w:spacing w:after="0" w:line="39" w:lineRule="exact"/>
        <w:rPr>
          <w:sz w:val="24"/>
          <w:szCs w:val="24"/>
          <w:color w:val="auto"/>
        </w:rPr>
      </w:pPr>
    </w:p>
    <w:p>
      <w:pPr>
        <w:ind w:left="3700"/>
        <w:spacing w:after="0"/>
        <w:tabs>
          <w:tab w:leader="none" w:pos="7260" w:val="left"/>
        </w:tabs>
        <w:rPr>
          <w:sz w:val="20"/>
          <w:szCs w:val="20"/>
          <w:color w:val="auto"/>
        </w:rPr>
      </w:pPr>
      <w:r>
        <w:rPr>
          <w:rFonts w:ascii="Arial" w:cs="Arial" w:eastAsia="Arial" w:hAnsi="Arial"/>
          <w:sz w:val="20"/>
          <w:szCs w:val="20"/>
          <w:color w:val="auto"/>
        </w:rPr>
        <w:t>THE TRANSITION PERIOD FROM</w:t>
      </w:r>
      <w:r>
        <w:rPr>
          <w:sz w:val="20"/>
          <w:szCs w:val="20"/>
          <w:color w:val="auto"/>
        </w:rPr>
        <w:tab/>
      </w:r>
      <w:r>
        <w:rPr>
          <w:rFonts w:ascii="Arial" w:cs="Arial" w:eastAsia="Arial" w:hAnsi="Arial"/>
          <w:sz w:val="20"/>
          <w:szCs w:val="20"/>
          <w:color w:val="auto"/>
        </w:rPr>
        <w:t>TO</w:t>
      </w:r>
    </w:p>
    <w:p>
      <w:pPr>
        <w:spacing w:after="0" w:line="23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COMMISSION FILE NUMBER: 001-40951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13970</wp:posOffset>
            </wp:positionV>
            <wp:extent cx="2280285" cy="651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028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PORTILLO'S INC.</w:t>
      </w:r>
    </w:p>
    <w:p>
      <w:pPr>
        <w:spacing w:after="0" w:line="45"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100"/>
          </w:cols>
          <w:pgMar w:left="320" w:top="873" w:right="479" w:bottom="1440" w:gutter="0" w:footer="0" w:header="0"/>
        </w:sectPr>
      </w:pPr>
    </w:p>
    <w:p>
      <w:pPr>
        <w:spacing w:after="0" w:line="38"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87-1104304</w:t>
      </w:r>
    </w:p>
    <w:p>
      <w:pPr>
        <w:spacing w:after="0" w:line="93" w:lineRule="exact"/>
        <w:rPr>
          <w:sz w:val="24"/>
          <w:szCs w:val="24"/>
          <w:color w:val="auto"/>
        </w:rPr>
      </w:pPr>
    </w:p>
    <w:p>
      <w:pPr>
        <w:sectPr>
          <w:pgSz w:w="11900" w:h="16838" w:orient="portrait"/>
          <w:cols w:equalWidth="0" w:num="2">
            <w:col w:w="7280" w:space="720"/>
            <w:col w:w="3100"/>
          </w:cols>
          <w:pgMar w:left="320" w:top="873" w:right="479" w:bottom="1440" w:gutter="0" w:footer="0" w:header="0"/>
          <w:type w:val="continuous"/>
        </w:sectPr>
      </w:pPr>
    </w:p>
    <w:p>
      <w:pPr>
        <w:ind w:left="10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48" w:lineRule="exact"/>
        <w:rPr>
          <w:sz w:val="24"/>
          <w:szCs w:val="24"/>
          <w:color w:val="auto"/>
        </w:rPr>
      </w:pPr>
    </w:p>
    <w:p>
      <w:pPr>
        <w:sectPr>
          <w:pgSz w:w="11900" w:h="16838" w:orient="portrait"/>
          <w:cols w:equalWidth="0" w:num="2">
            <w:col w:w="6640" w:space="720"/>
            <w:col w:w="3740"/>
          </w:cols>
          <w:pgMar w:left="320" w:top="873" w:right="479" w:bottom="1440" w:gutter="0" w:footer="0" w:header="0"/>
          <w:type w:val="continuous"/>
        </w:sectPr>
      </w:pPr>
    </w:p>
    <w:p>
      <w:pPr>
        <w:jc w:val="center"/>
        <w:ind w:right="-159"/>
        <w:spacing w:after="0"/>
        <w:rPr>
          <w:sz w:val="20"/>
          <w:szCs w:val="20"/>
          <w:color w:val="auto"/>
        </w:rPr>
      </w:pPr>
      <w:r>
        <w:rPr>
          <w:rFonts w:ascii="Arial" w:cs="Arial" w:eastAsia="Arial" w:hAnsi="Arial"/>
          <w:sz w:val="17"/>
          <w:szCs w:val="17"/>
          <w:b w:val="1"/>
          <w:bCs w:val="1"/>
          <w:color w:val="auto"/>
        </w:rPr>
        <w:t>2001 Spring Road, Suite 400, Oak Brook, Illinois 60523</w:t>
      </w:r>
    </w:p>
    <w:p>
      <w:pPr>
        <w:spacing w:after="0" w:line="82"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(Address of principal executive offices)</w:t>
      </w:r>
    </w:p>
    <w:p>
      <w:pPr>
        <w:spacing w:after="0" w:line="11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(630) 954-3773</w:t>
      </w:r>
    </w:p>
    <w:p>
      <w:pPr>
        <w:spacing w:after="0" w:line="37"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(Registrant’s telephone number, including area code)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w:t>
      </w:r>
    </w:p>
    <w:p>
      <w:pPr>
        <w:spacing w:after="0" w:line="81" w:lineRule="exact"/>
        <w:rPr>
          <w:sz w:val="24"/>
          <w:szCs w:val="24"/>
          <w:color w:val="auto"/>
        </w:rPr>
      </w:pPr>
    </w:p>
    <w:p>
      <w:pPr>
        <w:ind w:left="302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100"/>
          </w:cols>
          <w:pgMar w:left="320" w:top="873" w:right="479" w:bottom="1440" w:gutter="0" w:footer="0" w:header="0"/>
          <w:type w:val="continuous"/>
        </w:sectPr>
      </w:pPr>
    </w:p>
    <w:p>
      <w:pPr>
        <w:spacing w:after="0" w:line="51"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81" w:lineRule="exact"/>
        <w:rPr>
          <w:sz w:val="24"/>
          <w:szCs w:val="24"/>
          <w:color w:val="auto"/>
        </w:rPr>
      </w:pPr>
    </w:p>
    <w:p>
      <w:pPr>
        <w:sectPr>
          <w:pgSz w:w="11900" w:h="16838" w:orient="portrait"/>
          <w:cols w:equalWidth="0" w:num="3">
            <w:col w:w="4580" w:space="720"/>
            <w:col w:w="1220" w:space="720"/>
            <w:col w:w="3860"/>
          </w:cols>
          <w:pgMar w:left="320" w:top="873" w:right="47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Class A 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PTLO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200" w:lineRule="exact"/>
        <w:rPr>
          <w:sz w:val="24"/>
          <w:szCs w:val="24"/>
          <w:color w:val="auto"/>
        </w:rPr>
      </w:pPr>
    </w:p>
    <w:p>
      <w:pPr>
        <w:sectPr>
          <w:pgSz w:w="11900" w:h="16838" w:orient="portrait"/>
          <w:cols w:equalWidth="0" w:num="3">
            <w:col w:w="4980" w:space="720"/>
            <w:col w:w="1460" w:space="720"/>
            <w:col w:w="3220"/>
          </w:cols>
          <w:pgMar w:left="320" w:top="873" w:right="479" w:bottom="1440" w:gutter="0" w:footer="0" w:header="0"/>
          <w:type w:val="continuous"/>
        </w:sectPr>
      </w:pPr>
    </w:p>
    <w:p>
      <w:pPr>
        <w:spacing w:after="0" w:line="170" w:lineRule="exact"/>
        <w:rPr>
          <w:sz w:val="24"/>
          <w:szCs w:val="24"/>
          <w:color w:val="auto"/>
        </w:rPr>
      </w:pPr>
    </w:p>
    <w:p>
      <w:pPr>
        <w:jc w:val="both"/>
        <w:ind w:right="32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0" w:lineRule="exact"/>
        <w:rPr>
          <w:sz w:val="24"/>
          <w:szCs w:val="24"/>
          <w:color w:val="auto"/>
        </w:rPr>
      </w:pPr>
    </w:p>
    <w:p>
      <w:pPr>
        <w:ind w:right="100"/>
        <w:spacing w:after="0" w:line="20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640" w:type="dxa"/>
        <w:tblCellMar>
          <w:top w:w="0" w:type="dxa"/>
          <w:left w:w="0" w:type="dxa"/>
          <w:bottom w:w="0" w:type="dxa"/>
          <w:right w:w="0" w:type="dxa"/>
        </w:tblCellMar>
      </w:tblPr>
      <w:tr>
        <w:trPr>
          <w:trHeight w:val="253"/>
        </w:trPr>
        <w:tc>
          <w:tcPr>
            <w:tcW w:w="2060" w:type="dxa"/>
            <w:vAlign w:val="bottom"/>
          </w:tcPr>
          <w:p>
            <w:pPr>
              <w:jc w:val="center"/>
              <w:ind w:right="359"/>
              <w:spacing w:after="0"/>
              <w:rPr>
                <w:sz w:val="20"/>
                <w:szCs w:val="20"/>
                <w:color w:val="auto"/>
              </w:rPr>
            </w:pPr>
            <w:r>
              <w:rPr>
                <w:rFonts w:ascii="Arial" w:cs="Arial" w:eastAsia="Arial" w:hAnsi="Arial"/>
                <w:sz w:val="16"/>
                <w:szCs w:val="16"/>
                <w:color w:val="auto"/>
              </w:rPr>
              <w:t>Large accelerated filer</w:t>
            </w:r>
          </w:p>
        </w:tc>
        <w:tc>
          <w:tcPr>
            <w:tcW w:w="17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jc w:val="center"/>
              <w:ind w:left="359"/>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60" w:type="dxa"/>
            <w:vAlign w:val="bottom"/>
          </w:tcPr>
          <w:p>
            <w:pPr>
              <w:jc w:val="center"/>
              <w:ind w:right="359"/>
              <w:spacing w:after="0"/>
              <w:rPr>
                <w:sz w:val="20"/>
                <w:szCs w:val="20"/>
                <w:color w:val="auto"/>
              </w:rPr>
            </w:pPr>
            <w:r>
              <w:rPr>
                <w:rFonts w:ascii="Arial" w:cs="Arial" w:eastAsia="Arial" w:hAnsi="Arial"/>
                <w:sz w:val="16"/>
                <w:szCs w:val="16"/>
                <w:color w:val="auto"/>
              </w:rPr>
              <w:t>Non-accelerated filer</w:t>
            </w:r>
          </w:p>
        </w:tc>
        <w:tc>
          <w:tcPr>
            <w:tcW w:w="17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jc w:val="center"/>
              <w:ind w:left="359"/>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780" w:type="dxa"/>
            <w:vAlign w:val="bottom"/>
          </w:tcPr>
          <w:p>
            <w:pPr>
              <w:jc w:val="center"/>
              <w:ind w:left="359"/>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8" w:lineRule="exact"/>
        <w:rPr>
          <w:sz w:val="24"/>
          <w:szCs w:val="24"/>
          <w:color w:val="auto"/>
        </w:rPr>
      </w:pPr>
    </w:p>
    <w:p>
      <w:pPr>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3" w:lineRule="exact"/>
        <w:rPr>
          <w:sz w:val="24"/>
          <w:szCs w:val="24"/>
          <w:color w:val="auto"/>
        </w:rPr>
      </w:pPr>
    </w:p>
    <w:p>
      <w:pPr>
        <w:ind w:left="5280" w:hanging="378"/>
        <w:spacing w:after="0" w:line="184" w:lineRule="exact"/>
        <w:tabs>
          <w:tab w:leader="none" w:pos="52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As of July 27, 2023, there were 55,101,465 shares of the registrant's Class A common stock, par value $0.01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73"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41404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25400</wp:posOffset>
            </wp:positionV>
            <wp:extent cx="5966460"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480" w:type="dxa"/>
            <w:vAlign w:val="bottom"/>
            <w:gridSpan w:val="2"/>
          </w:tcPr>
          <w:p>
            <w:pPr>
              <w:spacing w:after="0"/>
              <w:rPr>
                <w:sz w:val="20"/>
                <w:szCs w:val="20"/>
                <w:color w:val="auto"/>
              </w:rPr>
            </w:pPr>
            <w:r>
              <w:rPr>
                <w:rFonts w:ascii="Arial" w:cs="Arial" w:eastAsia="Arial" w:hAnsi="Arial"/>
                <w:sz w:val="18"/>
                <w:szCs w:val="18"/>
                <w:b w:val="1"/>
                <w:bCs w:val="1"/>
                <w:color w:val="auto"/>
              </w:rPr>
              <w:t>Cautionary Note Regarding Forward-Looking Information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6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900" w:type="dxa"/>
            <w:vAlign w:val="bottom"/>
            <w:tcBorders>
              <w:top w:val="single" w:sz="8" w:color="auto"/>
            </w:tcBorders>
          </w:tcPr>
          <w:p>
            <w:pPr>
              <w:spacing w:after="0"/>
              <w:rPr>
                <w:sz w:val="4"/>
                <w:szCs w:val="4"/>
                <w:color w:val="auto"/>
              </w:rPr>
            </w:pPr>
          </w:p>
        </w:tc>
        <w:tc>
          <w:tcPr>
            <w:tcW w:w="55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70"/>
        </w:trPr>
        <w:tc>
          <w:tcPr>
            <w:tcW w:w="20" w:type="dxa"/>
            <w:vAlign w:val="bottom"/>
            <w:shd w:val="clear" w:color="auto" w:fill="DBDBDB"/>
          </w:tcPr>
          <w:p>
            <w:pPr>
              <w:spacing w:after="0"/>
              <w:rPr>
                <w:sz w:val="23"/>
                <w:szCs w:val="23"/>
                <w:color w:val="auto"/>
              </w:rPr>
            </w:pPr>
          </w:p>
        </w:tc>
        <w:tc>
          <w:tcPr>
            <w:tcW w:w="4900" w:type="dxa"/>
            <w:vAlign w:val="bottom"/>
            <w:shd w:val="clear" w:color="auto" w:fill="DBDBDB"/>
          </w:tcPr>
          <w:p>
            <w:pPr>
              <w:spacing w:after="0"/>
              <w:rPr>
                <w:sz w:val="23"/>
                <w:szCs w:val="23"/>
                <w:color w:val="auto"/>
              </w:rPr>
            </w:pPr>
          </w:p>
        </w:tc>
        <w:tc>
          <w:tcPr>
            <w:tcW w:w="558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640" w:type="dxa"/>
            <w:vAlign w:val="bottom"/>
            <w:shd w:val="clear" w:color="auto" w:fill="DBDBDB"/>
          </w:tcPr>
          <w:p>
            <w:pPr>
              <w:spacing w:after="0"/>
              <w:rPr>
                <w:sz w:val="23"/>
                <w:szCs w:val="2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gridSpan w:val="2"/>
          </w:tcPr>
          <w:p>
            <w:pPr>
              <w:spacing w:after="0" w:line="216" w:lineRule="exact"/>
              <w:rPr>
                <w:sz w:val="20"/>
                <w:szCs w:val="20"/>
                <w:color w:val="auto"/>
              </w:rPr>
            </w:pPr>
            <w:r>
              <w:rPr>
                <w:rFonts w:ascii="Arial" w:cs="Arial" w:eastAsia="Arial" w:hAnsi="Arial"/>
                <w:sz w:val="20"/>
                <w:szCs w:val="20"/>
                <w:b w:val="1"/>
                <w:bCs w:val="1"/>
                <w:color w:val="auto"/>
              </w:rPr>
              <w:t>Part I</w:t>
            </w:r>
          </w:p>
        </w:tc>
        <w:tc>
          <w:tcPr>
            <w:tcW w:w="8080" w:type="dxa"/>
            <w:vAlign w:val="bottom"/>
            <w:gridSpan w:val="13"/>
          </w:tcPr>
          <w:p>
            <w:pPr>
              <w:spacing w:after="0" w:line="216" w:lineRule="exact"/>
              <w:rPr>
                <w:sz w:val="20"/>
                <w:szCs w:val="20"/>
                <w:color w:val="auto"/>
              </w:rPr>
            </w:pPr>
            <w:r>
              <w:rPr>
                <w:rFonts w:ascii="Arial" w:cs="Arial" w:eastAsia="Arial" w:hAnsi="Arial"/>
                <w:sz w:val="20"/>
                <w:szCs w:val="20"/>
                <w:b w:val="1"/>
                <w:bCs w:val="1"/>
                <w:color w:val="auto"/>
              </w:rPr>
              <w:t>Financial Information</w:t>
            </w: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0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250"/>
        </w:trPr>
        <w:tc>
          <w:tcPr>
            <w:tcW w:w="20" w:type="dxa"/>
            <w:vAlign w:val="bottom"/>
            <w:tcBorders>
              <w:bottom w:val="single" w:sz="8" w:color="DBDBDB"/>
            </w:tcBorders>
            <w:shd w:val="clear" w:color="auto" w:fill="DBDBDB"/>
          </w:tcPr>
          <w:p>
            <w:pPr>
              <w:spacing w:after="0"/>
              <w:rPr>
                <w:sz w:val="21"/>
                <w:szCs w:val="21"/>
                <w:color w:val="auto"/>
              </w:rPr>
            </w:pPr>
          </w:p>
        </w:tc>
        <w:tc>
          <w:tcPr>
            <w:tcW w:w="500" w:type="dxa"/>
            <w:vAlign w:val="bottom"/>
            <w:tcBorders>
              <w:bottom w:val="single" w:sz="8" w:color="DBDBDB"/>
            </w:tcBorders>
            <w:shd w:val="clear" w:color="auto" w:fill="DBDBDB"/>
          </w:tcPr>
          <w:p>
            <w:pPr>
              <w:spacing w:after="0"/>
              <w:rPr>
                <w:sz w:val="21"/>
                <w:szCs w:val="21"/>
                <w:color w:val="auto"/>
              </w:rPr>
            </w:pPr>
          </w:p>
        </w:tc>
        <w:tc>
          <w:tcPr>
            <w:tcW w:w="500" w:type="dxa"/>
            <w:vAlign w:val="bottom"/>
            <w:tcBorders>
              <w:bottom w:val="single" w:sz="8" w:color="DBDBDB"/>
            </w:tcBorders>
            <w:shd w:val="clear" w:color="auto" w:fill="DBDBDB"/>
          </w:tcPr>
          <w:p>
            <w:pPr>
              <w:spacing w:after="0"/>
              <w:rPr>
                <w:sz w:val="21"/>
                <w:szCs w:val="21"/>
                <w:color w:val="auto"/>
              </w:rPr>
            </w:pPr>
          </w:p>
        </w:tc>
        <w:tc>
          <w:tcPr>
            <w:tcW w:w="560" w:type="dxa"/>
            <w:vAlign w:val="bottom"/>
            <w:tcBorders>
              <w:bottom w:val="single" w:sz="8" w:color="auto"/>
            </w:tcBorders>
            <w:shd w:val="clear" w:color="auto" w:fill="DBDBDB"/>
          </w:tcPr>
          <w:p>
            <w:pPr>
              <w:spacing w:after="0" w:line="202" w:lineRule="exact"/>
              <w:rPr>
                <w:sz w:val="20"/>
                <w:szCs w:val="20"/>
                <w:color w:val="auto"/>
              </w:rPr>
            </w:pPr>
            <w:r>
              <w:rPr>
                <w:rFonts w:ascii="Arial" w:cs="Arial" w:eastAsia="Arial" w:hAnsi="Arial"/>
                <w:sz w:val="18"/>
                <w:szCs w:val="18"/>
                <w:color w:val="auto"/>
                <w:w w:val="98"/>
              </w:rPr>
              <w:t>Item 1.</w:t>
            </w:r>
          </w:p>
        </w:tc>
        <w:tc>
          <w:tcPr>
            <w:tcW w:w="460" w:type="dxa"/>
            <w:vAlign w:val="bottom"/>
            <w:tcBorders>
              <w:bottom w:val="single" w:sz="8" w:color="DBDBDB"/>
            </w:tcBorders>
            <w:shd w:val="clear" w:color="auto" w:fill="DBDBDB"/>
          </w:tcPr>
          <w:p>
            <w:pPr>
              <w:spacing w:after="0"/>
              <w:rPr>
                <w:sz w:val="21"/>
                <w:szCs w:val="21"/>
                <w:color w:val="auto"/>
              </w:rPr>
            </w:pPr>
          </w:p>
        </w:tc>
        <w:tc>
          <w:tcPr>
            <w:tcW w:w="2680" w:type="dxa"/>
            <w:vAlign w:val="bottom"/>
            <w:tcBorders>
              <w:bottom w:val="single" w:sz="8" w:color="auto"/>
            </w:tcBorders>
            <w:gridSpan w:val="4"/>
            <w:shd w:val="clear" w:color="auto" w:fill="DBDBDB"/>
          </w:tcPr>
          <w:p>
            <w:pPr>
              <w:spacing w:after="0" w:line="202" w:lineRule="exact"/>
              <w:rPr>
                <w:sz w:val="20"/>
                <w:szCs w:val="20"/>
                <w:color w:val="auto"/>
              </w:rPr>
            </w:pPr>
            <w:r>
              <w:rPr>
                <w:rFonts w:ascii="Arial" w:cs="Arial" w:eastAsia="Arial" w:hAnsi="Arial"/>
                <w:sz w:val="18"/>
                <w:szCs w:val="18"/>
                <w:color w:val="auto"/>
                <w:w w:val="99"/>
              </w:rPr>
              <w:t>Financial Statements (Unaudited)</w:t>
            </w:r>
          </w:p>
        </w:tc>
        <w:tc>
          <w:tcPr>
            <w:tcW w:w="4380" w:type="dxa"/>
            <w:vAlign w:val="bottom"/>
            <w:tcBorders>
              <w:bottom w:val="single" w:sz="8" w:color="DBDBDB"/>
            </w:tcBorders>
            <w:gridSpan w:val="7"/>
            <w:shd w:val="clear" w:color="auto" w:fill="DBDBDB"/>
          </w:tcPr>
          <w:p>
            <w:pPr>
              <w:spacing w:after="0"/>
              <w:rPr>
                <w:sz w:val="21"/>
                <w:szCs w:val="21"/>
                <w:color w:val="auto"/>
              </w:rPr>
            </w:pPr>
          </w:p>
        </w:tc>
        <w:tc>
          <w:tcPr>
            <w:tcW w:w="1400" w:type="dxa"/>
            <w:vAlign w:val="bottom"/>
            <w:tcBorders>
              <w:bottom w:val="single" w:sz="8" w:color="DBDBDB"/>
            </w:tcBorders>
            <w:gridSpan w:val="2"/>
            <w:shd w:val="clear" w:color="auto" w:fill="DBDBDB"/>
          </w:tcPr>
          <w:p>
            <w:pPr>
              <w:spacing w:after="0"/>
              <w:rPr>
                <w:sz w:val="21"/>
                <w:szCs w:val="21"/>
                <w:color w:val="auto"/>
              </w:rPr>
            </w:pPr>
          </w:p>
        </w:tc>
        <w:tc>
          <w:tcPr>
            <w:tcW w:w="100" w:type="dxa"/>
            <w:vAlign w:val="bottom"/>
            <w:tcBorders>
              <w:bottom w:val="single" w:sz="8" w:color="auto"/>
            </w:tcBorders>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3</w:t>
            </w:r>
          </w:p>
        </w:tc>
        <w:tc>
          <w:tcPr>
            <w:tcW w:w="6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DBDBDB"/>
            </w:tcBorders>
            <w:shd w:val="clear" w:color="auto" w:fill="DBDBDB"/>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40" w:type="dxa"/>
            <w:vAlign w:val="bottom"/>
            <w:gridSpan w:val="10"/>
          </w:tcPr>
          <w:p>
            <w:pPr>
              <w:spacing w:after="0" w:line="202" w:lineRule="exact"/>
              <w:rPr>
                <w:sz w:val="20"/>
                <w:szCs w:val="20"/>
                <w:color w:val="auto"/>
              </w:rPr>
            </w:pPr>
            <w:r>
              <w:rPr>
                <w:rFonts w:ascii="Arial" w:cs="Arial" w:eastAsia="Arial" w:hAnsi="Arial"/>
                <w:sz w:val="18"/>
                <w:szCs w:val="18"/>
                <w:color w:val="auto"/>
              </w:rPr>
              <w:t>Condensed Consolidated Balance Sheets</w:t>
            </w:r>
          </w:p>
        </w:tc>
        <w:tc>
          <w:tcPr>
            <w:tcW w:w="1500" w:type="dxa"/>
            <w:vAlign w:val="bottom"/>
            <w:gridSpan w:val="3"/>
          </w:tcPr>
          <w:p>
            <w:pPr>
              <w:jc w:val="center"/>
              <w:ind w:left="1310"/>
              <w:spacing w:after="0" w:line="202" w:lineRule="exact"/>
              <w:rPr>
                <w:sz w:val="20"/>
                <w:szCs w:val="20"/>
                <w:color w:val="auto"/>
              </w:rPr>
            </w:pPr>
            <w:r>
              <w:rPr>
                <w:rFonts w:ascii="Arial" w:cs="Arial" w:eastAsia="Arial" w:hAnsi="Arial"/>
                <w:sz w:val="18"/>
                <w:szCs w:val="18"/>
                <w:color w:val="auto"/>
                <w:w w:val="99"/>
              </w:rPr>
              <w:t>3</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6940" w:type="dxa"/>
            <w:vAlign w:val="bottom"/>
            <w:gridSpan w:val="10"/>
            <w:shd w:val="clear" w:color="auto" w:fill="DBDBDB"/>
          </w:tcPr>
          <w:p>
            <w:pPr>
              <w:spacing w:after="0" w:line="202" w:lineRule="exact"/>
              <w:rPr>
                <w:sz w:val="20"/>
                <w:szCs w:val="20"/>
                <w:color w:val="auto"/>
              </w:rPr>
            </w:pPr>
            <w:r>
              <w:rPr>
                <w:rFonts w:ascii="Arial" w:cs="Arial" w:eastAsia="Arial" w:hAnsi="Arial"/>
                <w:sz w:val="18"/>
                <w:szCs w:val="18"/>
                <w:color w:val="auto"/>
              </w:rPr>
              <w:t>Condensed Consolidated Statements of Operations</w:t>
            </w:r>
          </w:p>
        </w:tc>
        <w:tc>
          <w:tcPr>
            <w:tcW w:w="1500" w:type="dxa"/>
            <w:vAlign w:val="bottom"/>
            <w:gridSpan w:val="3"/>
            <w:shd w:val="clear" w:color="auto" w:fill="DBDBDB"/>
          </w:tcPr>
          <w:p>
            <w:pPr>
              <w:jc w:val="center"/>
              <w:ind w:left="1310"/>
              <w:spacing w:after="0" w:line="202" w:lineRule="exact"/>
              <w:rPr>
                <w:sz w:val="20"/>
                <w:szCs w:val="20"/>
                <w:color w:val="auto"/>
              </w:rPr>
            </w:pPr>
            <w:r>
              <w:rPr>
                <w:rFonts w:ascii="Arial" w:cs="Arial" w:eastAsia="Arial" w:hAnsi="Arial"/>
                <w:sz w:val="18"/>
                <w:szCs w:val="18"/>
                <w:color w:val="auto"/>
                <w:w w:val="99"/>
              </w:rPr>
              <w:t>4</w:t>
            </w:r>
          </w:p>
        </w:tc>
        <w:tc>
          <w:tcPr>
            <w:tcW w:w="6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860" w:type="dxa"/>
            <w:vAlign w:val="bottom"/>
            <w:tcBorders>
              <w:top w:val="single" w:sz="8" w:color="auto"/>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60" w:type="dxa"/>
            <w:vAlign w:val="bottom"/>
            <w:tcBorders>
              <w:top w:val="single" w:sz="8" w:color="DBDBDB"/>
            </w:tcBorders>
            <w:shd w:val="clear" w:color="auto" w:fill="DBDBDB"/>
          </w:tcPr>
          <w:p>
            <w:pPr>
              <w:spacing w:after="0"/>
              <w:rPr>
                <w:sz w:val="4"/>
                <w:szCs w:val="4"/>
                <w:color w:val="auto"/>
              </w:rPr>
            </w:pPr>
          </w:p>
        </w:tc>
        <w:tc>
          <w:tcPr>
            <w:tcW w:w="2100" w:type="dxa"/>
            <w:vAlign w:val="bottom"/>
            <w:tcBorders>
              <w:top w:val="single" w:sz="8" w:color="DBDBDB"/>
            </w:tcBorders>
            <w:shd w:val="clear" w:color="auto" w:fill="DBDBDB"/>
          </w:tcPr>
          <w:p>
            <w:pPr>
              <w:spacing w:after="0"/>
              <w:rPr>
                <w:sz w:val="4"/>
                <w:szCs w:val="4"/>
                <w:color w:val="auto"/>
              </w:rPr>
            </w:pPr>
          </w:p>
        </w:tc>
        <w:tc>
          <w:tcPr>
            <w:tcW w:w="13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40" w:type="dxa"/>
            <w:vAlign w:val="bottom"/>
            <w:gridSpan w:val="10"/>
          </w:tcPr>
          <w:p>
            <w:pPr>
              <w:spacing w:after="0" w:line="202" w:lineRule="exact"/>
              <w:rPr>
                <w:sz w:val="20"/>
                <w:szCs w:val="20"/>
                <w:color w:val="auto"/>
              </w:rPr>
            </w:pPr>
            <w:r>
              <w:rPr>
                <w:rFonts w:ascii="Arial" w:cs="Arial" w:eastAsia="Arial" w:hAnsi="Arial"/>
                <w:sz w:val="18"/>
                <w:szCs w:val="18"/>
                <w:color w:val="auto"/>
              </w:rPr>
              <w:t>Condensed Consolidated Statements of Stockholders' Equity</w:t>
            </w:r>
          </w:p>
        </w:tc>
        <w:tc>
          <w:tcPr>
            <w:tcW w:w="1500" w:type="dxa"/>
            <w:vAlign w:val="bottom"/>
            <w:gridSpan w:val="3"/>
          </w:tcPr>
          <w:p>
            <w:pPr>
              <w:jc w:val="center"/>
              <w:ind w:left="1310"/>
              <w:spacing w:after="0" w:line="202" w:lineRule="exact"/>
              <w:rPr>
                <w:sz w:val="20"/>
                <w:szCs w:val="20"/>
                <w:color w:val="auto"/>
              </w:rPr>
            </w:pPr>
            <w:r>
              <w:rPr>
                <w:rFonts w:ascii="Arial" w:cs="Arial" w:eastAsia="Arial" w:hAnsi="Arial"/>
                <w:sz w:val="18"/>
                <w:szCs w:val="18"/>
                <w:color w:val="auto"/>
                <w:w w:val="99"/>
              </w:rPr>
              <w:t>6</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6940" w:type="dxa"/>
            <w:vAlign w:val="bottom"/>
            <w:gridSpan w:val="10"/>
            <w:shd w:val="clear" w:color="auto" w:fill="DBDBDB"/>
          </w:tcPr>
          <w:p>
            <w:pPr>
              <w:spacing w:after="0" w:line="202" w:lineRule="exact"/>
              <w:rPr>
                <w:sz w:val="20"/>
                <w:szCs w:val="20"/>
                <w:color w:val="auto"/>
              </w:rPr>
            </w:pPr>
            <w:r>
              <w:rPr>
                <w:rFonts w:ascii="Arial" w:cs="Arial" w:eastAsia="Arial" w:hAnsi="Arial"/>
                <w:sz w:val="18"/>
                <w:szCs w:val="18"/>
                <w:color w:val="auto"/>
              </w:rPr>
              <w:t>Condensed Consolidated Statements of Cash Flows</w:t>
            </w:r>
          </w:p>
        </w:tc>
        <w:tc>
          <w:tcPr>
            <w:tcW w:w="1500" w:type="dxa"/>
            <w:vAlign w:val="bottom"/>
            <w:gridSpan w:val="3"/>
            <w:shd w:val="clear" w:color="auto" w:fill="DBDBDB"/>
          </w:tcPr>
          <w:p>
            <w:pPr>
              <w:jc w:val="center"/>
              <w:ind w:left="1310"/>
              <w:spacing w:after="0" w:line="202" w:lineRule="exact"/>
              <w:rPr>
                <w:sz w:val="20"/>
                <w:szCs w:val="20"/>
                <w:color w:val="auto"/>
              </w:rPr>
            </w:pPr>
            <w:r>
              <w:rPr>
                <w:rFonts w:ascii="Arial" w:cs="Arial" w:eastAsia="Arial" w:hAnsi="Arial"/>
                <w:sz w:val="18"/>
                <w:szCs w:val="18"/>
                <w:color w:val="auto"/>
                <w:w w:val="99"/>
              </w:rPr>
              <w:t>7</w:t>
            </w:r>
          </w:p>
        </w:tc>
        <w:tc>
          <w:tcPr>
            <w:tcW w:w="6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860" w:type="dxa"/>
            <w:vAlign w:val="bottom"/>
            <w:tcBorders>
              <w:top w:val="single" w:sz="8" w:color="auto"/>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60" w:type="dxa"/>
            <w:vAlign w:val="bottom"/>
            <w:tcBorders>
              <w:top w:val="single" w:sz="8" w:color="DBDBDB"/>
            </w:tcBorders>
            <w:shd w:val="clear" w:color="auto" w:fill="DBDBDB"/>
          </w:tcPr>
          <w:p>
            <w:pPr>
              <w:spacing w:after="0"/>
              <w:rPr>
                <w:sz w:val="4"/>
                <w:szCs w:val="4"/>
                <w:color w:val="auto"/>
              </w:rPr>
            </w:pPr>
          </w:p>
        </w:tc>
        <w:tc>
          <w:tcPr>
            <w:tcW w:w="2100" w:type="dxa"/>
            <w:vAlign w:val="bottom"/>
            <w:tcBorders>
              <w:top w:val="single" w:sz="8" w:color="DBDBDB"/>
            </w:tcBorders>
            <w:shd w:val="clear" w:color="auto" w:fill="DBDBDB"/>
          </w:tcPr>
          <w:p>
            <w:pPr>
              <w:spacing w:after="0"/>
              <w:rPr>
                <w:sz w:val="4"/>
                <w:szCs w:val="4"/>
                <w:color w:val="auto"/>
              </w:rPr>
            </w:pPr>
          </w:p>
        </w:tc>
        <w:tc>
          <w:tcPr>
            <w:tcW w:w="13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40" w:type="dxa"/>
            <w:vAlign w:val="bottom"/>
            <w:gridSpan w:val="10"/>
          </w:tcPr>
          <w:p>
            <w:pPr>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500" w:type="dxa"/>
            <w:vAlign w:val="bottom"/>
            <w:gridSpan w:val="3"/>
          </w:tcPr>
          <w:p>
            <w:pPr>
              <w:jc w:val="center"/>
              <w:ind w:left="1310"/>
              <w:spacing w:after="0" w:line="202" w:lineRule="exact"/>
              <w:rPr>
                <w:sz w:val="20"/>
                <w:szCs w:val="20"/>
                <w:color w:val="auto"/>
              </w:rPr>
            </w:pPr>
            <w:r>
              <w:rPr>
                <w:rFonts w:ascii="Arial" w:cs="Arial" w:eastAsia="Arial" w:hAnsi="Arial"/>
                <w:sz w:val="18"/>
                <w:szCs w:val="18"/>
                <w:color w:val="auto"/>
                <w:w w:val="99"/>
              </w:rPr>
              <w:t>9</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w w:val="98"/>
              </w:rPr>
              <w:t>Item 2.</w:t>
            </w:r>
          </w:p>
        </w:tc>
        <w:tc>
          <w:tcPr>
            <w:tcW w:w="460" w:type="dxa"/>
            <w:vAlign w:val="bottom"/>
            <w:shd w:val="clear" w:color="auto" w:fill="DBDBDB"/>
          </w:tcPr>
          <w:p>
            <w:pPr>
              <w:spacing w:after="0"/>
              <w:rPr>
                <w:sz w:val="17"/>
                <w:szCs w:val="17"/>
                <w:color w:val="auto"/>
              </w:rPr>
            </w:pPr>
          </w:p>
        </w:tc>
        <w:tc>
          <w:tcPr>
            <w:tcW w:w="7060" w:type="dxa"/>
            <w:vAlign w:val="bottom"/>
            <w:gridSpan w:val="11"/>
            <w:shd w:val="clear" w:color="auto" w:fill="DBDBDB"/>
          </w:tcPr>
          <w:p>
            <w:pPr>
              <w:spacing w:after="0" w:line="202" w:lineRule="exact"/>
              <w:rPr>
                <w:sz w:val="20"/>
                <w:szCs w:val="20"/>
                <w:color w:val="auto"/>
              </w:rPr>
            </w:pPr>
            <w:r>
              <w:rPr>
                <w:rFonts w:ascii="Arial" w:cs="Arial" w:eastAsia="Arial" w:hAnsi="Arial"/>
                <w:sz w:val="18"/>
                <w:szCs w:val="18"/>
                <w:color w:val="auto"/>
                <w:w w:val="99"/>
              </w:rPr>
              <w:t>Management's Discussion and Analysis of Financial Condition and Results of Operations</w:t>
            </w:r>
          </w:p>
        </w:tc>
        <w:tc>
          <w:tcPr>
            <w:tcW w:w="1560" w:type="dxa"/>
            <w:vAlign w:val="bottom"/>
            <w:gridSpan w:val="4"/>
            <w:shd w:val="clear" w:color="auto" w:fill="DBDBDB"/>
          </w:tcPr>
          <w:p>
            <w:pPr>
              <w:jc w:val="center"/>
              <w:ind w:left="1270"/>
              <w:spacing w:after="0" w:line="202" w:lineRule="exact"/>
              <w:rPr>
                <w:sz w:val="20"/>
                <w:szCs w:val="20"/>
                <w:color w:val="auto"/>
              </w:rPr>
            </w:pPr>
            <w:r>
              <w:rPr>
                <w:rFonts w:ascii="Arial" w:cs="Arial" w:eastAsia="Arial" w:hAnsi="Arial"/>
                <w:sz w:val="18"/>
                <w:szCs w:val="18"/>
                <w:color w:val="auto"/>
                <w:w w:val="99"/>
              </w:rPr>
              <w:t>23</w:t>
            </w:r>
          </w:p>
        </w:tc>
        <w:tc>
          <w:tcPr>
            <w:tcW w:w="58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auto"/>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860" w:type="dxa"/>
            <w:vAlign w:val="bottom"/>
            <w:tcBorders>
              <w:top w:val="single" w:sz="8" w:color="auto"/>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260" w:type="dxa"/>
            <w:vAlign w:val="bottom"/>
            <w:tcBorders>
              <w:top w:val="single" w:sz="8" w:color="auto"/>
            </w:tcBorders>
            <w:shd w:val="clear" w:color="auto" w:fill="DBDBDB"/>
          </w:tcPr>
          <w:p>
            <w:pPr>
              <w:spacing w:after="0"/>
              <w:rPr>
                <w:sz w:val="4"/>
                <w:szCs w:val="4"/>
                <w:color w:val="auto"/>
              </w:rPr>
            </w:pPr>
          </w:p>
        </w:tc>
        <w:tc>
          <w:tcPr>
            <w:tcW w:w="2100" w:type="dxa"/>
            <w:vAlign w:val="bottom"/>
            <w:tcBorders>
              <w:top w:val="single" w:sz="8" w:color="auto"/>
            </w:tcBorders>
            <w:shd w:val="clear" w:color="auto" w:fill="DBDBDB"/>
          </w:tcPr>
          <w:p>
            <w:pPr>
              <w:spacing w:after="0"/>
              <w:rPr>
                <w:sz w:val="4"/>
                <w:szCs w:val="4"/>
                <w:color w:val="auto"/>
              </w:rPr>
            </w:pPr>
          </w:p>
        </w:tc>
        <w:tc>
          <w:tcPr>
            <w:tcW w:w="13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line="202" w:lineRule="exact"/>
              <w:rPr>
                <w:sz w:val="20"/>
                <w:szCs w:val="20"/>
                <w:color w:val="auto"/>
              </w:rPr>
            </w:pPr>
            <w:r>
              <w:rPr>
                <w:rFonts w:ascii="Arial" w:cs="Arial" w:eastAsia="Arial" w:hAnsi="Arial"/>
                <w:sz w:val="18"/>
                <w:szCs w:val="18"/>
                <w:color w:val="auto"/>
                <w:w w:val="98"/>
              </w:rPr>
              <w:t>Item 3.</w:t>
            </w:r>
          </w:p>
        </w:tc>
        <w:tc>
          <w:tcPr>
            <w:tcW w:w="460" w:type="dxa"/>
            <w:vAlign w:val="bottom"/>
          </w:tcPr>
          <w:p>
            <w:pPr>
              <w:spacing w:after="0"/>
              <w:rPr>
                <w:sz w:val="17"/>
                <w:szCs w:val="17"/>
                <w:color w:val="auto"/>
              </w:rPr>
            </w:pPr>
          </w:p>
        </w:tc>
        <w:tc>
          <w:tcPr>
            <w:tcW w:w="7060" w:type="dxa"/>
            <w:vAlign w:val="bottom"/>
            <w:gridSpan w:val="11"/>
          </w:tcPr>
          <w:p>
            <w:pPr>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560" w:type="dxa"/>
            <w:vAlign w:val="bottom"/>
            <w:gridSpan w:val="4"/>
          </w:tcPr>
          <w:p>
            <w:pPr>
              <w:jc w:val="center"/>
              <w:ind w:left="1270"/>
              <w:spacing w:after="0" w:line="202" w:lineRule="exact"/>
              <w:rPr>
                <w:sz w:val="20"/>
                <w:szCs w:val="20"/>
                <w:color w:val="auto"/>
              </w:rPr>
            </w:pPr>
            <w:r>
              <w:rPr>
                <w:rFonts w:ascii="Arial" w:cs="Arial" w:eastAsia="Arial" w:hAnsi="Arial"/>
                <w:sz w:val="18"/>
                <w:szCs w:val="18"/>
                <w:color w:val="auto"/>
                <w:w w:val="99"/>
              </w:rPr>
              <w:t>38</w:t>
            </w:r>
          </w:p>
        </w:tc>
        <w:tc>
          <w:tcPr>
            <w:tcW w:w="5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w w:val="98"/>
              </w:rPr>
              <w:t>Item 4.</w:t>
            </w:r>
          </w:p>
        </w:tc>
        <w:tc>
          <w:tcPr>
            <w:tcW w:w="460" w:type="dxa"/>
            <w:vAlign w:val="bottom"/>
            <w:shd w:val="clear" w:color="auto" w:fill="DBDBDB"/>
          </w:tcPr>
          <w:p>
            <w:pPr>
              <w:spacing w:after="0"/>
              <w:rPr>
                <w:sz w:val="17"/>
                <w:szCs w:val="17"/>
                <w:color w:val="auto"/>
              </w:rPr>
            </w:pPr>
          </w:p>
        </w:tc>
        <w:tc>
          <w:tcPr>
            <w:tcW w:w="7060" w:type="dxa"/>
            <w:vAlign w:val="bottom"/>
            <w:gridSpan w:val="11"/>
            <w:shd w:val="clear" w:color="auto" w:fill="DBDBDB"/>
          </w:tcPr>
          <w:p>
            <w:pPr>
              <w:spacing w:after="0" w:line="202" w:lineRule="exact"/>
              <w:rPr>
                <w:sz w:val="20"/>
                <w:szCs w:val="20"/>
                <w:color w:val="auto"/>
              </w:rPr>
            </w:pPr>
            <w:r>
              <w:rPr>
                <w:rFonts w:ascii="Arial" w:cs="Arial" w:eastAsia="Arial" w:hAnsi="Arial"/>
                <w:sz w:val="18"/>
                <w:szCs w:val="18"/>
                <w:color w:val="auto"/>
              </w:rPr>
              <w:t>Controls and Procedures</w:t>
            </w:r>
          </w:p>
        </w:tc>
        <w:tc>
          <w:tcPr>
            <w:tcW w:w="1560" w:type="dxa"/>
            <w:vAlign w:val="bottom"/>
            <w:gridSpan w:val="4"/>
            <w:shd w:val="clear" w:color="auto" w:fill="DBDBDB"/>
          </w:tcPr>
          <w:p>
            <w:pPr>
              <w:jc w:val="center"/>
              <w:ind w:left="1270"/>
              <w:spacing w:after="0" w:line="202" w:lineRule="exact"/>
              <w:rPr>
                <w:sz w:val="20"/>
                <w:szCs w:val="20"/>
                <w:color w:val="auto"/>
              </w:rPr>
            </w:pPr>
            <w:r>
              <w:rPr>
                <w:rFonts w:ascii="Arial" w:cs="Arial" w:eastAsia="Arial" w:hAnsi="Arial"/>
                <w:sz w:val="18"/>
                <w:szCs w:val="18"/>
                <w:color w:val="auto"/>
                <w:w w:val="99"/>
              </w:rPr>
              <w:t>38</w:t>
            </w:r>
          </w:p>
        </w:tc>
        <w:tc>
          <w:tcPr>
            <w:tcW w:w="58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auto"/>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860" w:type="dxa"/>
            <w:vAlign w:val="bottom"/>
            <w:tcBorders>
              <w:top w:val="single" w:sz="8" w:color="auto"/>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DBDBDB"/>
            </w:tcBorders>
            <w:shd w:val="clear" w:color="auto" w:fill="DBDBDB"/>
          </w:tcPr>
          <w:p>
            <w:pPr>
              <w:spacing w:after="0"/>
              <w:rPr>
                <w:sz w:val="4"/>
                <w:szCs w:val="4"/>
                <w:color w:val="auto"/>
              </w:rPr>
            </w:pPr>
          </w:p>
        </w:tc>
        <w:tc>
          <w:tcPr>
            <w:tcW w:w="76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60" w:type="dxa"/>
            <w:vAlign w:val="bottom"/>
            <w:tcBorders>
              <w:top w:val="single" w:sz="8" w:color="DBDBDB"/>
            </w:tcBorders>
            <w:shd w:val="clear" w:color="auto" w:fill="DBDBDB"/>
          </w:tcPr>
          <w:p>
            <w:pPr>
              <w:spacing w:after="0"/>
              <w:rPr>
                <w:sz w:val="4"/>
                <w:szCs w:val="4"/>
                <w:color w:val="auto"/>
              </w:rPr>
            </w:pPr>
          </w:p>
        </w:tc>
        <w:tc>
          <w:tcPr>
            <w:tcW w:w="2100" w:type="dxa"/>
            <w:vAlign w:val="bottom"/>
            <w:tcBorders>
              <w:top w:val="single" w:sz="8" w:color="DBDBDB"/>
            </w:tcBorders>
            <w:shd w:val="clear" w:color="auto" w:fill="DBDBDB"/>
          </w:tcPr>
          <w:p>
            <w:pPr>
              <w:spacing w:after="0"/>
              <w:rPr>
                <w:sz w:val="4"/>
                <w:szCs w:val="4"/>
                <w:color w:val="auto"/>
              </w:rPr>
            </w:pPr>
          </w:p>
        </w:tc>
        <w:tc>
          <w:tcPr>
            <w:tcW w:w="13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0" w:type="dxa"/>
            <w:vAlign w:val="bottom"/>
            <w:tcBorders>
              <w:bottom w:val="single" w:sz="8" w:color="DBDBDB"/>
            </w:tcBorders>
            <w:shd w:val="clear" w:color="auto" w:fill="DBDBDB"/>
          </w:tcPr>
          <w:p>
            <w:pPr>
              <w:spacing w:after="0"/>
              <w:rPr>
                <w:sz w:val="24"/>
                <w:szCs w:val="24"/>
                <w:color w:val="auto"/>
              </w:rPr>
            </w:pPr>
          </w:p>
        </w:tc>
        <w:tc>
          <w:tcPr>
            <w:tcW w:w="56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20"/>
                <w:szCs w:val="20"/>
                <w:b w:val="1"/>
                <w:bCs w:val="1"/>
                <w:color w:val="auto"/>
                <w:w w:val="97"/>
              </w:rPr>
              <w:t>Part II</w:t>
            </w:r>
          </w:p>
        </w:tc>
        <w:tc>
          <w:tcPr>
            <w:tcW w:w="440" w:type="dxa"/>
            <w:vAlign w:val="bottom"/>
            <w:tcBorders>
              <w:bottom w:val="single" w:sz="8" w:color="DBDBDB"/>
            </w:tcBorders>
            <w:shd w:val="clear" w:color="auto" w:fill="DBDBDB"/>
          </w:tcPr>
          <w:p>
            <w:pPr>
              <w:spacing w:after="0"/>
              <w:rPr>
                <w:sz w:val="24"/>
                <w:szCs w:val="24"/>
                <w:color w:val="auto"/>
              </w:rPr>
            </w:pPr>
          </w:p>
        </w:tc>
        <w:tc>
          <w:tcPr>
            <w:tcW w:w="1680" w:type="dxa"/>
            <w:vAlign w:val="bottom"/>
            <w:tcBorders>
              <w:bottom w:val="single" w:sz="8" w:color="auto"/>
            </w:tcBorders>
            <w:gridSpan w:val="6"/>
            <w:shd w:val="clear" w:color="auto" w:fill="DBDBDB"/>
          </w:tcPr>
          <w:p>
            <w:pPr>
              <w:spacing w:after="0"/>
              <w:rPr>
                <w:sz w:val="20"/>
                <w:szCs w:val="20"/>
                <w:color w:val="auto"/>
              </w:rPr>
            </w:pPr>
            <w:r>
              <w:rPr>
                <w:rFonts w:ascii="Arial" w:cs="Arial" w:eastAsia="Arial" w:hAnsi="Arial"/>
                <w:sz w:val="20"/>
                <w:szCs w:val="20"/>
                <w:b w:val="1"/>
                <w:bCs w:val="1"/>
                <w:color w:val="auto"/>
                <w:w w:val="98"/>
              </w:rPr>
              <w:t>Other Information</w:t>
            </w:r>
          </w:p>
        </w:tc>
        <w:tc>
          <w:tcPr>
            <w:tcW w:w="7760" w:type="dxa"/>
            <w:vAlign w:val="bottom"/>
            <w:tcBorders>
              <w:bottom w:val="single" w:sz="8" w:color="DBDBDB"/>
            </w:tcBorders>
            <w:gridSpan w:val="7"/>
            <w:shd w:val="clear" w:color="auto" w:fill="DBDBDB"/>
          </w:tcPr>
          <w:p>
            <w:pPr>
              <w:spacing w:after="0"/>
              <w:rPr>
                <w:sz w:val="24"/>
                <w:szCs w:val="24"/>
                <w:color w:val="auto"/>
              </w:rPr>
            </w:pPr>
          </w:p>
        </w:tc>
        <w:tc>
          <w:tcPr>
            <w:tcW w:w="200" w:type="dxa"/>
            <w:vAlign w:val="bottom"/>
            <w:tcBorders>
              <w:bottom w:val="single" w:sz="8" w:color="DBDBDB"/>
            </w:tcBorders>
            <w:shd w:val="clear" w:color="auto" w:fill="DBDBDB"/>
          </w:tcPr>
          <w:p>
            <w:pPr>
              <w:spacing w:after="0"/>
              <w:rPr>
                <w:sz w:val="24"/>
                <w:szCs w:val="24"/>
                <w:color w:val="auto"/>
              </w:rPr>
            </w:pPr>
          </w:p>
        </w:tc>
        <w:tc>
          <w:tcPr>
            <w:tcW w:w="580" w:type="dxa"/>
            <w:vAlign w:val="bottom"/>
            <w:tcBorders>
              <w:bottom w:val="single" w:sz="8" w:color="DBDBDB"/>
            </w:tcBorders>
            <w:shd w:val="clear" w:color="auto" w:fill="DBDBDB"/>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gridSpan w:val="4"/>
          </w:tcPr>
          <w:p>
            <w:pPr>
              <w:spacing w:after="0" w:line="202" w:lineRule="exact"/>
              <w:rPr>
                <w:sz w:val="20"/>
                <w:szCs w:val="20"/>
                <w:color w:val="auto"/>
              </w:rPr>
            </w:pPr>
            <w:r>
              <w:rPr>
                <w:rFonts w:ascii="Arial" w:cs="Arial" w:eastAsia="Arial" w:hAnsi="Arial"/>
                <w:sz w:val="18"/>
                <w:szCs w:val="18"/>
                <w:color w:val="auto"/>
              </w:rPr>
              <w:t>Item 1.</w:t>
            </w:r>
          </w:p>
        </w:tc>
        <w:tc>
          <w:tcPr>
            <w:tcW w:w="8420" w:type="dxa"/>
            <w:vAlign w:val="bottom"/>
            <w:gridSpan w:val="9"/>
          </w:tcPr>
          <w:p>
            <w:pPr>
              <w:spacing w:after="0" w:line="202" w:lineRule="exact"/>
              <w:rPr>
                <w:sz w:val="20"/>
                <w:szCs w:val="20"/>
                <w:color w:val="auto"/>
              </w:rPr>
            </w:pPr>
            <w:r>
              <w:rPr>
                <w:rFonts w:ascii="Arial" w:cs="Arial" w:eastAsia="Arial" w:hAnsi="Arial"/>
                <w:sz w:val="18"/>
                <w:szCs w:val="18"/>
                <w:color w:val="auto"/>
              </w:rPr>
              <w:t>Legal Proceedings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89"/>
              </w:rPr>
              <w:t>39</w:t>
            </w:r>
          </w:p>
        </w:tc>
        <w:tc>
          <w:tcPr>
            <w:tcW w:w="5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35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680" w:type="dxa"/>
            <w:vAlign w:val="bottom"/>
            <w:gridSpan w:val="2"/>
            <w:shd w:val="clear" w:color="auto" w:fill="DBDBDB"/>
          </w:tcPr>
          <w:p>
            <w:pPr>
              <w:spacing w:after="0" w:line="202" w:lineRule="exact"/>
              <w:rPr>
                <w:sz w:val="20"/>
                <w:szCs w:val="20"/>
                <w:color w:val="auto"/>
              </w:rPr>
            </w:pPr>
            <w:r>
              <w:rPr>
                <w:rFonts w:ascii="Arial" w:cs="Arial" w:eastAsia="Arial" w:hAnsi="Arial"/>
                <w:sz w:val="18"/>
                <w:szCs w:val="18"/>
                <w:color w:val="auto"/>
                <w:w w:val="98"/>
              </w:rPr>
              <w:t>Item 1A.</w:t>
            </w:r>
          </w:p>
        </w:tc>
        <w:tc>
          <w:tcPr>
            <w:tcW w:w="340" w:type="dxa"/>
            <w:vAlign w:val="bottom"/>
            <w:gridSpan w:val="2"/>
            <w:shd w:val="clear" w:color="auto" w:fill="DBDBDB"/>
          </w:tcPr>
          <w:p>
            <w:pPr>
              <w:spacing w:after="0"/>
              <w:rPr>
                <w:sz w:val="17"/>
                <w:szCs w:val="17"/>
                <w:color w:val="auto"/>
              </w:rPr>
            </w:pPr>
          </w:p>
        </w:tc>
        <w:tc>
          <w:tcPr>
            <w:tcW w:w="8420" w:type="dxa"/>
            <w:vAlign w:val="bottom"/>
            <w:gridSpan w:val="9"/>
            <w:shd w:val="clear" w:color="auto" w:fill="DBDBDB"/>
          </w:tcPr>
          <w:p>
            <w:pPr>
              <w:spacing w:after="0" w:line="202" w:lineRule="exact"/>
              <w:rPr>
                <w:sz w:val="20"/>
                <w:szCs w:val="20"/>
                <w:color w:val="auto"/>
              </w:rPr>
            </w:pPr>
            <w:r>
              <w:rPr>
                <w:rFonts w:ascii="Arial" w:cs="Arial" w:eastAsia="Arial" w:hAnsi="Arial"/>
                <w:sz w:val="18"/>
                <w:szCs w:val="18"/>
                <w:color w:val="auto"/>
              </w:rPr>
              <w:t>Risk Factors</w:t>
            </w:r>
          </w:p>
        </w:tc>
        <w:tc>
          <w:tcPr>
            <w:tcW w:w="2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w w:val="89"/>
              </w:rPr>
              <w:t>39</w:t>
            </w:r>
          </w:p>
        </w:tc>
        <w:tc>
          <w:tcPr>
            <w:tcW w:w="58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DBDBDB"/>
            </w:tcBorders>
            <w:shd w:val="clear" w:color="auto" w:fill="DBDBDB"/>
          </w:tcPr>
          <w:p>
            <w:pPr>
              <w:spacing w:after="0"/>
              <w:rPr>
                <w:sz w:val="4"/>
                <w:szCs w:val="4"/>
                <w:color w:val="auto"/>
              </w:rPr>
            </w:pPr>
          </w:p>
        </w:tc>
        <w:tc>
          <w:tcPr>
            <w:tcW w:w="2300" w:type="dxa"/>
            <w:vAlign w:val="bottom"/>
            <w:tcBorders>
              <w:top w:val="single" w:sz="8" w:color="DBDBDB"/>
            </w:tcBorders>
            <w:shd w:val="clear" w:color="auto" w:fill="DBDBDB"/>
          </w:tcPr>
          <w:p>
            <w:pPr>
              <w:spacing w:after="0"/>
              <w:rPr>
                <w:sz w:val="4"/>
                <w:szCs w:val="4"/>
                <w:color w:val="auto"/>
              </w:rPr>
            </w:pPr>
          </w:p>
        </w:tc>
        <w:tc>
          <w:tcPr>
            <w:tcW w:w="356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spacing w:after="0" w:line="202" w:lineRule="exact"/>
              <w:rPr>
                <w:sz w:val="20"/>
                <w:szCs w:val="20"/>
                <w:color w:val="auto"/>
              </w:rPr>
            </w:pPr>
            <w:r>
              <w:rPr>
                <w:rFonts w:ascii="Arial" w:cs="Arial" w:eastAsia="Arial" w:hAnsi="Arial"/>
                <w:sz w:val="18"/>
                <w:szCs w:val="18"/>
                <w:color w:val="auto"/>
              </w:rPr>
              <w:t>Item 2.</w:t>
            </w:r>
          </w:p>
        </w:tc>
        <w:tc>
          <w:tcPr>
            <w:tcW w:w="340" w:type="dxa"/>
            <w:vAlign w:val="bottom"/>
            <w:gridSpan w:val="2"/>
          </w:tcPr>
          <w:p>
            <w:pPr>
              <w:spacing w:after="0"/>
              <w:rPr>
                <w:sz w:val="17"/>
                <w:szCs w:val="17"/>
                <w:color w:val="auto"/>
              </w:rPr>
            </w:pPr>
          </w:p>
        </w:tc>
        <w:tc>
          <w:tcPr>
            <w:tcW w:w="8420" w:type="dxa"/>
            <w:vAlign w:val="bottom"/>
            <w:gridSpan w:val="9"/>
          </w:tcPr>
          <w:p>
            <w:pPr>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89"/>
              </w:rPr>
              <w:t>40</w:t>
            </w:r>
          </w:p>
        </w:tc>
        <w:tc>
          <w:tcPr>
            <w:tcW w:w="5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35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50"/>
        </w:trPr>
        <w:tc>
          <w:tcPr>
            <w:tcW w:w="20" w:type="dxa"/>
            <w:vAlign w:val="bottom"/>
            <w:tcBorders>
              <w:bottom w:val="single" w:sz="8" w:color="DBDBDB"/>
            </w:tcBorders>
            <w:shd w:val="clear" w:color="auto" w:fill="DBDBDB"/>
          </w:tcPr>
          <w:p>
            <w:pPr>
              <w:spacing w:after="0"/>
              <w:rPr>
                <w:sz w:val="21"/>
                <w:szCs w:val="21"/>
                <w:color w:val="auto"/>
              </w:rPr>
            </w:pPr>
          </w:p>
        </w:tc>
        <w:tc>
          <w:tcPr>
            <w:tcW w:w="56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DBDBDB"/>
            </w:tcBorders>
            <w:shd w:val="clear" w:color="auto" w:fill="DBDBDB"/>
          </w:tcPr>
          <w:p>
            <w:pPr>
              <w:spacing w:after="0"/>
              <w:rPr>
                <w:sz w:val="21"/>
                <w:szCs w:val="21"/>
                <w:color w:val="auto"/>
              </w:rPr>
            </w:pPr>
          </w:p>
        </w:tc>
        <w:tc>
          <w:tcPr>
            <w:tcW w:w="560" w:type="dxa"/>
            <w:vAlign w:val="bottom"/>
            <w:tcBorders>
              <w:bottom w:val="single" w:sz="8" w:color="auto"/>
            </w:tcBorders>
            <w:shd w:val="clear" w:color="auto" w:fill="DBDBDB"/>
          </w:tcPr>
          <w:p>
            <w:pPr>
              <w:spacing w:after="0" w:line="202" w:lineRule="exact"/>
              <w:rPr>
                <w:sz w:val="20"/>
                <w:szCs w:val="20"/>
                <w:color w:val="auto"/>
              </w:rPr>
            </w:pPr>
            <w:r>
              <w:rPr>
                <w:rFonts w:ascii="Arial" w:cs="Arial" w:eastAsia="Arial" w:hAnsi="Arial"/>
                <w:sz w:val="18"/>
                <w:szCs w:val="18"/>
                <w:color w:val="auto"/>
                <w:w w:val="98"/>
              </w:rPr>
              <w:t>Item 3.</w:t>
            </w:r>
          </w:p>
        </w:tc>
        <w:tc>
          <w:tcPr>
            <w:tcW w:w="460" w:type="dxa"/>
            <w:vAlign w:val="bottom"/>
            <w:tcBorders>
              <w:bottom w:val="single" w:sz="8" w:color="DBDBDB"/>
            </w:tcBorders>
            <w:gridSpan w:val="3"/>
            <w:shd w:val="clear" w:color="auto" w:fill="DBDBDB"/>
          </w:tcPr>
          <w:p>
            <w:pPr>
              <w:spacing w:after="0"/>
              <w:rPr>
                <w:sz w:val="21"/>
                <w:szCs w:val="21"/>
                <w:color w:val="auto"/>
              </w:rPr>
            </w:pPr>
          </w:p>
        </w:tc>
        <w:tc>
          <w:tcPr>
            <w:tcW w:w="2560" w:type="dxa"/>
            <w:vAlign w:val="bottom"/>
            <w:tcBorders>
              <w:bottom w:val="single" w:sz="8" w:color="auto"/>
            </w:tcBorders>
            <w:gridSpan w:val="7"/>
            <w:shd w:val="clear" w:color="auto" w:fill="DBDBDB"/>
          </w:tcPr>
          <w:p>
            <w:pPr>
              <w:spacing w:after="0" w:line="202" w:lineRule="exact"/>
              <w:rPr>
                <w:sz w:val="20"/>
                <w:szCs w:val="20"/>
                <w:color w:val="auto"/>
              </w:rPr>
            </w:pPr>
            <w:r>
              <w:rPr>
                <w:rFonts w:ascii="Arial" w:cs="Arial" w:eastAsia="Arial" w:hAnsi="Arial"/>
                <w:sz w:val="18"/>
                <w:szCs w:val="18"/>
                <w:color w:val="auto"/>
                <w:w w:val="99"/>
              </w:rPr>
              <w:t>Defaults Upon Senior Securities</w:t>
            </w:r>
          </w:p>
        </w:tc>
        <w:tc>
          <w:tcPr>
            <w:tcW w:w="5860" w:type="dxa"/>
            <w:vAlign w:val="bottom"/>
            <w:tcBorders>
              <w:bottom w:val="single" w:sz="8" w:color="DBDBDB"/>
            </w:tcBorders>
            <w:gridSpan w:val="2"/>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w w:val="89"/>
              </w:rPr>
              <w:t>41</w:t>
            </w:r>
          </w:p>
        </w:tc>
        <w:tc>
          <w:tcPr>
            <w:tcW w:w="580" w:type="dxa"/>
            <w:vAlign w:val="bottom"/>
            <w:tcBorders>
              <w:bottom w:val="single" w:sz="8" w:color="DBDBDB"/>
            </w:tcBorders>
            <w:shd w:val="clear" w:color="auto" w:fill="DBDBDB"/>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gridSpan w:val="4"/>
          </w:tcPr>
          <w:p>
            <w:pPr>
              <w:spacing w:after="0" w:line="202" w:lineRule="exact"/>
              <w:rPr>
                <w:sz w:val="20"/>
                <w:szCs w:val="20"/>
                <w:color w:val="auto"/>
              </w:rPr>
            </w:pPr>
            <w:r>
              <w:rPr>
                <w:rFonts w:ascii="Arial" w:cs="Arial" w:eastAsia="Arial" w:hAnsi="Arial"/>
                <w:sz w:val="18"/>
                <w:szCs w:val="18"/>
                <w:color w:val="auto"/>
              </w:rPr>
              <w:t>Item 4.</w:t>
            </w:r>
          </w:p>
        </w:tc>
        <w:tc>
          <w:tcPr>
            <w:tcW w:w="8420" w:type="dxa"/>
            <w:vAlign w:val="bottom"/>
            <w:gridSpan w:val="9"/>
          </w:tcPr>
          <w:p>
            <w:pPr>
              <w:spacing w:after="0" w:line="202" w:lineRule="exact"/>
              <w:rPr>
                <w:sz w:val="20"/>
                <w:szCs w:val="20"/>
                <w:color w:val="auto"/>
              </w:rPr>
            </w:pPr>
            <w:r>
              <w:rPr>
                <w:rFonts w:ascii="Arial" w:cs="Arial" w:eastAsia="Arial" w:hAnsi="Arial"/>
                <w:sz w:val="18"/>
                <w:szCs w:val="18"/>
                <w:color w:val="auto"/>
              </w:rPr>
              <w:t>Mine Safety Disclosures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89"/>
              </w:rPr>
              <w:t>41</w:t>
            </w:r>
          </w:p>
        </w:tc>
        <w:tc>
          <w:tcPr>
            <w:tcW w:w="5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35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50"/>
        </w:trPr>
        <w:tc>
          <w:tcPr>
            <w:tcW w:w="20" w:type="dxa"/>
            <w:vAlign w:val="bottom"/>
            <w:shd w:val="clear" w:color="auto" w:fill="DBDBDB"/>
          </w:tcPr>
          <w:p>
            <w:pPr>
              <w:spacing w:after="0"/>
              <w:rPr>
                <w:sz w:val="21"/>
                <w:szCs w:val="21"/>
                <w:color w:val="auto"/>
              </w:rPr>
            </w:pPr>
          </w:p>
        </w:tc>
        <w:tc>
          <w:tcPr>
            <w:tcW w:w="5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56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w w:val="98"/>
              </w:rPr>
              <w:t>Item 5.</w:t>
            </w:r>
          </w:p>
        </w:tc>
        <w:tc>
          <w:tcPr>
            <w:tcW w:w="460" w:type="dxa"/>
            <w:vAlign w:val="bottom"/>
            <w:gridSpan w:val="3"/>
            <w:shd w:val="clear" w:color="auto" w:fill="DBDBDB"/>
          </w:tcPr>
          <w:p>
            <w:pPr>
              <w:spacing w:after="0"/>
              <w:rPr>
                <w:sz w:val="21"/>
                <w:szCs w:val="21"/>
                <w:color w:val="auto"/>
              </w:rPr>
            </w:pPr>
          </w:p>
        </w:tc>
        <w:tc>
          <w:tcPr>
            <w:tcW w:w="8420" w:type="dxa"/>
            <w:vAlign w:val="bottom"/>
            <w:gridSpan w:val="9"/>
            <w:shd w:val="clear" w:color="auto" w:fill="DBDBDB"/>
          </w:tcPr>
          <w:p>
            <w:pPr>
              <w:spacing w:after="0" w:line="202" w:lineRule="exact"/>
              <w:rPr>
                <w:sz w:val="20"/>
                <w:szCs w:val="20"/>
                <w:color w:val="auto"/>
              </w:rPr>
            </w:pPr>
            <w:r>
              <w:rPr>
                <w:rFonts w:ascii="Arial" w:cs="Arial" w:eastAsia="Arial" w:hAnsi="Arial"/>
                <w:sz w:val="18"/>
                <w:szCs w:val="18"/>
                <w:color w:val="auto"/>
              </w:rPr>
              <w:t>Other Information</w:t>
            </w:r>
          </w:p>
        </w:tc>
        <w:tc>
          <w:tcPr>
            <w:tcW w:w="2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w w:val="89"/>
              </w:rPr>
              <w:t>41</w:t>
            </w:r>
          </w:p>
        </w:tc>
        <w:tc>
          <w:tcPr>
            <w:tcW w:w="580" w:type="dxa"/>
            <w:vAlign w:val="bottom"/>
            <w:shd w:val="clear" w:color="auto" w:fill="DBDBDB"/>
          </w:tcPr>
          <w:p>
            <w:pPr>
              <w:spacing w:after="0"/>
              <w:rPr>
                <w:sz w:val="21"/>
                <w:szCs w:val="21"/>
                <w:color w:val="auto"/>
              </w:rPr>
            </w:pPr>
          </w:p>
        </w:tc>
      </w:tr>
      <w:tr>
        <w:trPr>
          <w:trHeight w:val="203"/>
        </w:trPr>
        <w:tc>
          <w:tcPr>
            <w:tcW w:w="20" w:type="dxa"/>
            <w:vAlign w:val="bottom"/>
            <w:tcBorders>
              <w:top w:val="single" w:sz="8" w:color="DBDBDB"/>
            </w:tcBorders>
          </w:tcPr>
          <w:p>
            <w:pPr>
              <w:spacing w:after="0"/>
              <w:rPr>
                <w:sz w:val="17"/>
                <w:szCs w:val="17"/>
                <w:color w:val="auto"/>
              </w:rPr>
            </w:pPr>
          </w:p>
        </w:tc>
        <w:tc>
          <w:tcPr>
            <w:tcW w:w="560" w:type="dxa"/>
            <w:vAlign w:val="bottom"/>
            <w:tcBorders>
              <w:top w:val="single" w:sz="8" w:color="DBDBDB"/>
            </w:tcBorders>
          </w:tcPr>
          <w:p>
            <w:pPr>
              <w:spacing w:after="0"/>
              <w:rPr>
                <w:sz w:val="17"/>
                <w:szCs w:val="17"/>
                <w:color w:val="auto"/>
              </w:rPr>
            </w:pPr>
          </w:p>
        </w:tc>
        <w:tc>
          <w:tcPr>
            <w:tcW w:w="440" w:type="dxa"/>
            <w:vAlign w:val="bottom"/>
            <w:tcBorders>
              <w:top w:val="single" w:sz="8" w:color="DBDBDB"/>
            </w:tcBorders>
          </w:tcPr>
          <w:p>
            <w:pPr>
              <w:spacing w:after="0"/>
              <w:rPr>
                <w:sz w:val="17"/>
                <w:szCs w:val="17"/>
                <w:color w:val="auto"/>
              </w:rPr>
            </w:pPr>
          </w:p>
        </w:tc>
        <w:tc>
          <w:tcPr>
            <w:tcW w:w="56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98"/>
              </w:rPr>
              <w:t>Item 6.</w:t>
            </w:r>
          </w:p>
        </w:tc>
        <w:tc>
          <w:tcPr>
            <w:tcW w:w="460" w:type="dxa"/>
            <w:vAlign w:val="bottom"/>
            <w:tcBorders>
              <w:top w:val="single" w:sz="8" w:color="DBDBDB"/>
            </w:tcBorders>
            <w:gridSpan w:val="3"/>
          </w:tcPr>
          <w:p>
            <w:pPr>
              <w:spacing w:after="0"/>
              <w:rPr>
                <w:sz w:val="17"/>
                <w:szCs w:val="17"/>
                <w:color w:val="auto"/>
              </w:rPr>
            </w:pPr>
          </w:p>
        </w:tc>
        <w:tc>
          <w:tcPr>
            <w:tcW w:w="1400" w:type="dxa"/>
            <w:vAlign w:val="bottom"/>
            <w:tcBorders>
              <w:top w:val="single" w:sz="8" w:color="auto"/>
            </w:tcBorders>
            <w:gridSpan w:val="4"/>
          </w:tcPr>
          <w:p>
            <w:pPr>
              <w:spacing w:after="0" w:line="202" w:lineRule="exact"/>
              <w:rPr>
                <w:sz w:val="20"/>
                <w:szCs w:val="20"/>
                <w:color w:val="auto"/>
              </w:rPr>
            </w:pPr>
            <w:r>
              <w:rPr>
                <w:rFonts w:ascii="Arial" w:cs="Arial" w:eastAsia="Arial" w:hAnsi="Arial"/>
                <w:sz w:val="18"/>
                <w:szCs w:val="18"/>
                <w:color w:val="auto"/>
              </w:rPr>
              <w:t>Exhibits</w:t>
            </w:r>
          </w:p>
        </w:tc>
        <w:tc>
          <w:tcPr>
            <w:tcW w:w="7020" w:type="dxa"/>
            <w:vAlign w:val="bottom"/>
            <w:tcBorders>
              <w:top w:val="single" w:sz="8" w:color="DBDBDB"/>
            </w:tcBorders>
            <w:gridSpan w:val="5"/>
          </w:tcPr>
          <w:p>
            <w:pPr>
              <w:spacing w:after="0"/>
              <w:rPr>
                <w:sz w:val="17"/>
                <w:szCs w:val="17"/>
                <w:color w:val="auto"/>
              </w:rPr>
            </w:pPr>
          </w:p>
        </w:tc>
        <w:tc>
          <w:tcPr>
            <w:tcW w:w="2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w w:val="89"/>
              </w:rPr>
              <w:t>42</w:t>
            </w:r>
          </w:p>
        </w:tc>
        <w:tc>
          <w:tcPr>
            <w:tcW w:w="580" w:type="dxa"/>
            <w:vAlign w:val="bottom"/>
            <w:tcBorders>
              <w:top w:val="single" w:sz="8" w:color="DBDBDB"/>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35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70"/>
        </w:trPr>
        <w:tc>
          <w:tcPr>
            <w:tcW w:w="20" w:type="dxa"/>
            <w:vAlign w:val="bottom"/>
            <w:shd w:val="clear" w:color="auto" w:fill="DBDBDB"/>
          </w:tcPr>
          <w:p>
            <w:pPr>
              <w:spacing w:after="0"/>
              <w:rPr>
                <w:sz w:val="23"/>
                <w:szCs w:val="23"/>
                <w:color w:val="auto"/>
              </w:rPr>
            </w:pPr>
          </w:p>
        </w:tc>
        <w:tc>
          <w:tcPr>
            <w:tcW w:w="560" w:type="dxa"/>
            <w:vAlign w:val="bottom"/>
            <w:shd w:val="clear" w:color="auto" w:fill="DBDBDB"/>
          </w:tcPr>
          <w:p>
            <w:pPr>
              <w:spacing w:after="0"/>
              <w:rPr>
                <w:sz w:val="23"/>
                <w:szCs w:val="23"/>
                <w:color w:val="auto"/>
              </w:rPr>
            </w:pPr>
          </w:p>
        </w:tc>
        <w:tc>
          <w:tcPr>
            <w:tcW w:w="440" w:type="dxa"/>
            <w:vAlign w:val="bottom"/>
            <w:shd w:val="clear" w:color="auto" w:fill="DBDBDB"/>
          </w:tcPr>
          <w:p>
            <w:pPr>
              <w:spacing w:after="0"/>
              <w:rPr>
                <w:sz w:val="23"/>
                <w:szCs w:val="23"/>
                <w:color w:val="auto"/>
              </w:rPr>
            </w:pPr>
          </w:p>
        </w:tc>
        <w:tc>
          <w:tcPr>
            <w:tcW w:w="56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8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640" w:type="dxa"/>
            <w:vAlign w:val="bottom"/>
            <w:shd w:val="clear" w:color="auto" w:fill="DBDBDB"/>
          </w:tcPr>
          <w:p>
            <w:pPr>
              <w:spacing w:after="0"/>
              <w:rPr>
                <w:sz w:val="23"/>
                <w:szCs w:val="23"/>
                <w:color w:val="auto"/>
              </w:rPr>
            </w:pPr>
          </w:p>
        </w:tc>
        <w:tc>
          <w:tcPr>
            <w:tcW w:w="20" w:type="dxa"/>
            <w:vAlign w:val="bottom"/>
            <w:shd w:val="clear" w:color="auto" w:fill="DBDBDB"/>
          </w:tcPr>
          <w:p>
            <w:pPr>
              <w:spacing w:after="0"/>
              <w:rPr>
                <w:sz w:val="23"/>
                <w:szCs w:val="23"/>
                <w:color w:val="auto"/>
              </w:rPr>
            </w:pPr>
          </w:p>
        </w:tc>
        <w:tc>
          <w:tcPr>
            <w:tcW w:w="340" w:type="dxa"/>
            <w:vAlign w:val="bottom"/>
            <w:shd w:val="clear" w:color="auto" w:fill="DBDBDB"/>
          </w:tcPr>
          <w:p>
            <w:pPr>
              <w:spacing w:after="0"/>
              <w:rPr>
                <w:sz w:val="23"/>
                <w:szCs w:val="23"/>
                <w:color w:val="auto"/>
              </w:rPr>
            </w:pPr>
          </w:p>
        </w:tc>
        <w:tc>
          <w:tcPr>
            <w:tcW w:w="40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440" w:type="dxa"/>
            <w:vAlign w:val="bottom"/>
            <w:shd w:val="clear" w:color="auto" w:fill="DBDBDB"/>
          </w:tcPr>
          <w:p>
            <w:pPr>
              <w:spacing w:after="0"/>
              <w:rPr>
                <w:sz w:val="23"/>
                <w:szCs w:val="23"/>
                <w:color w:val="auto"/>
              </w:rPr>
            </w:pPr>
          </w:p>
        </w:tc>
        <w:tc>
          <w:tcPr>
            <w:tcW w:w="620" w:type="dxa"/>
            <w:vAlign w:val="bottom"/>
            <w:shd w:val="clear" w:color="auto" w:fill="DBDBDB"/>
          </w:tcPr>
          <w:p>
            <w:pPr>
              <w:spacing w:after="0"/>
              <w:rPr>
                <w:sz w:val="23"/>
                <w:szCs w:val="23"/>
                <w:color w:val="auto"/>
              </w:rPr>
            </w:pPr>
          </w:p>
        </w:tc>
        <w:tc>
          <w:tcPr>
            <w:tcW w:w="2300" w:type="dxa"/>
            <w:vAlign w:val="bottom"/>
            <w:shd w:val="clear" w:color="auto" w:fill="DBDBDB"/>
          </w:tcPr>
          <w:p>
            <w:pPr>
              <w:spacing w:after="0"/>
              <w:rPr>
                <w:sz w:val="23"/>
                <w:szCs w:val="23"/>
                <w:color w:val="auto"/>
              </w:rPr>
            </w:pPr>
          </w:p>
        </w:tc>
        <w:tc>
          <w:tcPr>
            <w:tcW w:w="356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580" w:type="dxa"/>
            <w:vAlign w:val="bottom"/>
            <w:shd w:val="clear" w:color="auto" w:fill="DBDBDB"/>
          </w:tcPr>
          <w:p>
            <w:pPr>
              <w:spacing w:after="0"/>
              <w:rPr>
                <w:sz w:val="23"/>
                <w:szCs w:val="23"/>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gridSpan w:val="4"/>
          </w:tcPr>
          <w:p>
            <w:pPr>
              <w:spacing w:after="0" w:line="202" w:lineRule="exact"/>
              <w:rPr>
                <w:sz w:val="20"/>
                <w:szCs w:val="20"/>
                <w:color w:val="auto"/>
              </w:rPr>
            </w:pPr>
            <w:r>
              <w:rPr>
                <w:rFonts w:ascii="Arial" w:cs="Arial" w:eastAsia="Arial" w:hAnsi="Arial"/>
                <w:sz w:val="18"/>
                <w:szCs w:val="18"/>
                <w:color w:val="auto"/>
              </w:rPr>
              <w:t>Signatures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89"/>
              </w:rPr>
              <w:t>43</w:t>
            </w:r>
          </w:p>
        </w:tc>
        <w:tc>
          <w:tcPr>
            <w:tcW w:w="580" w:type="dxa"/>
            <w:vAlign w:val="bottom"/>
          </w:tcPr>
          <w:p>
            <w:pPr>
              <w:spacing w:after="0"/>
              <w:rPr>
                <w:sz w:val="17"/>
                <w:szCs w:val="17"/>
                <w:color w:val="auto"/>
              </w:rPr>
            </w:pPr>
          </w:p>
        </w:tc>
      </w:tr>
      <w:tr>
        <w:trPr>
          <w:trHeight w:val="1877"/>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Cautionary Note Regarding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25400</wp:posOffset>
            </wp:positionV>
            <wp:extent cx="5966460"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This Quarterly Report on Form 10-Q ("Form 10-Q") contains forward-looking statements, within the meaning of the Private Securities Litigation Reform Act of 1995 ("PSLRA"), which are subject to known and unknown risks, uncertainties and other important factors that may cause actual results to be materially different from the statements made herein. All statements other than statements of historical fact are forward-looking statements. Many of the forward-looking statements are located in Part I, Item 2 of this Form 10-Q under the heading "Management's Discussion and Analysis of Financial Condition and Results of Operations." Forward-looking statements discuss our current expectations and projections relating to our financial position, results of operations, plans, objectives, future performance and business. You can identify forward-looking statements by the fact that they do not relate strictly to historical or current facts. These statements may include words such as "aim," "anticipate," "believe," "estimate," "expect," "forecast," "future," "outlook," "potential," "project," "projection," "plan," "intend," "seek," "may," "could," "would," "will," "should," "can," "can have," "likely," the negatives thereof and other similar expressions.</w:t>
      </w:r>
    </w:p>
    <w:p>
      <w:pPr>
        <w:spacing w:after="0" w:line="20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so you should not unduly rely on these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21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or arising from our organizational structure;</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food-borne illness and food safety and other health concerns about our food;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unionization activities of our restaurant workers on our operations and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recent bank failures on the marketplace, including the ability to access credit;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reliance on certain information technology systems and potential failures or interruptions;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privacy and cyber security risks related to our digital ordering and payment platforms for our delivery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including from our competitors in the restaurant industry or our own restaurants;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increasingly competitive labor market and our ability to attract and retain the best talent and qualified employees;</w:t>
      </w:r>
    </w:p>
    <w:p>
      <w:pPr>
        <w:spacing w:after="0" w:line="9" w:lineRule="exact"/>
        <w:rPr>
          <w:rFonts w:ascii="Arial" w:cs="Arial" w:eastAsia="Arial" w:hAnsi="Arial"/>
          <w:sz w:val="18"/>
          <w:szCs w:val="18"/>
          <w:color w:val="auto"/>
        </w:rPr>
      </w:pPr>
    </w:p>
    <w:p>
      <w:pPr>
        <w:ind w:left="660" w:hanging="328"/>
        <w:spacing w:after="0" w:line="265" w:lineRule="auto"/>
        <w:tabs>
          <w:tab w:leader="none" w:pos="671"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federal, state or local government regulations relating to privacy, data protection, advertising and consumer protection, building and zoning requirements, costs or ability to open new restaurants, or sale of food and alcoholic beverage control regulations;</w:t>
      </w:r>
    </w:p>
    <w:p>
      <w:pPr>
        <w:ind w:left="660" w:right="480" w:hanging="328"/>
        <w:spacing w:after="0" w:line="250" w:lineRule="auto"/>
        <w:tabs>
          <w:tab w:leader="none" w:pos="671"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achieve our growth strategy, such as the availability of suitable new restaurant sites in existing and new markets and opening of new restaurants at the anticipated rate and on the anticipated timeline;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food and other operating costs, tariffs and import taxes, and supply shortages;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future impact of COVID-19 (including any variant) on our results of operations, supply chain or liquidity;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identified in our filings with the Securities and Exchange Commission (the “SEC”).</w:t>
      </w:r>
    </w:p>
    <w:p>
      <w:pPr>
        <w:spacing w:after="0" w:line="24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All forward-looking statements are expressly qualified in their entirety by these cautionary statements. You should evaluate all forward-looking statements made in this Form 10-Q in the context of the risks and uncertainties disclosed in our Annual Report on Form 10-K for the fiscal year ended December 25, 2022 filed with the SEC on March 2, 2023, which is available on the SEC's website at www.sec.gov.</w:t>
      </w:r>
    </w:p>
    <w:p>
      <w:pPr>
        <w:spacing w:after="0" w:line="21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forward-looking statements included in this Form 10-Q are made only as of the date hereof. The Company undertakes no obligation to publicly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25400</wp:posOffset>
            </wp:positionV>
            <wp:extent cx="596646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Item 1. Financial Statements (Unaudited)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60" w:type="dxa"/>
            <w:vAlign w:val="bottom"/>
            <w:gridSpan w:val="7"/>
          </w:tcPr>
          <w:p>
            <w:pPr>
              <w:ind w:left="5300"/>
              <w:spacing w:after="0"/>
              <w:rPr>
                <w:sz w:val="20"/>
                <w:szCs w:val="20"/>
                <w:color w:val="auto"/>
              </w:rPr>
            </w:pPr>
            <w:r>
              <w:rPr>
                <w:rFonts w:ascii="Arial" w:cs="Arial" w:eastAsia="Arial" w:hAnsi="Arial"/>
                <w:sz w:val="18"/>
                <w:szCs w:val="18"/>
                <w:b w:val="1"/>
                <w:bCs w:val="1"/>
                <w:color w:val="auto"/>
              </w:rPr>
              <w:t>Page</w:t>
            </w:r>
          </w:p>
        </w:tc>
      </w:tr>
      <w:tr>
        <w:trPr>
          <w:trHeight w:val="210"/>
        </w:trPr>
        <w:tc>
          <w:tcPr>
            <w:tcW w:w="140" w:type="dxa"/>
            <w:vAlign w:val="bottom"/>
            <w:shd w:val="clear" w:color="auto" w:fill="DBDBDB"/>
          </w:tcPr>
          <w:p>
            <w:pPr>
              <w:spacing w:after="0"/>
              <w:rPr>
                <w:sz w:val="18"/>
                <w:szCs w:val="18"/>
                <w:color w:val="auto"/>
              </w:rPr>
            </w:pPr>
          </w:p>
        </w:tc>
        <w:tc>
          <w:tcPr>
            <w:tcW w:w="4840" w:type="dxa"/>
            <w:vAlign w:val="bottom"/>
            <w:gridSpan w:val="20"/>
            <w:shd w:val="clear" w:color="auto" w:fill="DBDBDB"/>
          </w:tcPr>
          <w:p>
            <w:pPr>
              <w:spacing w:after="0"/>
              <w:rPr>
                <w:sz w:val="20"/>
                <w:szCs w:val="20"/>
                <w:color w:val="auto"/>
              </w:rPr>
            </w:pPr>
            <w:r>
              <w:rPr>
                <w:rFonts w:ascii="Arial" w:cs="Arial" w:eastAsia="Arial" w:hAnsi="Arial"/>
                <w:sz w:val="18"/>
                <w:szCs w:val="18"/>
                <w:color w:val="auto"/>
              </w:rPr>
              <w:t>Condensed Consolidated Balance Sheets</w:t>
            </w:r>
          </w:p>
        </w:tc>
        <w:tc>
          <w:tcPr>
            <w:tcW w:w="5560" w:type="dxa"/>
            <w:vAlign w:val="bottom"/>
            <w:gridSpan w:val="4"/>
            <w:shd w:val="clear" w:color="auto" w:fill="DBDBDB"/>
          </w:tcPr>
          <w:p>
            <w:pPr>
              <w:jc w:val="center"/>
              <w:ind w:left="5370"/>
              <w:spacing w:after="0"/>
              <w:rPr>
                <w:sz w:val="20"/>
                <w:szCs w:val="20"/>
                <w:color w:val="auto"/>
              </w:rPr>
            </w:pPr>
            <w:r>
              <w:rPr>
                <w:rFonts w:ascii="Arial" w:cs="Arial" w:eastAsia="Arial" w:hAnsi="Arial"/>
                <w:sz w:val="18"/>
                <w:szCs w:val="18"/>
                <w:color w:val="auto"/>
                <w:w w:val="99"/>
              </w:rPr>
              <w:t>3</w:t>
            </w:r>
          </w:p>
        </w:tc>
        <w:tc>
          <w:tcPr>
            <w:tcW w:w="4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54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2"/>
        </w:trPr>
        <w:tc>
          <w:tcPr>
            <w:tcW w:w="140" w:type="dxa"/>
            <w:vAlign w:val="bottom"/>
          </w:tcPr>
          <w:p>
            <w:pPr>
              <w:spacing w:after="0"/>
              <w:rPr>
                <w:sz w:val="17"/>
                <w:szCs w:val="17"/>
                <w:color w:val="auto"/>
              </w:rPr>
            </w:pPr>
          </w:p>
        </w:tc>
        <w:tc>
          <w:tcPr>
            <w:tcW w:w="4840" w:type="dxa"/>
            <w:vAlign w:val="bottom"/>
            <w:gridSpan w:val="20"/>
          </w:tcPr>
          <w:p>
            <w:pPr>
              <w:spacing w:after="0" w:line="202" w:lineRule="exact"/>
              <w:rPr>
                <w:sz w:val="20"/>
                <w:szCs w:val="20"/>
                <w:color w:val="auto"/>
              </w:rPr>
            </w:pPr>
            <w:r>
              <w:rPr>
                <w:rFonts w:ascii="Arial" w:cs="Arial" w:eastAsia="Arial" w:hAnsi="Arial"/>
                <w:sz w:val="18"/>
                <w:szCs w:val="18"/>
                <w:color w:val="auto"/>
              </w:rPr>
              <w:t>Condensed Consolidated Statements of Operations</w:t>
            </w:r>
          </w:p>
        </w:tc>
        <w:tc>
          <w:tcPr>
            <w:tcW w:w="5560" w:type="dxa"/>
            <w:vAlign w:val="bottom"/>
            <w:gridSpan w:val="4"/>
          </w:tcPr>
          <w:p>
            <w:pPr>
              <w:jc w:val="center"/>
              <w:ind w:left="5370"/>
              <w:spacing w:after="0" w:line="202" w:lineRule="exact"/>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8"/>
        </w:trPr>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140" w:type="dxa"/>
            <w:vAlign w:val="bottom"/>
            <w:tcBorders>
              <w:bottom w:val="single" w:sz="8" w:color="DBDBDB"/>
            </w:tcBorders>
            <w:shd w:val="clear" w:color="auto" w:fill="DBDBDB"/>
          </w:tcPr>
          <w:p>
            <w:pPr>
              <w:spacing w:after="0"/>
              <w:rPr>
                <w:sz w:val="21"/>
                <w:szCs w:val="21"/>
                <w:color w:val="auto"/>
              </w:rPr>
            </w:pPr>
          </w:p>
        </w:tc>
        <w:tc>
          <w:tcPr>
            <w:tcW w:w="4840" w:type="dxa"/>
            <w:vAlign w:val="bottom"/>
            <w:tcBorders>
              <w:bottom w:val="single" w:sz="8" w:color="auto"/>
            </w:tcBorders>
            <w:gridSpan w:val="20"/>
            <w:shd w:val="clear" w:color="auto" w:fill="DBDBDB"/>
          </w:tcPr>
          <w:p>
            <w:pPr>
              <w:spacing w:after="0" w:line="202" w:lineRule="exact"/>
              <w:rPr>
                <w:sz w:val="20"/>
                <w:szCs w:val="20"/>
                <w:color w:val="auto"/>
              </w:rPr>
            </w:pPr>
            <w:r>
              <w:rPr>
                <w:rFonts w:ascii="Arial" w:cs="Arial" w:eastAsia="Arial" w:hAnsi="Arial"/>
                <w:sz w:val="18"/>
                <w:szCs w:val="18"/>
                <w:color w:val="auto"/>
                <w:w w:val="99"/>
              </w:rPr>
              <w:t>Condensed Consolidated Statements of Stockholders' Equity</w:t>
            </w:r>
          </w:p>
        </w:tc>
        <w:tc>
          <w:tcPr>
            <w:tcW w:w="5460" w:type="dxa"/>
            <w:vAlign w:val="bottom"/>
            <w:tcBorders>
              <w:bottom w:val="single" w:sz="8" w:color="DBDBDB"/>
            </w:tcBorders>
            <w:gridSpan w:val="3"/>
            <w:shd w:val="clear" w:color="auto" w:fill="DBDBDB"/>
          </w:tcPr>
          <w:p>
            <w:pPr>
              <w:spacing w:after="0"/>
              <w:rPr>
                <w:sz w:val="21"/>
                <w:szCs w:val="21"/>
                <w:color w:val="auto"/>
              </w:rPr>
            </w:pPr>
          </w:p>
        </w:tc>
        <w:tc>
          <w:tcPr>
            <w:tcW w:w="100" w:type="dxa"/>
            <w:vAlign w:val="bottom"/>
            <w:tcBorders>
              <w:bottom w:val="single" w:sz="8" w:color="auto"/>
            </w:tcBorders>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6</w:t>
            </w:r>
          </w:p>
        </w:tc>
        <w:tc>
          <w:tcPr>
            <w:tcW w:w="4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DBDBDB"/>
            </w:tcBorders>
            <w:shd w:val="clear" w:color="auto" w:fill="DBDBDB"/>
          </w:tcPr>
          <w:p>
            <w:pPr>
              <w:spacing w:after="0"/>
              <w:rPr>
                <w:sz w:val="21"/>
                <w:szCs w:val="21"/>
                <w:color w:val="auto"/>
              </w:rPr>
            </w:pPr>
          </w:p>
        </w:tc>
      </w:tr>
      <w:tr>
        <w:trPr>
          <w:trHeight w:val="203"/>
        </w:trPr>
        <w:tc>
          <w:tcPr>
            <w:tcW w:w="140" w:type="dxa"/>
            <w:vAlign w:val="bottom"/>
          </w:tcPr>
          <w:p>
            <w:pPr>
              <w:spacing w:after="0"/>
              <w:rPr>
                <w:sz w:val="17"/>
                <w:szCs w:val="17"/>
                <w:color w:val="auto"/>
              </w:rPr>
            </w:pPr>
          </w:p>
        </w:tc>
        <w:tc>
          <w:tcPr>
            <w:tcW w:w="4840" w:type="dxa"/>
            <w:vAlign w:val="bottom"/>
            <w:gridSpan w:val="20"/>
          </w:tcPr>
          <w:p>
            <w:pPr>
              <w:spacing w:after="0" w:line="202" w:lineRule="exact"/>
              <w:rPr>
                <w:sz w:val="20"/>
                <w:szCs w:val="20"/>
                <w:color w:val="auto"/>
              </w:rPr>
            </w:pPr>
            <w:r>
              <w:rPr>
                <w:rFonts w:ascii="Arial" w:cs="Arial" w:eastAsia="Arial" w:hAnsi="Arial"/>
                <w:sz w:val="18"/>
                <w:szCs w:val="18"/>
                <w:color w:val="auto"/>
              </w:rPr>
              <w:t>Condensed Consolidated Statements of Cash Flows</w:t>
            </w:r>
          </w:p>
        </w:tc>
        <w:tc>
          <w:tcPr>
            <w:tcW w:w="5560" w:type="dxa"/>
            <w:vAlign w:val="bottom"/>
            <w:gridSpan w:val="4"/>
          </w:tcPr>
          <w:p>
            <w:pPr>
              <w:jc w:val="center"/>
              <w:ind w:left="5370"/>
              <w:spacing w:after="0" w:line="202" w:lineRule="exact"/>
              <w:rPr>
                <w:sz w:val="20"/>
                <w:szCs w:val="20"/>
                <w:color w:val="auto"/>
              </w:rPr>
            </w:pPr>
            <w:r>
              <w:rPr>
                <w:rFonts w:ascii="Arial" w:cs="Arial" w:eastAsia="Arial" w:hAnsi="Arial"/>
                <w:sz w:val="18"/>
                <w:szCs w:val="18"/>
                <w:color w:val="auto"/>
                <w:w w:val="99"/>
              </w:rPr>
              <w:t>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8"/>
        </w:trPr>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140" w:type="dxa"/>
            <w:vAlign w:val="bottom"/>
            <w:shd w:val="clear" w:color="auto" w:fill="DBDBDB"/>
          </w:tcPr>
          <w:p>
            <w:pPr>
              <w:spacing w:after="0"/>
              <w:rPr>
                <w:sz w:val="21"/>
                <w:szCs w:val="21"/>
                <w:color w:val="auto"/>
              </w:rPr>
            </w:pPr>
          </w:p>
        </w:tc>
        <w:tc>
          <w:tcPr>
            <w:tcW w:w="4840" w:type="dxa"/>
            <w:vAlign w:val="bottom"/>
            <w:gridSpan w:val="20"/>
            <w:shd w:val="clear" w:color="auto" w:fill="DBDBDB"/>
          </w:tcPr>
          <w:p>
            <w:pPr>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5560" w:type="dxa"/>
            <w:vAlign w:val="bottom"/>
            <w:gridSpan w:val="4"/>
            <w:shd w:val="clear" w:color="auto" w:fill="DBDBDB"/>
          </w:tcPr>
          <w:p>
            <w:pPr>
              <w:jc w:val="center"/>
              <w:ind w:left="5370"/>
              <w:spacing w:after="0" w:line="202" w:lineRule="exact"/>
              <w:rPr>
                <w:sz w:val="20"/>
                <w:szCs w:val="20"/>
                <w:color w:val="auto"/>
              </w:rPr>
            </w:pPr>
            <w:r>
              <w:rPr>
                <w:rFonts w:ascii="Arial" w:cs="Arial" w:eastAsia="Arial" w:hAnsi="Arial"/>
                <w:sz w:val="18"/>
                <w:szCs w:val="18"/>
                <w:color w:val="auto"/>
                <w:w w:val="99"/>
              </w:rPr>
              <w:t>9</w:t>
            </w:r>
          </w:p>
        </w:tc>
        <w:tc>
          <w:tcPr>
            <w:tcW w:w="4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r>
      <w:tr>
        <w:trPr>
          <w:trHeight w:val="202"/>
        </w:trPr>
        <w:tc>
          <w:tcPr>
            <w:tcW w:w="140" w:type="dxa"/>
            <w:vAlign w:val="bottom"/>
            <w:tcBorders>
              <w:top w:val="single" w:sz="8" w:color="DBDBDB"/>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360" w:type="dxa"/>
            <w:vAlign w:val="bottom"/>
            <w:tcBorders>
              <w:top w:val="single" w:sz="8" w:color="auto"/>
            </w:tcBorders>
            <w:gridSpan w:val="18"/>
          </w:tcPr>
          <w:p>
            <w:pPr>
              <w:spacing w:after="0" w:line="202" w:lineRule="exact"/>
              <w:rPr>
                <w:sz w:val="20"/>
                <w:szCs w:val="20"/>
                <w:color w:val="auto"/>
              </w:rPr>
            </w:pPr>
            <w:r>
              <w:rPr>
                <w:rFonts w:ascii="Arial" w:cs="Arial" w:eastAsia="Arial" w:hAnsi="Arial"/>
                <w:sz w:val="18"/>
                <w:szCs w:val="18"/>
                <w:color w:val="auto"/>
              </w:rPr>
              <w:t>Note 1. Description Of Business</w:t>
            </w:r>
          </w:p>
        </w:tc>
        <w:tc>
          <w:tcPr>
            <w:tcW w:w="380" w:type="dxa"/>
            <w:vAlign w:val="bottom"/>
            <w:tcBorders>
              <w:top w:val="single" w:sz="8" w:color="DBDBDB"/>
            </w:tcBorders>
          </w:tcPr>
          <w:p>
            <w:pPr>
              <w:spacing w:after="0"/>
              <w:rPr>
                <w:sz w:val="17"/>
                <w:szCs w:val="17"/>
                <w:color w:val="auto"/>
              </w:rPr>
            </w:pPr>
          </w:p>
        </w:tc>
        <w:tc>
          <w:tcPr>
            <w:tcW w:w="5460" w:type="dxa"/>
            <w:vAlign w:val="bottom"/>
            <w:tcBorders>
              <w:top w:val="single" w:sz="8" w:color="DBDBDB"/>
            </w:tcBorders>
            <w:gridSpan w:val="3"/>
          </w:tcPr>
          <w:p>
            <w:pPr>
              <w:spacing w:after="0"/>
              <w:rPr>
                <w:sz w:val="17"/>
                <w:szCs w:val="17"/>
                <w:color w:val="auto"/>
              </w:rPr>
            </w:pPr>
          </w:p>
        </w:tc>
        <w:tc>
          <w:tcPr>
            <w:tcW w:w="10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9</w:t>
            </w:r>
          </w:p>
        </w:tc>
        <w:tc>
          <w:tcPr>
            <w:tcW w:w="40" w:type="dxa"/>
            <w:vAlign w:val="bottom"/>
            <w:tcBorders>
              <w:top w:val="single" w:sz="8" w:color="DBDBDB"/>
            </w:tcBorders>
          </w:tcPr>
          <w:p>
            <w:pPr>
              <w:spacing w:after="0"/>
              <w:rPr>
                <w:sz w:val="17"/>
                <w:szCs w:val="17"/>
                <w:color w:val="auto"/>
              </w:rPr>
            </w:pPr>
          </w:p>
        </w:tc>
        <w:tc>
          <w:tcPr>
            <w:tcW w:w="20" w:type="dxa"/>
            <w:vAlign w:val="bottom"/>
            <w:tcBorders>
              <w:top w:val="single" w:sz="8" w:color="DBDBDB"/>
            </w:tcBorders>
          </w:tcPr>
          <w:p>
            <w:pPr>
              <w:spacing w:after="0"/>
              <w:rPr>
                <w:sz w:val="17"/>
                <w:szCs w:val="17"/>
                <w:color w:val="auto"/>
              </w:rPr>
            </w:pPr>
          </w:p>
        </w:tc>
        <w:tc>
          <w:tcPr>
            <w:tcW w:w="640" w:type="dxa"/>
            <w:vAlign w:val="bottom"/>
            <w:tcBorders>
              <w:top w:val="single" w:sz="8" w:color="DBDBDB"/>
            </w:tcBorders>
          </w:tcPr>
          <w:p>
            <w:pPr>
              <w:spacing w:after="0"/>
              <w:rPr>
                <w:sz w:val="17"/>
                <w:szCs w:val="17"/>
                <w:color w:val="auto"/>
              </w:rPr>
            </w:pP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1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740" w:type="dxa"/>
            <w:vAlign w:val="bottom"/>
            <w:gridSpan w:val="19"/>
            <w:shd w:val="clear" w:color="auto" w:fill="DBDBDB"/>
          </w:tcPr>
          <w:p>
            <w:pPr>
              <w:spacing w:after="0" w:line="202" w:lineRule="exact"/>
              <w:rPr>
                <w:sz w:val="20"/>
                <w:szCs w:val="20"/>
                <w:color w:val="auto"/>
              </w:rPr>
            </w:pPr>
            <w:r>
              <w:rPr>
                <w:rFonts w:ascii="Arial" w:cs="Arial" w:eastAsia="Arial" w:hAnsi="Arial"/>
                <w:sz w:val="18"/>
                <w:szCs w:val="18"/>
                <w:color w:val="auto"/>
              </w:rPr>
              <w:t>Note 2. Summary Of Significant Accounting Policies</w:t>
            </w:r>
          </w:p>
        </w:tc>
        <w:tc>
          <w:tcPr>
            <w:tcW w:w="5620" w:type="dxa"/>
            <w:vAlign w:val="bottom"/>
            <w:gridSpan w:val="6"/>
            <w:shd w:val="clear" w:color="auto" w:fill="DBDBDB"/>
          </w:tcPr>
          <w:p>
            <w:pPr>
              <w:jc w:val="center"/>
              <w:ind w:left="5330"/>
              <w:spacing w:after="0" w:line="202" w:lineRule="exact"/>
              <w:rPr>
                <w:sz w:val="20"/>
                <w:szCs w:val="20"/>
                <w:color w:val="auto"/>
              </w:rPr>
            </w:pPr>
            <w:r>
              <w:rPr>
                <w:rFonts w:ascii="Arial" w:cs="Arial" w:eastAsia="Arial" w:hAnsi="Arial"/>
                <w:sz w:val="18"/>
                <w:szCs w:val="18"/>
                <w:color w:val="auto"/>
                <w:w w:val="99"/>
              </w:rPr>
              <w:t>10</w:t>
            </w:r>
          </w:p>
        </w:tc>
        <w:tc>
          <w:tcPr>
            <w:tcW w:w="640" w:type="dxa"/>
            <w:vAlign w:val="bottom"/>
            <w:shd w:val="clear" w:color="auto" w:fill="DBDBDB"/>
          </w:tcPr>
          <w:p>
            <w:pPr>
              <w:spacing w:after="0"/>
              <w:rPr>
                <w:sz w:val="21"/>
                <w:szCs w:val="21"/>
                <w:color w:val="auto"/>
              </w:rPr>
            </w:pPr>
          </w:p>
        </w:tc>
      </w:tr>
      <w:tr>
        <w:trPr>
          <w:trHeight w:val="202"/>
        </w:trPr>
        <w:tc>
          <w:tcPr>
            <w:tcW w:w="140" w:type="dxa"/>
            <w:vAlign w:val="bottom"/>
            <w:tcBorders>
              <w:top w:val="single" w:sz="8" w:color="DBDBDB"/>
            </w:tcBorders>
          </w:tcPr>
          <w:p>
            <w:pPr>
              <w:spacing w:after="0"/>
              <w:rPr>
                <w:sz w:val="17"/>
                <w:szCs w:val="17"/>
                <w:color w:val="auto"/>
              </w:rPr>
            </w:pPr>
          </w:p>
        </w:tc>
        <w:tc>
          <w:tcPr>
            <w:tcW w:w="100" w:type="dxa"/>
            <w:vAlign w:val="bottom"/>
            <w:tcBorders>
              <w:top w:val="single" w:sz="8" w:color="DBDBDB"/>
            </w:tcBorders>
          </w:tcPr>
          <w:p>
            <w:pPr>
              <w:spacing w:after="0"/>
              <w:rPr>
                <w:sz w:val="17"/>
                <w:szCs w:val="17"/>
                <w:color w:val="auto"/>
              </w:rPr>
            </w:pPr>
          </w:p>
        </w:tc>
        <w:tc>
          <w:tcPr>
            <w:tcW w:w="4120" w:type="dxa"/>
            <w:vAlign w:val="bottom"/>
            <w:tcBorders>
              <w:top w:val="single" w:sz="8" w:color="auto"/>
            </w:tcBorders>
            <w:gridSpan w:val="17"/>
          </w:tcPr>
          <w:p>
            <w:pPr>
              <w:spacing w:after="0" w:line="202" w:lineRule="exact"/>
              <w:rPr>
                <w:sz w:val="20"/>
                <w:szCs w:val="20"/>
                <w:color w:val="auto"/>
              </w:rPr>
            </w:pPr>
            <w:r>
              <w:rPr>
                <w:rFonts w:ascii="Arial" w:cs="Arial" w:eastAsia="Arial" w:hAnsi="Arial"/>
                <w:sz w:val="18"/>
                <w:szCs w:val="18"/>
                <w:color w:val="auto"/>
              </w:rPr>
              <w:t>Note 3. Revenue Recognition</w:t>
            </w:r>
          </w:p>
        </w:tc>
        <w:tc>
          <w:tcPr>
            <w:tcW w:w="620" w:type="dxa"/>
            <w:vAlign w:val="bottom"/>
            <w:tcBorders>
              <w:top w:val="single" w:sz="8" w:color="DBDBDB"/>
            </w:tcBorders>
            <w:gridSpan w:val="2"/>
          </w:tcPr>
          <w:p>
            <w:pPr>
              <w:spacing w:after="0"/>
              <w:rPr>
                <w:sz w:val="17"/>
                <w:szCs w:val="17"/>
                <w:color w:val="auto"/>
              </w:rPr>
            </w:pPr>
          </w:p>
        </w:tc>
        <w:tc>
          <w:tcPr>
            <w:tcW w:w="5400" w:type="dxa"/>
            <w:vAlign w:val="bottom"/>
            <w:tcBorders>
              <w:top w:val="single" w:sz="8" w:color="DBDBDB"/>
            </w:tcBorders>
          </w:tcPr>
          <w:p>
            <w:pPr>
              <w:spacing w:after="0"/>
              <w:rPr>
                <w:sz w:val="17"/>
                <w:szCs w:val="17"/>
                <w:color w:val="auto"/>
              </w:rPr>
            </w:pPr>
          </w:p>
        </w:tc>
        <w:tc>
          <w:tcPr>
            <w:tcW w:w="200" w:type="dxa"/>
            <w:vAlign w:val="bottom"/>
            <w:tcBorders>
              <w:top w:val="single" w:sz="8" w:color="auto"/>
            </w:tcBorders>
            <w:gridSpan w:val="4"/>
          </w:tcPr>
          <w:p>
            <w:pPr>
              <w:jc w:val="center"/>
              <w:spacing w:after="0" w:line="202" w:lineRule="exact"/>
              <w:rPr>
                <w:sz w:val="20"/>
                <w:szCs w:val="20"/>
                <w:color w:val="auto"/>
              </w:rPr>
            </w:pPr>
            <w:r>
              <w:rPr>
                <w:rFonts w:ascii="Arial" w:cs="Arial" w:eastAsia="Arial" w:hAnsi="Arial"/>
                <w:sz w:val="18"/>
                <w:szCs w:val="18"/>
                <w:color w:val="auto"/>
                <w:w w:val="89"/>
              </w:rPr>
              <w:t>11</w:t>
            </w:r>
          </w:p>
        </w:tc>
        <w:tc>
          <w:tcPr>
            <w:tcW w:w="20" w:type="dxa"/>
            <w:vAlign w:val="bottom"/>
            <w:tcBorders>
              <w:top w:val="single" w:sz="8" w:color="auto"/>
            </w:tcBorders>
          </w:tcPr>
          <w:p>
            <w:pPr>
              <w:spacing w:after="0"/>
              <w:rPr>
                <w:sz w:val="17"/>
                <w:szCs w:val="17"/>
                <w:color w:val="auto"/>
              </w:rPr>
            </w:pPr>
          </w:p>
        </w:tc>
        <w:tc>
          <w:tcPr>
            <w:tcW w:w="640" w:type="dxa"/>
            <w:vAlign w:val="bottom"/>
            <w:tcBorders>
              <w:top w:val="single" w:sz="8" w:color="DBDBDB"/>
            </w:tcBorders>
          </w:tcPr>
          <w:p>
            <w:pPr>
              <w:spacing w:after="0"/>
              <w:rPr>
                <w:sz w:val="17"/>
                <w:szCs w:val="17"/>
                <w:color w:val="auto"/>
              </w:rPr>
            </w:pP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1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520" w:type="dxa"/>
            <w:vAlign w:val="bottom"/>
            <w:tcBorders>
              <w:bottom w:val="single" w:sz="8" w:color="auto"/>
            </w:tcBorders>
            <w:gridSpan w:val="3"/>
            <w:shd w:val="clear" w:color="auto" w:fill="DBDBDB"/>
          </w:tcPr>
          <w:p>
            <w:pPr>
              <w:spacing w:after="0" w:line="202" w:lineRule="exact"/>
              <w:rPr>
                <w:sz w:val="20"/>
                <w:szCs w:val="20"/>
                <w:color w:val="auto"/>
              </w:rPr>
            </w:pPr>
            <w:r>
              <w:rPr>
                <w:rFonts w:ascii="Arial" w:cs="Arial" w:eastAsia="Arial" w:hAnsi="Arial"/>
                <w:sz w:val="18"/>
                <w:szCs w:val="18"/>
                <w:color w:val="auto"/>
                <w:w w:val="99"/>
              </w:rPr>
              <w:t>Note 4. Inventories</w:t>
            </w:r>
          </w:p>
        </w:tc>
        <w:tc>
          <w:tcPr>
            <w:tcW w:w="3220" w:type="dxa"/>
            <w:vAlign w:val="bottom"/>
            <w:tcBorders>
              <w:bottom w:val="single" w:sz="8" w:color="DBDBDB"/>
            </w:tcBorders>
            <w:gridSpan w:val="16"/>
            <w:shd w:val="clear" w:color="auto" w:fill="DBDBDB"/>
          </w:tcPr>
          <w:p>
            <w:pPr>
              <w:spacing w:after="0"/>
              <w:rPr>
                <w:sz w:val="21"/>
                <w:szCs w:val="21"/>
                <w:color w:val="auto"/>
              </w:rPr>
            </w:pPr>
          </w:p>
        </w:tc>
        <w:tc>
          <w:tcPr>
            <w:tcW w:w="54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gridSpan w:val="5"/>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12</w:t>
            </w:r>
          </w:p>
        </w:tc>
        <w:tc>
          <w:tcPr>
            <w:tcW w:w="640" w:type="dxa"/>
            <w:vAlign w:val="bottom"/>
            <w:tcBorders>
              <w:bottom w:val="single" w:sz="8" w:color="DBDBDB"/>
            </w:tcBorders>
            <w:shd w:val="clear" w:color="auto" w:fill="DBDBDB"/>
          </w:tcPr>
          <w:p>
            <w:pPr>
              <w:spacing w:after="0"/>
              <w:rPr>
                <w:sz w:val="21"/>
                <w:szCs w:val="21"/>
                <w:color w:val="auto"/>
              </w:rPr>
            </w:pPr>
          </w:p>
        </w:tc>
      </w:tr>
      <w:tr>
        <w:trPr>
          <w:trHeight w:val="202"/>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gridSpan w:val="19"/>
          </w:tcPr>
          <w:p>
            <w:pPr>
              <w:spacing w:after="0" w:line="202" w:lineRule="exact"/>
              <w:rPr>
                <w:sz w:val="20"/>
                <w:szCs w:val="20"/>
                <w:color w:val="auto"/>
              </w:rPr>
            </w:pPr>
            <w:r>
              <w:rPr>
                <w:rFonts w:ascii="Arial" w:cs="Arial" w:eastAsia="Arial" w:hAnsi="Arial"/>
                <w:sz w:val="18"/>
                <w:szCs w:val="18"/>
                <w:color w:val="auto"/>
              </w:rPr>
              <w:t>Note 5. Property &amp; Equipment, Net</w:t>
            </w:r>
          </w:p>
        </w:tc>
        <w:tc>
          <w:tcPr>
            <w:tcW w:w="5620" w:type="dxa"/>
            <w:vAlign w:val="bottom"/>
            <w:gridSpan w:val="6"/>
          </w:tcPr>
          <w:p>
            <w:pPr>
              <w:jc w:val="center"/>
              <w:ind w:left="5330"/>
              <w:spacing w:after="0" w:line="202" w:lineRule="exact"/>
              <w:rPr>
                <w:sz w:val="20"/>
                <w:szCs w:val="20"/>
                <w:color w:val="auto"/>
              </w:rPr>
            </w:pPr>
            <w:r>
              <w:rPr>
                <w:rFonts w:ascii="Arial" w:cs="Arial" w:eastAsia="Arial" w:hAnsi="Arial"/>
                <w:sz w:val="18"/>
                <w:szCs w:val="18"/>
                <w:color w:val="auto"/>
                <w:w w:val="99"/>
              </w:rPr>
              <w:t>12</w:t>
            </w:r>
          </w:p>
        </w:tc>
        <w:tc>
          <w:tcPr>
            <w:tcW w:w="640" w:type="dxa"/>
            <w:vAlign w:val="bottom"/>
          </w:tcPr>
          <w:p>
            <w:pPr>
              <w:spacing w:after="0"/>
              <w:rPr>
                <w:sz w:val="17"/>
                <w:szCs w:val="17"/>
                <w:color w:val="auto"/>
              </w:rPr>
            </w:pP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2"/>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740" w:type="dxa"/>
            <w:vAlign w:val="bottom"/>
            <w:gridSpan w:val="19"/>
            <w:shd w:val="clear" w:color="auto" w:fill="DBDBDB"/>
          </w:tcPr>
          <w:p>
            <w:pPr>
              <w:spacing w:after="0" w:line="202" w:lineRule="exact"/>
              <w:rPr>
                <w:sz w:val="20"/>
                <w:szCs w:val="20"/>
                <w:color w:val="auto"/>
              </w:rPr>
            </w:pPr>
            <w:r>
              <w:rPr>
                <w:rFonts w:ascii="Arial" w:cs="Arial" w:eastAsia="Arial" w:hAnsi="Arial"/>
                <w:sz w:val="18"/>
                <w:szCs w:val="18"/>
                <w:color w:val="auto"/>
              </w:rPr>
              <w:t>Note 6. Goodwill &amp; Intangible Assets</w:t>
            </w:r>
          </w:p>
        </w:tc>
        <w:tc>
          <w:tcPr>
            <w:tcW w:w="5620" w:type="dxa"/>
            <w:vAlign w:val="bottom"/>
            <w:gridSpan w:val="6"/>
            <w:shd w:val="clear" w:color="auto" w:fill="DBDBDB"/>
          </w:tcPr>
          <w:p>
            <w:pPr>
              <w:jc w:val="center"/>
              <w:ind w:left="5330"/>
              <w:spacing w:after="0" w:line="202" w:lineRule="exact"/>
              <w:rPr>
                <w:sz w:val="20"/>
                <w:szCs w:val="20"/>
                <w:color w:val="auto"/>
              </w:rPr>
            </w:pPr>
            <w:r>
              <w:rPr>
                <w:rFonts w:ascii="Arial" w:cs="Arial" w:eastAsia="Arial" w:hAnsi="Arial"/>
                <w:sz w:val="18"/>
                <w:szCs w:val="18"/>
                <w:color w:val="auto"/>
                <w:w w:val="99"/>
              </w:rPr>
              <w:t>13</w:t>
            </w:r>
          </w:p>
        </w:tc>
        <w:tc>
          <w:tcPr>
            <w:tcW w:w="640" w:type="dxa"/>
            <w:vAlign w:val="bottom"/>
            <w:shd w:val="clear" w:color="auto" w:fill="DBDBDB"/>
          </w:tcPr>
          <w:p>
            <w:pPr>
              <w:spacing w:after="0"/>
              <w:rPr>
                <w:sz w:val="17"/>
                <w:szCs w:val="17"/>
                <w:color w:val="auto"/>
              </w:rPr>
            </w:pP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54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gridSpan w:val="19"/>
          </w:tcPr>
          <w:p>
            <w:pPr>
              <w:spacing w:after="0" w:line="202" w:lineRule="exact"/>
              <w:rPr>
                <w:sz w:val="20"/>
                <w:szCs w:val="20"/>
                <w:color w:val="auto"/>
              </w:rPr>
            </w:pPr>
            <w:r>
              <w:rPr>
                <w:rFonts w:ascii="Arial" w:cs="Arial" w:eastAsia="Arial" w:hAnsi="Arial"/>
                <w:sz w:val="18"/>
                <w:szCs w:val="18"/>
                <w:color w:val="auto"/>
              </w:rPr>
              <w:t>Note 7. Fair Value of Financial Instruments</w:t>
            </w:r>
          </w:p>
        </w:tc>
        <w:tc>
          <w:tcPr>
            <w:tcW w:w="5620" w:type="dxa"/>
            <w:vAlign w:val="bottom"/>
            <w:gridSpan w:val="6"/>
          </w:tcPr>
          <w:p>
            <w:pPr>
              <w:jc w:val="center"/>
              <w:ind w:left="5330"/>
              <w:spacing w:after="0" w:line="202" w:lineRule="exact"/>
              <w:rPr>
                <w:sz w:val="20"/>
                <w:szCs w:val="20"/>
                <w:color w:val="auto"/>
              </w:rPr>
            </w:pPr>
            <w:r>
              <w:rPr>
                <w:rFonts w:ascii="Arial" w:cs="Arial" w:eastAsia="Arial" w:hAnsi="Arial"/>
                <w:sz w:val="18"/>
                <w:szCs w:val="18"/>
                <w:color w:val="auto"/>
                <w:w w:val="99"/>
              </w:rPr>
              <w:t>14</w:t>
            </w:r>
          </w:p>
        </w:tc>
        <w:tc>
          <w:tcPr>
            <w:tcW w:w="640" w:type="dxa"/>
            <w:vAlign w:val="bottom"/>
          </w:tcPr>
          <w:p>
            <w:pPr>
              <w:spacing w:after="0"/>
              <w:rPr>
                <w:sz w:val="17"/>
                <w:szCs w:val="17"/>
                <w:color w:val="auto"/>
              </w:rPr>
            </w:pP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1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020" w:type="dxa"/>
            <w:vAlign w:val="bottom"/>
            <w:tcBorders>
              <w:bottom w:val="single" w:sz="8" w:color="auto"/>
            </w:tcBorders>
            <w:shd w:val="clear" w:color="auto" w:fill="DBDBDB"/>
          </w:tcPr>
          <w:p>
            <w:pPr>
              <w:spacing w:after="0" w:line="202" w:lineRule="exact"/>
              <w:rPr>
                <w:sz w:val="20"/>
                <w:szCs w:val="20"/>
                <w:color w:val="auto"/>
              </w:rPr>
            </w:pPr>
            <w:r>
              <w:rPr>
                <w:rFonts w:ascii="Arial" w:cs="Arial" w:eastAsia="Arial" w:hAnsi="Arial"/>
                <w:sz w:val="18"/>
                <w:szCs w:val="18"/>
                <w:color w:val="auto"/>
                <w:w w:val="98"/>
              </w:rPr>
              <w:t>Note 8. Debt</w:t>
            </w:r>
          </w:p>
        </w:tc>
        <w:tc>
          <w:tcPr>
            <w:tcW w:w="3720" w:type="dxa"/>
            <w:vAlign w:val="bottom"/>
            <w:tcBorders>
              <w:bottom w:val="single" w:sz="8" w:color="DBDBDB"/>
            </w:tcBorders>
            <w:gridSpan w:val="18"/>
            <w:shd w:val="clear" w:color="auto" w:fill="DBDBDB"/>
          </w:tcPr>
          <w:p>
            <w:pPr>
              <w:spacing w:after="0"/>
              <w:rPr>
                <w:sz w:val="21"/>
                <w:szCs w:val="21"/>
                <w:color w:val="auto"/>
              </w:rPr>
            </w:pPr>
          </w:p>
        </w:tc>
        <w:tc>
          <w:tcPr>
            <w:tcW w:w="54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gridSpan w:val="5"/>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15</w:t>
            </w:r>
          </w:p>
        </w:tc>
        <w:tc>
          <w:tcPr>
            <w:tcW w:w="640" w:type="dxa"/>
            <w:vAlign w:val="bottom"/>
            <w:tcBorders>
              <w:bottom w:val="single" w:sz="8" w:color="DBDBDB"/>
            </w:tcBorders>
            <w:shd w:val="clear" w:color="auto" w:fill="DBDBDB"/>
          </w:tcPr>
          <w:p>
            <w:pPr>
              <w:spacing w:after="0"/>
              <w:rPr>
                <w:sz w:val="21"/>
                <w:szCs w:val="21"/>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gridSpan w:val="19"/>
          </w:tcPr>
          <w:p>
            <w:pPr>
              <w:spacing w:after="0" w:line="202" w:lineRule="exact"/>
              <w:rPr>
                <w:sz w:val="20"/>
                <w:szCs w:val="20"/>
                <w:color w:val="auto"/>
              </w:rPr>
            </w:pPr>
            <w:r>
              <w:rPr>
                <w:rFonts w:ascii="Arial" w:cs="Arial" w:eastAsia="Arial" w:hAnsi="Arial"/>
                <w:sz w:val="18"/>
                <w:szCs w:val="18"/>
                <w:color w:val="auto"/>
              </w:rPr>
              <w:t>Note 9. Leases</w:t>
            </w:r>
          </w:p>
        </w:tc>
        <w:tc>
          <w:tcPr>
            <w:tcW w:w="5620" w:type="dxa"/>
            <w:vAlign w:val="bottom"/>
            <w:gridSpan w:val="6"/>
          </w:tcPr>
          <w:p>
            <w:pPr>
              <w:jc w:val="center"/>
              <w:ind w:left="5330"/>
              <w:spacing w:after="0" w:line="202" w:lineRule="exact"/>
              <w:rPr>
                <w:sz w:val="20"/>
                <w:szCs w:val="20"/>
                <w:color w:val="auto"/>
              </w:rPr>
            </w:pPr>
            <w:r>
              <w:rPr>
                <w:rFonts w:ascii="Arial" w:cs="Arial" w:eastAsia="Arial" w:hAnsi="Arial"/>
                <w:sz w:val="18"/>
                <w:szCs w:val="18"/>
                <w:color w:val="auto"/>
                <w:w w:val="99"/>
              </w:rPr>
              <w:t>17</w:t>
            </w:r>
          </w:p>
        </w:tc>
        <w:tc>
          <w:tcPr>
            <w:tcW w:w="640" w:type="dxa"/>
            <w:vAlign w:val="bottom"/>
          </w:tcPr>
          <w:p>
            <w:pPr>
              <w:spacing w:after="0"/>
              <w:rPr>
                <w:sz w:val="17"/>
                <w:szCs w:val="17"/>
                <w:color w:val="auto"/>
              </w:rPr>
            </w:pP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740" w:type="dxa"/>
            <w:vAlign w:val="bottom"/>
            <w:gridSpan w:val="19"/>
            <w:shd w:val="clear" w:color="auto" w:fill="DBDBDB"/>
          </w:tcPr>
          <w:p>
            <w:pPr>
              <w:spacing w:after="0" w:line="202" w:lineRule="exact"/>
              <w:rPr>
                <w:sz w:val="20"/>
                <w:szCs w:val="20"/>
                <w:color w:val="auto"/>
              </w:rPr>
            </w:pPr>
            <w:r>
              <w:rPr>
                <w:rFonts w:ascii="Arial" w:cs="Arial" w:eastAsia="Arial" w:hAnsi="Arial"/>
                <w:sz w:val="18"/>
                <w:szCs w:val="18"/>
                <w:color w:val="auto"/>
              </w:rPr>
              <w:t>Note 10. Non-Controlling Interests</w:t>
            </w:r>
          </w:p>
        </w:tc>
        <w:tc>
          <w:tcPr>
            <w:tcW w:w="5620" w:type="dxa"/>
            <w:vAlign w:val="bottom"/>
            <w:gridSpan w:val="6"/>
            <w:shd w:val="clear" w:color="auto" w:fill="DBDBDB"/>
          </w:tcPr>
          <w:p>
            <w:pPr>
              <w:jc w:val="center"/>
              <w:ind w:left="5330"/>
              <w:spacing w:after="0" w:line="202" w:lineRule="exact"/>
              <w:rPr>
                <w:sz w:val="20"/>
                <w:szCs w:val="20"/>
                <w:color w:val="auto"/>
              </w:rPr>
            </w:pPr>
            <w:r>
              <w:rPr>
                <w:rFonts w:ascii="Arial" w:cs="Arial" w:eastAsia="Arial" w:hAnsi="Arial"/>
                <w:sz w:val="18"/>
                <w:szCs w:val="18"/>
                <w:color w:val="auto"/>
                <w:w w:val="99"/>
              </w:rPr>
              <w:t>18</w:t>
            </w:r>
          </w:p>
        </w:tc>
        <w:tc>
          <w:tcPr>
            <w:tcW w:w="640" w:type="dxa"/>
            <w:vAlign w:val="bottom"/>
            <w:shd w:val="clear" w:color="auto" w:fill="DBDBDB"/>
          </w:tcPr>
          <w:p>
            <w:pPr>
              <w:spacing w:after="0"/>
              <w:rPr>
                <w:sz w:val="17"/>
                <w:szCs w:val="17"/>
                <w:color w:val="auto"/>
              </w:rPr>
            </w:pP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54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gridSpan w:val="19"/>
          </w:tcPr>
          <w:p>
            <w:pPr>
              <w:spacing w:after="0" w:line="202" w:lineRule="exact"/>
              <w:rPr>
                <w:sz w:val="20"/>
                <w:szCs w:val="20"/>
                <w:color w:val="auto"/>
              </w:rPr>
            </w:pPr>
            <w:r>
              <w:rPr>
                <w:rFonts w:ascii="Arial" w:cs="Arial" w:eastAsia="Arial" w:hAnsi="Arial"/>
                <w:sz w:val="18"/>
                <w:szCs w:val="18"/>
                <w:color w:val="auto"/>
              </w:rPr>
              <w:t>Note 11. Equity-Based Compensation</w:t>
            </w:r>
          </w:p>
        </w:tc>
        <w:tc>
          <w:tcPr>
            <w:tcW w:w="5620" w:type="dxa"/>
            <w:vAlign w:val="bottom"/>
            <w:gridSpan w:val="6"/>
          </w:tcPr>
          <w:p>
            <w:pPr>
              <w:jc w:val="center"/>
              <w:ind w:left="5330"/>
              <w:spacing w:after="0" w:line="202" w:lineRule="exact"/>
              <w:rPr>
                <w:sz w:val="20"/>
                <w:szCs w:val="20"/>
                <w:color w:val="auto"/>
              </w:rPr>
            </w:pPr>
            <w:r>
              <w:rPr>
                <w:rFonts w:ascii="Arial" w:cs="Arial" w:eastAsia="Arial" w:hAnsi="Arial"/>
                <w:sz w:val="18"/>
                <w:szCs w:val="18"/>
                <w:color w:val="auto"/>
                <w:w w:val="99"/>
              </w:rPr>
              <w:t>19</w:t>
            </w:r>
          </w:p>
        </w:tc>
        <w:tc>
          <w:tcPr>
            <w:tcW w:w="640" w:type="dxa"/>
            <w:vAlign w:val="bottom"/>
          </w:tcPr>
          <w:p>
            <w:pPr>
              <w:spacing w:after="0"/>
              <w:rPr>
                <w:sz w:val="17"/>
                <w:szCs w:val="17"/>
                <w:color w:val="auto"/>
              </w:rPr>
            </w:pP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1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840" w:type="dxa"/>
            <w:vAlign w:val="bottom"/>
            <w:tcBorders>
              <w:bottom w:val="single" w:sz="8" w:color="auto"/>
            </w:tcBorders>
            <w:gridSpan w:val="4"/>
            <w:shd w:val="clear" w:color="auto" w:fill="DBDBDB"/>
          </w:tcPr>
          <w:p>
            <w:pPr>
              <w:spacing w:after="0" w:line="202" w:lineRule="exact"/>
              <w:rPr>
                <w:sz w:val="20"/>
                <w:szCs w:val="20"/>
                <w:color w:val="auto"/>
              </w:rPr>
            </w:pPr>
            <w:r>
              <w:rPr>
                <w:rFonts w:ascii="Arial" w:cs="Arial" w:eastAsia="Arial" w:hAnsi="Arial"/>
                <w:sz w:val="18"/>
                <w:szCs w:val="18"/>
                <w:color w:val="auto"/>
                <w:w w:val="97"/>
              </w:rPr>
              <w:t>Note 12. Income Taxes</w:t>
            </w:r>
          </w:p>
        </w:tc>
        <w:tc>
          <w:tcPr>
            <w:tcW w:w="2900" w:type="dxa"/>
            <w:vAlign w:val="bottom"/>
            <w:tcBorders>
              <w:bottom w:val="single" w:sz="8" w:color="DBDBDB"/>
            </w:tcBorders>
            <w:gridSpan w:val="15"/>
            <w:shd w:val="clear" w:color="auto" w:fill="DBDBDB"/>
          </w:tcPr>
          <w:p>
            <w:pPr>
              <w:spacing w:after="0"/>
              <w:rPr>
                <w:sz w:val="21"/>
                <w:szCs w:val="21"/>
                <w:color w:val="auto"/>
              </w:rPr>
            </w:pPr>
          </w:p>
        </w:tc>
        <w:tc>
          <w:tcPr>
            <w:tcW w:w="54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gridSpan w:val="5"/>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19</w:t>
            </w:r>
          </w:p>
        </w:tc>
        <w:tc>
          <w:tcPr>
            <w:tcW w:w="640" w:type="dxa"/>
            <w:vAlign w:val="bottom"/>
            <w:tcBorders>
              <w:bottom w:val="single" w:sz="8" w:color="DBDBDB"/>
            </w:tcBorders>
            <w:shd w:val="clear" w:color="auto" w:fill="DBDBDB"/>
          </w:tcPr>
          <w:p>
            <w:pPr>
              <w:spacing w:after="0"/>
              <w:rPr>
                <w:sz w:val="21"/>
                <w:szCs w:val="21"/>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gridSpan w:val="19"/>
          </w:tcPr>
          <w:p>
            <w:pPr>
              <w:spacing w:after="0" w:line="202" w:lineRule="exact"/>
              <w:rPr>
                <w:sz w:val="20"/>
                <w:szCs w:val="20"/>
                <w:color w:val="auto"/>
              </w:rPr>
            </w:pPr>
            <w:r>
              <w:rPr>
                <w:rFonts w:ascii="Arial" w:cs="Arial" w:eastAsia="Arial" w:hAnsi="Arial"/>
                <w:sz w:val="18"/>
                <w:szCs w:val="18"/>
                <w:color w:val="auto"/>
              </w:rPr>
              <w:t>Note 13. Earnings Per Share</w:t>
            </w:r>
          </w:p>
        </w:tc>
        <w:tc>
          <w:tcPr>
            <w:tcW w:w="5620" w:type="dxa"/>
            <w:vAlign w:val="bottom"/>
            <w:gridSpan w:val="6"/>
          </w:tcPr>
          <w:p>
            <w:pPr>
              <w:jc w:val="center"/>
              <w:ind w:left="5330"/>
              <w:spacing w:after="0" w:line="202" w:lineRule="exact"/>
              <w:rPr>
                <w:sz w:val="20"/>
                <w:szCs w:val="20"/>
                <w:color w:val="auto"/>
              </w:rPr>
            </w:pPr>
            <w:r>
              <w:rPr>
                <w:rFonts w:ascii="Arial" w:cs="Arial" w:eastAsia="Arial" w:hAnsi="Arial"/>
                <w:sz w:val="18"/>
                <w:szCs w:val="18"/>
                <w:color w:val="auto"/>
                <w:w w:val="99"/>
              </w:rPr>
              <w:t>20</w:t>
            </w:r>
          </w:p>
        </w:tc>
        <w:tc>
          <w:tcPr>
            <w:tcW w:w="640" w:type="dxa"/>
            <w:vAlign w:val="bottom"/>
          </w:tcPr>
          <w:p>
            <w:pPr>
              <w:spacing w:after="0"/>
              <w:rPr>
                <w:sz w:val="17"/>
                <w:szCs w:val="17"/>
                <w:color w:val="auto"/>
              </w:rPr>
            </w:pP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1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880" w:type="dxa"/>
            <w:vAlign w:val="bottom"/>
            <w:tcBorders>
              <w:bottom w:val="single" w:sz="8" w:color="auto"/>
            </w:tcBorders>
            <w:gridSpan w:val="5"/>
            <w:shd w:val="clear" w:color="auto" w:fill="DBDBDB"/>
          </w:tcPr>
          <w:p>
            <w:pPr>
              <w:spacing w:after="0" w:line="202" w:lineRule="exact"/>
              <w:rPr>
                <w:sz w:val="20"/>
                <w:szCs w:val="20"/>
                <w:color w:val="auto"/>
              </w:rPr>
            </w:pPr>
            <w:r>
              <w:rPr>
                <w:rFonts w:ascii="Arial" w:cs="Arial" w:eastAsia="Arial" w:hAnsi="Arial"/>
                <w:sz w:val="18"/>
                <w:szCs w:val="18"/>
                <w:color w:val="auto"/>
                <w:w w:val="99"/>
              </w:rPr>
              <w:t>Note 14. Contingencies</w:t>
            </w:r>
          </w:p>
        </w:tc>
        <w:tc>
          <w:tcPr>
            <w:tcW w:w="2860" w:type="dxa"/>
            <w:vAlign w:val="bottom"/>
            <w:tcBorders>
              <w:bottom w:val="single" w:sz="8" w:color="DBDBDB"/>
            </w:tcBorders>
            <w:gridSpan w:val="14"/>
            <w:shd w:val="clear" w:color="auto" w:fill="DBDBDB"/>
          </w:tcPr>
          <w:p>
            <w:pPr>
              <w:spacing w:after="0"/>
              <w:rPr>
                <w:sz w:val="21"/>
                <w:szCs w:val="21"/>
                <w:color w:val="auto"/>
              </w:rPr>
            </w:pPr>
          </w:p>
        </w:tc>
        <w:tc>
          <w:tcPr>
            <w:tcW w:w="54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gridSpan w:val="5"/>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21</w:t>
            </w:r>
          </w:p>
        </w:tc>
        <w:tc>
          <w:tcPr>
            <w:tcW w:w="640" w:type="dxa"/>
            <w:vAlign w:val="bottom"/>
            <w:tcBorders>
              <w:bottom w:val="single" w:sz="8" w:color="DBDBDB"/>
            </w:tcBorders>
            <w:shd w:val="clear" w:color="auto" w:fill="DBDBDB"/>
          </w:tcPr>
          <w:p>
            <w:pPr>
              <w:spacing w:after="0"/>
              <w:rPr>
                <w:sz w:val="21"/>
                <w:szCs w:val="21"/>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gridSpan w:val="19"/>
          </w:tcPr>
          <w:p>
            <w:pPr>
              <w:spacing w:after="0" w:line="202" w:lineRule="exact"/>
              <w:rPr>
                <w:sz w:val="20"/>
                <w:szCs w:val="20"/>
                <w:color w:val="auto"/>
              </w:rPr>
            </w:pPr>
            <w:r>
              <w:rPr>
                <w:rFonts w:ascii="Arial" w:cs="Arial" w:eastAsia="Arial" w:hAnsi="Arial"/>
                <w:sz w:val="18"/>
                <w:szCs w:val="18"/>
                <w:color w:val="auto"/>
              </w:rPr>
              <w:t>Note 15. Related Party Transactions</w:t>
            </w:r>
          </w:p>
        </w:tc>
        <w:tc>
          <w:tcPr>
            <w:tcW w:w="5620" w:type="dxa"/>
            <w:vAlign w:val="bottom"/>
            <w:gridSpan w:val="6"/>
          </w:tcPr>
          <w:p>
            <w:pPr>
              <w:jc w:val="center"/>
              <w:ind w:left="5330"/>
              <w:spacing w:after="0" w:line="202" w:lineRule="exact"/>
              <w:rPr>
                <w:sz w:val="20"/>
                <w:szCs w:val="20"/>
                <w:color w:val="auto"/>
              </w:rPr>
            </w:pPr>
            <w:r>
              <w:rPr>
                <w:rFonts w:ascii="Arial" w:cs="Arial" w:eastAsia="Arial" w:hAnsi="Arial"/>
                <w:sz w:val="18"/>
                <w:szCs w:val="18"/>
                <w:color w:val="auto"/>
                <w:w w:val="99"/>
              </w:rPr>
              <w:t>21</w:t>
            </w:r>
          </w:p>
        </w:tc>
        <w:tc>
          <w:tcPr>
            <w:tcW w:w="640" w:type="dxa"/>
            <w:vAlign w:val="bottom"/>
          </w:tcPr>
          <w:p>
            <w:pPr>
              <w:spacing w:after="0"/>
              <w:rPr>
                <w:sz w:val="17"/>
                <w:szCs w:val="17"/>
                <w:color w:val="auto"/>
              </w:rPr>
            </w:pP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740" w:type="dxa"/>
            <w:vAlign w:val="bottom"/>
            <w:gridSpan w:val="19"/>
            <w:shd w:val="clear" w:color="auto" w:fill="DBDBDB"/>
          </w:tcPr>
          <w:p>
            <w:pPr>
              <w:spacing w:after="0" w:line="202" w:lineRule="exact"/>
              <w:rPr>
                <w:sz w:val="20"/>
                <w:szCs w:val="20"/>
                <w:color w:val="auto"/>
              </w:rPr>
            </w:pPr>
            <w:r>
              <w:rPr>
                <w:rFonts w:ascii="Arial" w:cs="Arial" w:eastAsia="Arial" w:hAnsi="Arial"/>
                <w:sz w:val="18"/>
                <w:szCs w:val="18"/>
                <w:color w:val="auto"/>
              </w:rPr>
              <w:t>Note 16. Subsequent Events</w:t>
            </w:r>
          </w:p>
        </w:tc>
        <w:tc>
          <w:tcPr>
            <w:tcW w:w="5620" w:type="dxa"/>
            <w:vAlign w:val="bottom"/>
            <w:gridSpan w:val="6"/>
            <w:shd w:val="clear" w:color="auto" w:fill="DBDBDB"/>
          </w:tcPr>
          <w:p>
            <w:pPr>
              <w:jc w:val="center"/>
              <w:ind w:left="5330"/>
              <w:spacing w:after="0" w:line="202" w:lineRule="exact"/>
              <w:rPr>
                <w:sz w:val="20"/>
                <w:szCs w:val="20"/>
                <w:color w:val="auto"/>
              </w:rPr>
            </w:pPr>
            <w:r>
              <w:rPr>
                <w:rFonts w:ascii="Arial" w:cs="Arial" w:eastAsia="Arial" w:hAnsi="Arial"/>
                <w:sz w:val="18"/>
                <w:szCs w:val="18"/>
                <w:color w:val="auto"/>
                <w:w w:val="99"/>
              </w:rPr>
              <w:t>22</w:t>
            </w:r>
          </w:p>
        </w:tc>
        <w:tc>
          <w:tcPr>
            <w:tcW w:w="640" w:type="dxa"/>
            <w:vAlign w:val="bottom"/>
            <w:shd w:val="clear" w:color="auto" w:fill="DBDBDB"/>
          </w:tcPr>
          <w:p>
            <w:pPr>
              <w:spacing w:after="0"/>
              <w:rPr>
                <w:sz w:val="17"/>
                <w:szCs w:val="17"/>
                <w:color w:val="auto"/>
              </w:rPr>
            </w:pP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54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7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10-Q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PORTILLO'S INC.</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June 25, 2023</w:t>
            </w:r>
          </w:p>
        </w:tc>
        <w:tc>
          <w:tcPr>
            <w:tcW w:w="1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25, 2022</w:t>
            </w:r>
          </w:p>
        </w:tc>
        <w:tc>
          <w:tcPr>
            <w:tcW w:w="0" w:type="dxa"/>
            <w:vAlign w:val="bottom"/>
          </w:tcPr>
          <w:p>
            <w:pPr>
              <w:spacing w:after="0"/>
              <w:rPr>
                <w:sz w:val="1"/>
                <w:szCs w:val="1"/>
                <w:color w:val="auto"/>
              </w:rPr>
            </w:pPr>
          </w:p>
        </w:tc>
      </w:tr>
      <w:tr>
        <w:trPr>
          <w:trHeight w:val="21"/>
        </w:trPr>
        <w:tc>
          <w:tcPr>
            <w:tcW w:w="7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920" w:type="dxa"/>
            <w:vAlign w:val="bottom"/>
          </w:tcPr>
          <w:p>
            <w:pPr>
              <w:ind w:left="140"/>
              <w:spacing w:after="0"/>
              <w:rPr>
                <w:sz w:val="20"/>
                <w:szCs w:val="20"/>
                <w:color w:val="auto"/>
              </w:rPr>
            </w:pPr>
            <w:r>
              <w:rPr>
                <w:rFonts w:ascii="Arial" w:cs="Arial" w:eastAsia="Arial" w:hAnsi="Arial"/>
                <w:sz w:val="16"/>
                <w:szCs w:val="16"/>
                <w:color w:val="auto"/>
              </w:rPr>
              <w:t>Cash and cash equivalents and restricted cash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22,457</w:t>
            </w:r>
          </w:p>
        </w:tc>
        <w:tc>
          <w:tcPr>
            <w:tcW w:w="58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44,427</w:t>
            </w:r>
          </w:p>
        </w:tc>
        <w:tc>
          <w:tcPr>
            <w:tcW w:w="0" w:type="dxa"/>
            <w:vAlign w:val="bottom"/>
          </w:tcPr>
          <w:p>
            <w:pPr>
              <w:spacing w:after="0"/>
              <w:rPr>
                <w:sz w:val="1"/>
                <w:szCs w:val="1"/>
                <w:color w:val="auto"/>
              </w:rPr>
            </w:pPr>
          </w:p>
        </w:tc>
      </w:tr>
      <w:tr>
        <w:trPr>
          <w:trHeight w:val="246"/>
        </w:trPr>
        <w:tc>
          <w:tcPr>
            <w:tcW w:w="79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Accounts receivable</w:t>
            </w:r>
          </w:p>
        </w:tc>
        <w:tc>
          <w:tcPr>
            <w:tcW w:w="180" w:type="dxa"/>
            <w:vAlign w:val="bottom"/>
            <w:tcBorders>
              <w:bottom w:val="single" w:sz="8" w:color="DBDBDB"/>
            </w:tcBorders>
            <w:shd w:val="clear" w:color="auto" w:fill="DBDBDB"/>
          </w:tcPr>
          <w:p>
            <w:pPr>
              <w:spacing w:after="0"/>
              <w:rPr>
                <w:sz w:val="21"/>
                <w:szCs w:val="21"/>
                <w:color w:val="auto"/>
              </w:rPr>
            </w:pP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11,496</w:t>
            </w:r>
          </w:p>
        </w:tc>
        <w:tc>
          <w:tcPr>
            <w:tcW w:w="12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8,590</w:t>
            </w:r>
          </w:p>
        </w:tc>
        <w:tc>
          <w:tcPr>
            <w:tcW w:w="0" w:type="dxa"/>
            <w:vAlign w:val="bottom"/>
          </w:tcPr>
          <w:p>
            <w:pPr>
              <w:spacing w:after="0"/>
              <w:rPr>
                <w:sz w:val="1"/>
                <w:szCs w:val="1"/>
                <w:color w:val="auto"/>
              </w:rPr>
            </w:pPr>
          </w:p>
        </w:tc>
      </w:tr>
      <w:tr>
        <w:trPr>
          <w:trHeight w:val="233"/>
        </w:trPr>
        <w:tc>
          <w:tcPr>
            <w:tcW w:w="7920" w:type="dxa"/>
            <w:vAlign w:val="bottom"/>
          </w:tcPr>
          <w:p>
            <w:pPr>
              <w:ind w:left="14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6,493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7,387</w:t>
            </w:r>
          </w:p>
        </w:tc>
        <w:tc>
          <w:tcPr>
            <w:tcW w:w="0" w:type="dxa"/>
            <w:vAlign w:val="bottom"/>
          </w:tcPr>
          <w:p>
            <w:pPr>
              <w:spacing w:after="0"/>
              <w:rPr>
                <w:sz w:val="1"/>
                <w:szCs w:val="1"/>
                <w:color w:val="auto"/>
              </w:rPr>
            </w:pPr>
          </w:p>
        </w:tc>
      </w:tr>
      <w:tr>
        <w:trPr>
          <w:trHeight w:val="266"/>
        </w:trPr>
        <w:tc>
          <w:tcPr>
            <w:tcW w:w="79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Prepaid expenses</w:t>
            </w:r>
          </w:p>
        </w:tc>
        <w:tc>
          <w:tcPr>
            <w:tcW w:w="180" w:type="dxa"/>
            <w:vAlign w:val="bottom"/>
            <w:tcBorders>
              <w:bottom w:val="single" w:sz="8" w:color="DBDBDB"/>
            </w:tcBorders>
            <w:shd w:val="clear" w:color="auto" w:fill="DBDBDB"/>
          </w:tcPr>
          <w:p>
            <w:pPr>
              <w:spacing w:after="0"/>
              <w:rPr>
                <w:sz w:val="23"/>
                <w:szCs w:val="23"/>
                <w:color w:val="auto"/>
              </w:rPr>
            </w:pP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5,139</w:t>
            </w:r>
          </w:p>
        </w:tc>
        <w:tc>
          <w:tcPr>
            <w:tcW w:w="120" w:type="dxa"/>
            <w:vAlign w:val="bottom"/>
            <w:tcBorders>
              <w:bottom w:val="single" w:sz="8" w:color="DBDBDB"/>
            </w:tcBorders>
            <w:shd w:val="clear" w:color="auto" w:fill="DBDBDB"/>
          </w:tcPr>
          <w:p>
            <w:pPr>
              <w:spacing w:after="0"/>
              <w:rPr>
                <w:sz w:val="23"/>
                <w:szCs w:val="23"/>
                <w:color w:val="auto"/>
              </w:rPr>
            </w:pPr>
          </w:p>
        </w:tc>
        <w:tc>
          <w:tcPr>
            <w:tcW w:w="460" w:type="dxa"/>
            <w:vAlign w:val="bottom"/>
            <w:tcBorders>
              <w:bottom w:val="single" w:sz="8" w:color="DBDBDB"/>
            </w:tcBorders>
            <w:shd w:val="clear" w:color="auto" w:fill="DBDBDB"/>
          </w:tcPr>
          <w:p>
            <w:pPr>
              <w:spacing w:after="0"/>
              <w:rPr>
                <w:sz w:val="23"/>
                <w:szCs w:val="23"/>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4,922</w:t>
            </w:r>
          </w:p>
        </w:tc>
        <w:tc>
          <w:tcPr>
            <w:tcW w:w="0" w:type="dxa"/>
            <w:vAlign w:val="bottom"/>
          </w:tcPr>
          <w:p>
            <w:pPr>
              <w:spacing w:after="0"/>
              <w:rPr>
                <w:sz w:val="1"/>
                <w:szCs w:val="1"/>
                <w:color w:val="auto"/>
              </w:rPr>
            </w:pPr>
          </w:p>
        </w:tc>
      </w:tr>
      <w:tr>
        <w:trPr>
          <w:trHeight w:val="230"/>
        </w:trPr>
        <w:tc>
          <w:tcPr>
            <w:tcW w:w="79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45,585</w:t>
            </w:r>
          </w:p>
        </w:tc>
        <w:tc>
          <w:tcPr>
            <w:tcW w:w="12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65,326</w:t>
            </w:r>
          </w:p>
        </w:tc>
        <w:tc>
          <w:tcPr>
            <w:tcW w:w="0" w:type="dxa"/>
            <w:vAlign w:val="bottom"/>
          </w:tcPr>
          <w:p>
            <w:pPr>
              <w:spacing w:after="0"/>
              <w:rPr>
                <w:sz w:val="1"/>
                <w:szCs w:val="1"/>
                <w:color w:val="auto"/>
              </w:rPr>
            </w:pPr>
          </w:p>
        </w:tc>
      </w:tr>
      <w:tr>
        <w:trPr>
          <w:trHeight w:val="237"/>
        </w:trPr>
        <w:tc>
          <w:tcPr>
            <w:tcW w:w="792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auto"/>
            </w:tcBorders>
            <w:shd w:val="clear" w:color="auto" w:fill="DBDBDB"/>
          </w:tcPr>
          <w:p>
            <w:pPr>
              <w:spacing w:after="0"/>
              <w:rPr>
                <w:sz w:val="20"/>
                <w:szCs w:val="20"/>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250,443</w:t>
            </w:r>
          </w:p>
        </w:tc>
        <w:tc>
          <w:tcPr>
            <w:tcW w:w="120" w:type="dxa"/>
            <w:vAlign w:val="bottom"/>
            <w:tcBorders>
              <w:bottom w:val="single" w:sz="8" w:color="DBDBDB"/>
            </w:tcBorders>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227,036</w:t>
            </w:r>
          </w:p>
        </w:tc>
        <w:tc>
          <w:tcPr>
            <w:tcW w:w="0" w:type="dxa"/>
            <w:vAlign w:val="bottom"/>
          </w:tcPr>
          <w:p>
            <w:pPr>
              <w:spacing w:after="0"/>
              <w:rPr>
                <w:sz w:val="1"/>
                <w:szCs w:val="1"/>
                <w:color w:val="auto"/>
              </w:rPr>
            </w:pPr>
          </w:p>
        </w:tc>
      </w:tr>
      <w:tr>
        <w:trPr>
          <w:trHeight w:val="237"/>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lease assets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179,449</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166,808</w:t>
            </w:r>
          </w:p>
        </w:tc>
        <w:tc>
          <w:tcPr>
            <w:tcW w:w="0" w:type="dxa"/>
            <w:vAlign w:val="bottom"/>
          </w:tcPr>
          <w:p>
            <w:pPr>
              <w:spacing w:after="0"/>
              <w:rPr>
                <w:sz w:val="1"/>
                <w:szCs w:val="1"/>
                <w:color w:val="auto"/>
              </w:rPr>
            </w:pPr>
          </w:p>
        </w:tc>
      </w:tr>
      <w:tr>
        <w:trPr>
          <w:trHeight w:val="237"/>
        </w:trPr>
        <w:tc>
          <w:tcPr>
            <w:tcW w:w="79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DBDBDB"/>
            </w:tcBorders>
            <w:shd w:val="clear" w:color="auto" w:fill="DBDBDB"/>
          </w:tcPr>
          <w:p>
            <w:pPr>
              <w:spacing w:after="0"/>
              <w:rPr>
                <w:sz w:val="20"/>
                <w:szCs w:val="20"/>
                <w:color w:val="auto"/>
              </w:rPr>
            </w:pP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394,298</w:t>
            </w:r>
          </w:p>
        </w:tc>
        <w:tc>
          <w:tcPr>
            <w:tcW w:w="120" w:type="dxa"/>
            <w:vAlign w:val="bottom"/>
            <w:tcBorders>
              <w:bottom w:val="single" w:sz="8" w:color="DBDBDB"/>
            </w:tcBorders>
            <w:shd w:val="clear" w:color="auto" w:fill="DBDBDB"/>
          </w:tcPr>
          <w:p>
            <w:pPr>
              <w:spacing w:after="0"/>
              <w:rPr>
                <w:sz w:val="20"/>
                <w:szCs w:val="20"/>
                <w:color w:val="auto"/>
              </w:rPr>
            </w:pPr>
          </w:p>
        </w:tc>
        <w:tc>
          <w:tcPr>
            <w:tcW w:w="460" w:type="dxa"/>
            <w:vAlign w:val="bottom"/>
            <w:tcBorders>
              <w:bottom w:val="single" w:sz="8" w:color="DBDBDB"/>
            </w:tcBorders>
            <w:shd w:val="clear" w:color="auto" w:fill="DBDBDB"/>
          </w:tcPr>
          <w:p>
            <w:pPr>
              <w:spacing w:after="0"/>
              <w:rPr>
                <w:sz w:val="20"/>
                <w:szCs w:val="20"/>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394,298</w:t>
            </w:r>
          </w:p>
        </w:tc>
        <w:tc>
          <w:tcPr>
            <w:tcW w:w="0" w:type="dxa"/>
            <w:vAlign w:val="bottom"/>
          </w:tcPr>
          <w:p>
            <w:pPr>
              <w:spacing w:after="0"/>
              <w:rPr>
                <w:sz w:val="1"/>
                <w:szCs w:val="1"/>
                <w:color w:val="auto"/>
              </w:rPr>
            </w:pPr>
          </w:p>
        </w:tc>
      </w:tr>
      <w:tr>
        <w:trPr>
          <w:trHeight w:val="233"/>
        </w:trPr>
        <w:tc>
          <w:tcPr>
            <w:tcW w:w="792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223,925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223,925</w:t>
            </w:r>
          </w:p>
        </w:tc>
        <w:tc>
          <w:tcPr>
            <w:tcW w:w="0" w:type="dxa"/>
            <w:vAlign w:val="bottom"/>
          </w:tcPr>
          <w:p>
            <w:pPr>
              <w:spacing w:after="0"/>
              <w:rPr>
                <w:sz w:val="1"/>
                <w:szCs w:val="1"/>
                <w:color w:val="auto"/>
              </w:rPr>
            </w:pPr>
          </w:p>
        </w:tc>
      </w:tr>
      <w:tr>
        <w:trPr>
          <w:trHeight w:val="253"/>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intangible assets, net</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30,356</w:t>
            </w:r>
          </w:p>
        </w:tc>
        <w:tc>
          <w:tcPr>
            <w:tcW w:w="1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31,800</w:t>
            </w:r>
          </w:p>
        </w:tc>
        <w:tc>
          <w:tcPr>
            <w:tcW w:w="0" w:type="dxa"/>
            <w:vAlign w:val="bottom"/>
          </w:tcPr>
          <w:p>
            <w:pPr>
              <w:spacing w:after="0"/>
              <w:rPr>
                <w:sz w:val="1"/>
                <w:szCs w:val="1"/>
                <w:color w:val="auto"/>
              </w:rPr>
            </w:pPr>
          </w:p>
        </w:tc>
      </w:tr>
      <w:tr>
        <w:trPr>
          <w:trHeight w:val="224"/>
        </w:trPr>
        <w:tc>
          <w:tcPr>
            <w:tcW w:w="7920" w:type="dxa"/>
            <w:vAlign w:val="bottom"/>
          </w:tcPr>
          <w:p>
            <w:pPr>
              <w:ind w:left="140"/>
              <w:spacing w:after="0"/>
              <w:rPr>
                <w:sz w:val="20"/>
                <w:szCs w:val="20"/>
                <w:color w:val="auto"/>
              </w:rPr>
            </w:pPr>
            <w:r>
              <w:rPr>
                <w:rFonts w:ascii="Arial" w:cs="Arial" w:eastAsia="Arial" w:hAnsi="Arial"/>
                <w:sz w:val="16"/>
                <w:szCs w:val="16"/>
                <w:color w:val="auto"/>
              </w:rPr>
              <w:t>Equity method investment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16,373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16,274</w:t>
            </w:r>
          </w:p>
        </w:tc>
        <w:tc>
          <w:tcPr>
            <w:tcW w:w="0" w:type="dxa"/>
            <w:vAlign w:val="bottom"/>
          </w:tcPr>
          <w:p>
            <w:pPr>
              <w:spacing w:after="0"/>
              <w:rPr>
                <w:sz w:val="1"/>
                <w:szCs w:val="1"/>
                <w:color w:val="auto"/>
              </w:rPr>
            </w:pPr>
          </w:p>
        </w:tc>
      </w:tr>
      <w:tr>
        <w:trPr>
          <w:trHeight w:val="33"/>
        </w:trPr>
        <w:tc>
          <w:tcPr>
            <w:tcW w:w="7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Deferred tax assets</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186,997</w:t>
            </w:r>
          </w:p>
        </w:tc>
        <w:tc>
          <w:tcPr>
            <w:tcW w:w="1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150,497</w:t>
            </w:r>
          </w:p>
        </w:tc>
        <w:tc>
          <w:tcPr>
            <w:tcW w:w="0" w:type="dxa"/>
            <w:vAlign w:val="bottom"/>
          </w:tcPr>
          <w:p>
            <w:pPr>
              <w:spacing w:after="0"/>
              <w:rPr>
                <w:sz w:val="1"/>
                <w:szCs w:val="1"/>
                <w:color w:val="auto"/>
              </w:rPr>
            </w:pPr>
          </w:p>
        </w:tc>
      </w:tr>
      <w:tr>
        <w:trPr>
          <w:trHeight w:val="224"/>
        </w:trPr>
        <w:tc>
          <w:tcPr>
            <w:tcW w:w="792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4,061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4,119</w:t>
            </w:r>
          </w:p>
        </w:tc>
        <w:tc>
          <w:tcPr>
            <w:tcW w:w="0" w:type="dxa"/>
            <w:vAlign w:val="bottom"/>
          </w:tcPr>
          <w:p>
            <w:pPr>
              <w:spacing w:after="0"/>
              <w:rPr>
                <w:sz w:val="1"/>
                <w:szCs w:val="1"/>
                <w:color w:val="auto"/>
              </w:rPr>
            </w:pPr>
          </w:p>
        </w:tc>
      </w:tr>
      <w:tr>
        <w:trPr>
          <w:trHeight w:val="33"/>
        </w:trPr>
        <w:tc>
          <w:tcPr>
            <w:tcW w:w="7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6"/>
                <w:szCs w:val="16"/>
                <w:color w:val="auto"/>
              </w:rPr>
              <w:t>Total other assets</w:t>
            </w:r>
          </w:p>
        </w:tc>
        <w:tc>
          <w:tcPr>
            <w:tcW w:w="180" w:type="dxa"/>
            <w:vAlign w:val="bottom"/>
            <w:tcBorders>
              <w:bottom w:val="single" w:sz="8" w:color="auto"/>
            </w:tcBorders>
            <w:shd w:val="clear" w:color="auto" w:fill="DBDBDB"/>
          </w:tcPr>
          <w:p>
            <w:pPr>
              <w:spacing w:after="0"/>
              <w:rPr>
                <w:sz w:val="20"/>
                <w:szCs w:val="20"/>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856,010</w:t>
            </w:r>
          </w:p>
        </w:tc>
        <w:tc>
          <w:tcPr>
            <w:tcW w:w="120" w:type="dxa"/>
            <w:vAlign w:val="bottom"/>
            <w:tcBorders>
              <w:bottom w:val="single" w:sz="8" w:color="DBDBDB"/>
            </w:tcBorders>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820,913</w:t>
            </w:r>
          </w:p>
        </w:tc>
        <w:tc>
          <w:tcPr>
            <w:tcW w:w="0" w:type="dxa"/>
            <w:vAlign w:val="bottom"/>
          </w:tcPr>
          <w:p>
            <w:pPr>
              <w:spacing w:after="0"/>
              <w:rPr>
                <w:sz w:val="1"/>
                <w:szCs w:val="1"/>
                <w:color w:val="auto"/>
              </w:rPr>
            </w:pPr>
          </w:p>
        </w:tc>
      </w:tr>
      <w:tr>
        <w:trPr>
          <w:trHeight w:val="239"/>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1,331,487</w:t>
            </w:r>
          </w:p>
        </w:tc>
        <w:tc>
          <w:tcPr>
            <w:tcW w:w="58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1,280,083</w:t>
            </w:r>
          </w:p>
        </w:tc>
        <w:tc>
          <w:tcPr>
            <w:tcW w:w="0" w:type="dxa"/>
            <w:vAlign w:val="bottom"/>
          </w:tcPr>
          <w:p>
            <w:pPr>
              <w:spacing w:after="0"/>
              <w:rPr>
                <w:sz w:val="1"/>
                <w:szCs w:val="1"/>
                <w:color w:val="auto"/>
              </w:rPr>
            </w:pPr>
          </w:p>
        </w:tc>
      </w:tr>
      <w:tr>
        <w:trPr>
          <w:trHeight w:val="20"/>
        </w:trPr>
        <w:tc>
          <w:tcPr>
            <w:tcW w:w="7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7920" w:type="dxa"/>
            <w:vAlign w:val="bottom"/>
            <w:shd w:val="clear" w:color="auto" w:fill="DBDBDB"/>
          </w:tcPr>
          <w:p>
            <w:pPr>
              <w:spacing w:after="0"/>
              <w:rPr>
                <w:sz w:val="5"/>
                <w:szCs w:val="5"/>
                <w:color w:val="auto"/>
              </w:rPr>
            </w:pPr>
          </w:p>
        </w:tc>
        <w:tc>
          <w:tcPr>
            <w:tcW w:w="180" w:type="dxa"/>
            <w:vAlign w:val="bottom"/>
            <w:shd w:val="clear" w:color="auto" w:fill="DBDBDB"/>
          </w:tcPr>
          <w:p>
            <w:pPr>
              <w:spacing w:after="0"/>
              <w:rPr>
                <w:sz w:val="5"/>
                <w:szCs w:val="5"/>
                <w:color w:val="auto"/>
              </w:rPr>
            </w:pPr>
          </w:p>
        </w:tc>
        <w:tc>
          <w:tcPr>
            <w:tcW w:w="142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460" w:type="dxa"/>
            <w:vAlign w:val="bottom"/>
            <w:shd w:val="clear" w:color="auto" w:fill="DBDBDB"/>
          </w:tcPr>
          <w:p>
            <w:pPr>
              <w:spacing w:after="0"/>
              <w:rPr>
                <w:sz w:val="5"/>
                <w:szCs w:val="5"/>
                <w:color w:val="auto"/>
              </w:rPr>
            </w:pPr>
          </w:p>
        </w:tc>
        <w:tc>
          <w:tcPr>
            <w:tcW w:w="114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DBDBDB"/>
            </w:tcBorders>
            <w:shd w:val="clear" w:color="auto" w:fill="DBDBDB"/>
          </w:tcPr>
          <w:p>
            <w:pPr>
              <w:spacing w:after="0"/>
              <w:rPr>
                <w:sz w:val="20"/>
                <w:szCs w:val="20"/>
                <w:color w:val="auto"/>
              </w:rPr>
            </w:pPr>
          </w:p>
        </w:tc>
        <w:tc>
          <w:tcPr>
            <w:tcW w:w="142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460" w:type="dxa"/>
            <w:vAlign w:val="bottom"/>
            <w:tcBorders>
              <w:bottom w:val="single" w:sz="8" w:color="DBDBDB"/>
            </w:tcBorders>
            <w:shd w:val="clear" w:color="auto" w:fill="DBDBDB"/>
          </w:tcPr>
          <w:p>
            <w:pPr>
              <w:spacing w:after="0"/>
              <w:rPr>
                <w:sz w:val="20"/>
                <w:szCs w:val="20"/>
                <w:color w:val="auto"/>
              </w:rPr>
            </w:pPr>
          </w:p>
        </w:tc>
        <w:tc>
          <w:tcPr>
            <w:tcW w:w="1140" w:type="dxa"/>
            <w:vAlign w:val="bottom"/>
            <w:tcBorders>
              <w:bottom w:val="single" w:sz="8" w:color="DBDBDB"/>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9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24,147</w:t>
            </w:r>
          </w:p>
        </w:tc>
        <w:tc>
          <w:tcPr>
            <w:tcW w:w="58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30,273</w:t>
            </w:r>
          </w:p>
        </w:tc>
        <w:tc>
          <w:tcPr>
            <w:tcW w:w="0" w:type="dxa"/>
            <w:vAlign w:val="bottom"/>
          </w:tcPr>
          <w:p>
            <w:pPr>
              <w:spacing w:after="0"/>
              <w:rPr>
                <w:sz w:val="1"/>
                <w:szCs w:val="1"/>
                <w:color w:val="auto"/>
              </w:rPr>
            </w:pPr>
          </w:p>
        </w:tc>
      </w:tr>
      <w:tr>
        <w:trPr>
          <w:trHeight w:val="246"/>
        </w:trPr>
        <w:tc>
          <w:tcPr>
            <w:tcW w:w="79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Borders>
              <w:bottom w:val="single" w:sz="8" w:color="DBDBDB"/>
            </w:tcBorders>
            <w:shd w:val="clear" w:color="auto" w:fill="DBDBDB"/>
          </w:tcPr>
          <w:p>
            <w:pPr>
              <w:spacing w:after="0"/>
              <w:rPr>
                <w:sz w:val="21"/>
                <w:szCs w:val="21"/>
                <w:color w:val="auto"/>
              </w:rPr>
            </w:pP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7,500</w:t>
            </w:r>
          </w:p>
        </w:tc>
        <w:tc>
          <w:tcPr>
            <w:tcW w:w="12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4,155</w:t>
            </w:r>
          </w:p>
        </w:tc>
        <w:tc>
          <w:tcPr>
            <w:tcW w:w="0" w:type="dxa"/>
            <w:vAlign w:val="bottom"/>
          </w:tcPr>
          <w:p>
            <w:pPr>
              <w:spacing w:after="0"/>
              <w:rPr>
                <w:sz w:val="1"/>
                <w:szCs w:val="1"/>
                <w:color w:val="auto"/>
              </w:rPr>
            </w:pPr>
          </w:p>
        </w:tc>
      </w:tr>
      <w:tr>
        <w:trPr>
          <w:trHeight w:val="233"/>
        </w:trPr>
        <w:tc>
          <w:tcPr>
            <w:tcW w:w="7920" w:type="dxa"/>
            <w:vAlign w:val="bottom"/>
          </w:tcPr>
          <w:p>
            <w:pPr>
              <w:ind w:left="140"/>
              <w:spacing w:after="0"/>
              <w:rPr>
                <w:sz w:val="20"/>
                <w:szCs w:val="20"/>
                <w:color w:val="auto"/>
              </w:rPr>
            </w:pPr>
            <w:r>
              <w:rPr>
                <w:rFonts w:ascii="Arial" w:cs="Arial" w:eastAsia="Arial" w:hAnsi="Arial"/>
                <w:sz w:val="16"/>
                <w:szCs w:val="16"/>
                <w:color w:val="auto"/>
              </w:rPr>
              <w:t>Current portion of Tax Receivable Agreement liability</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6,309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53"/>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Short-term debt</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920" w:type="dxa"/>
            <w:vAlign w:val="bottom"/>
          </w:tcPr>
          <w:p>
            <w:pPr>
              <w:ind w:left="140"/>
              <w:spacing w:after="0"/>
              <w:rPr>
                <w:sz w:val="20"/>
                <w:szCs w:val="20"/>
                <w:color w:val="auto"/>
              </w:rPr>
            </w:pPr>
            <w:r>
              <w:rPr>
                <w:rFonts w:ascii="Arial" w:cs="Arial" w:eastAsia="Arial" w:hAnsi="Arial"/>
                <w:sz w:val="16"/>
                <w:szCs w:val="16"/>
                <w:color w:val="auto"/>
              </w:rPr>
              <w:t>Current deferred revenue</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4,696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7,292</w:t>
            </w:r>
          </w:p>
        </w:tc>
        <w:tc>
          <w:tcPr>
            <w:tcW w:w="0" w:type="dxa"/>
            <w:vAlign w:val="bottom"/>
          </w:tcPr>
          <w:p>
            <w:pPr>
              <w:spacing w:after="0"/>
              <w:rPr>
                <w:sz w:val="1"/>
                <w:szCs w:val="1"/>
                <w:color w:val="auto"/>
              </w:rPr>
            </w:pPr>
          </w:p>
        </w:tc>
      </w:tr>
      <w:tr>
        <w:trPr>
          <w:trHeight w:val="33"/>
        </w:trPr>
        <w:tc>
          <w:tcPr>
            <w:tcW w:w="7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Short-term operating lease liability</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5,053</w:t>
            </w:r>
          </w:p>
        </w:tc>
        <w:tc>
          <w:tcPr>
            <w:tcW w:w="1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4,849</w:t>
            </w:r>
          </w:p>
        </w:tc>
        <w:tc>
          <w:tcPr>
            <w:tcW w:w="0" w:type="dxa"/>
            <w:vAlign w:val="bottom"/>
          </w:tcPr>
          <w:p>
            <w:pPr>
              <w:spacing w:after="0"/>
              <w:rPr>
                <w:sz w:val="1"/>
                <w:szCs w:val="1"/>
                <w:color w:val="auto"/>
              </w:rPr>
            </w:pPr>
          </w:p>
        </w:tc>
      </w:tr>
      <w:tr>
        <w:trPr>
          <w:trHeight w:val="223"/>
        </w:trPr>
        <w:tc>
          <w:tcPr>
            <w:tcW w:w="792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31,322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29,915</w:t>
            </w:r>
          </w:p>
        </w:tc>
        <w:tc>
          <w:tcPr>
            <w:tcW w:w="0" w:type="dxa"/>
            <w:vAlign w:val="bottom"/>
          </w:tcPr>
          <w:p>
            <w:pPr>
              <w:spacing w:after="0"/>
              <w:rPr>
                <w:sz w:val="1"/>
                <w:szCs w:val="1"/>
                <w:color w:val="auto"/>
              </w:rPr>
            </w:pPr>
          </w:p>
        </w:tc>
      </w:tr>
      <w:tr>
        <w:trPr>
          <w:trHeight w:val="33"/>
        </w:trPr>
        <w:tc>
          <w:tcPr>
            <w:tcW w:w="7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20" w:type="dxa"/>
            <w:vAlign w:val="bottom"/>
            <w:shd w:val="clear" w:color="auto" w:fill="DBDBDB"/>
          </w:tcPr>
          <w:p>
            <w:pPr>
              <w:ind w:left="48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DBDBDB"/>
          </w:tcPr>
          <w:p>
            <w:pPr>
              <w:spacing w:after="0"/>
              <w:rPr>
                <w:sz w:val="20"/>
                <w:szCs w:val="20"/>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89,027</w:t>
            </w:r>
          </w:p>
        </w:tc>
        <w:tc>
          <w:tcPr>
            <w:tcW w:w="12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77,297</w:t>
            </w:r>
          </w:p>
        </w:tc>
        <w:tc>
          <w:tcPr>
            <w:tcW w:w="0" w:type="dxa"/>
            <w:vAlign w:val="bottom"/>
          </w:tcPr>
          <w:p>
            <w:pPr>
              <w:spacing w:after="0"/>
              <w:rPr>
                <w:sz w:val="1"/>
                <w:szCs w:val="1"/>
                <w:color w:val="auto"/>
              </w:rPr>
            </w:pPr>
          </w:p>
        </w:tc>
      </w:tr>
      <w:tr>
        <w:trPr>
          <w:trHeight w:val="233"/>
        </w:trPr>
        <w:tc>
          <w:tcPr>
            <w:tcW w:w="792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9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Long-term debt, net of current portion</w:t>
            </w:r>
          </w:p>
        </w:tc>
        <w:tc>
          <w:tcPr>
            <w:tcW w:w="180" w:type="dxa"/>
            <w:vAlign w:val="bottom"/>
            <w:tcBorders>
              <w:bottom w:val="single" w:sz="8" w:color="DBDBDB"/>
            </w:tcBorders>
            <w:shd w:val="clear" w:color="auto" w:fill="DBDBDB"/>
          </w:tcPr>
          <w:p>
            <w:pPr>
              <w:spacing w:after="0"/>
              <w:rPr>
                <w:sz w:val="21"/>
                <w:szCs w:val="21"/>
                <w:color w:val="auto"/>
              </w:rPr>
            </w:pP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289,168</w:t>
            </w:r>
          </w:p>
        </w:tc>
        <w:tc>
          <w:tcPr>
            <w:tcW w:w="12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314,425</w:t>
            </w:r>
          </w:p>
        </w:tc>
        <w:tc>
          <w:tcPr>
            <w:tcW w:w="0" w:type="dxa"/>
            <w:vAlign w:val="bottom"/>
          </w:tcPr>
          <w:p>
            <w:pPr>
              <w:spacing w:after="0"/>
              <w:rPr>
                <w:sz w:val="1"/>
                <w:szCs w:val="1"/>
                <w:color w:val="auto"/>
              </w:rPr>
            </w:pPr>
          </w:p>
        </w:tc>
      </w:tr>
      <w:tr>
        <w:trPr>
          <w:trHeight w:val="233"/>
        </w:trPr>
        <w:tc>
          <w:tcPr>
            <w:tcW w:w="7920" w:type="dxa"/>
            <w:vAlign w:val="bottom"/>
          </w:tcPr>
          <w:p>
            <w:pPr>
              <w:ind w:left="140"/>
              <w:spacing w:after="0"/>
              <w:rPr>
                <w:sz w:val="20"/>
                <w:szCs w:val="20"/>
                <w:color w:val="auto"/>
              </w:rPr>
            </w:pPr>
            <w:r>
              <w:rPr>
                <w:rFonts w:ascii="Arial" w:cs="Arial" w:eastAsia="Arial" w:hAnsi="Arial"/>
                <w:sz w:val="16"/>
                <w:szCs w:val="16"/>
                <w:color w:val="auto"/>
              </w:rPr>
              <w:t>Tax Receivable Agreement liability</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295,696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252,003</w:t>
            </w:r>
          </w:p>
        </w:tc>
        <w:tc>
          <w:tcPr>
            <w:tcW w:w="0" w:type="dxa"/>
            <w:vAlign w:val="bottom"/>
          </w:tcPr>
          <w:p>
            <w:pPr>
              <w:spacing w:after="0"/>
              <w:rPr>
                <w:sz w:val="1"/>
                <w:szCs w:val="1"/>
                <w:color w:val="auto"/>
              </w:rPr>
            </w:pPr>
          </w:p>
        </w:tc>
      </w:tr>
      <w:tr>
        <w:trPr>
          <w:trHeight w:val="246"/>
        </w:trPr>
        <w:tc>
          <w:tcPr>
            <w:tcW w:w="79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Long-term operating lease liability</w:t>
            </w:r>
          </w:p>
        </w:tc>
        <w:tc>
          <w:tcPr>
            <w:tcW w:w="180" w:type="dxa"/>
            <w:vAlign w:val="bottom"/>
            <w:tcBorders>
              <w:bottom w:val="single" w:sz="8" w:color="DBDBDB"/>
            </w:tcBorders>
            <w:shd w:val="clear" w:color="auto" w:fill="DBDBDB"/>
          </w:tcPr>
          <w:p>
            <w:pPr>
              <w:spacing w:after="0"/>
              <w:rPr>
                <w:sz w:val="21"/>
                <w:szCs w:val="21"/>
                <w:color w:val="auto"/>
              </w:rPr>
            </w:pP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217,989</w:t>
            </w:r>
          </w:p>
        </w:tc>
        <w:tc>
          <w:tcPr>
            <w:tcW w:w="12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200,166</w:t>
            </w:r>
          </w:p>
        </w:tc>
        <w:tc>
          <w:tcPr>
            <w:tcW w:w="0" w:type="dxa"/>
            <w:vAlign w:val="bottom"/>
          </w:tcPr>
          <w:p>
            <w:pPr>
              <w:spacing w:after="0"/>
              <w:rPr>
                <w:sz w:val="1"/>
                <w:szCs w:val="1"/>
                <w:color w:val="auto"/>
              </w:rPr>
            </w:pPr>
          </w:p>
        </w:tc>
      </w:tr>
      <w:tr>
        <w:trPr>
          <w:trHeight w:val="237"/>
        </w:trPr>
        <w:tc>
          <w:tcPr>
            <w:tcW w:w="79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3,151</w:t>
            </w:r>
          </w:p>
        </w:tc>
        <w:tc>
          <w:tcPr>
            <w:tcW w:w="120" w:type="dxa"/>
            <w:vAlign w:val="bottom"/>
            <w:tcBorders>
              <w:bottom w:val="single" w:sz="8" w:color="DBDBDB"/>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3,291</w:t>
            </w:r>
          </w:p>
        </w:tc>
        <w:tc>
          <w:tcPr>
            <w:tcW w:w="0" w:type="dxa"/>
            <w:vAlign w:val="bottom"/>
          </w:tcPr>
          <w:p>
            <w:pPr>
              <w:spacing w:after="0"/>
              <w:rPr>
                <w:sz w:val="1"/>
                <w:szCs w:val="1"/>
                <w:color w:val="auto"/>
              </w:rPr>
            </w:pPr>
          </w:p>
        </w:tc>
      </w:tr>
      <w:tr>
        <w:trPr>
          <w:trHeight w:val="237"/>
        </w:trPr>
        <w:tc>
          <w:tcPr>
            <w:tcW w:w="792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6"/>
                <w:szCs w:val="16"/>
                <w:color w:val="auto"/>
              </w:rPr>
              <w:t>Total long-term liabilities</w:t>
            </w:r>
          </w:p>
        </w:tc>
        <w:tc>
          <w:tcPr>
            <w:tcW w:w="180" w:type="dxa"/>
            <w:vAlign w:val="bottom"/>
            <w:tcBorders>
              <w:bottom w:val="single" w:sz="8" w:color="auto"/>
            </w:tcBorders>
            <w:shd w:val="clear" w:color="auto" w:fill="DBDBDB"/>
          </w:tcPr>
          <w:p>
            <w:pPr>
              <w:spacing w:after="0"/>
              <w:rPr>
                <w:sz w:val="20"/>
                <w:szCs w:val="20"/>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806,004</w:t>
            </w:r>
          </w:p>
        </w:tc>
        <w:tc>
          <w:tcPr>
            <w:tcW w:w="120" w:type="dxa"/>
            <w:vAlign w:val="bottom"/>
            <w:tcBorders>
              <w:bottom w:val="single" w:sz="8" w:color="DBDBDB"/>
            </w:tcBorders>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769,885</w:t>
            </w:r>
          </w:p>
        </w:tc>
        <w:tc>
          <w:tcPr>
            <w:tcW w:w="0" w:type="dxa"/>
            <w:vAlign w:val="bottom"/>
          </w:tcPr>
          <w:p>
            <w:pPr>
              <w:spacing w:after="0"/>
              <w:rPr>
                <w:sz w:val="1"/>
                <w:szCs w:val="1"/>
                <w:color w:val="auto"/>
              </w:rPr>
            </w:pPr>
          </w:p>
        </w:tc>
      </w:tr>
      <w:tr>
        <w:trPr>
          <w:trHeight w:val="223"/>
        </w:trPr>
        <w:tc>
          <w:tcPr>
            <w:tcW w:w="7920" w:type="dxa"/>
            <w:vAlign w:val="bottom"/>
          </w:tcPr>
          <w:p>
            <w:pPr>
              <w:ind w:left="48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895,031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847,182</w:t>
            </w:r>
          </w:p>
        </w:tc>
        <w:tc>
          <w:tcPr>
            <w:tcW w:w="0" w:type="dxa"/>
            <w:vAlign w:val="bottom"/>
          </w:tcPr>
          <w:p>
            <w:pPr>
              <w:spacing w:after="0"/>
              <w:rPr>
                <w:sz w:val="1"/>
                <w:szCs w:val="1"/>
                <w:color w:val="auto"/>
              </w:rPr>
            </w:pPr>
          </w:p>
        </w:tc>
      </w:tr>
      <w:tr>
        <w:trPr>
          <w:trHeight w:val="72"/>
        </w:trPr>
        <w:tc>
          <w:tcPr>
            <w:tcW w:w="79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DBDBDB"/>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7920" w:type="dxa"/>
            <w:vAlign w:val="bottom"/>
            <w:tcBorders>
              <w:top w:val="single" w:sz="8" w:color="DBDBDB"/>
            </w:tcBorders>
          </w:tcPr>
          <w:p>
            <w:pPr>
              <w:ind w:left="20"/>
              <w:spacing w:after="0"/>
              <w:rPr>
                <w:sz w:val="20"/>
                <w:szCs w:val="20"/>
                <w:color w:val="auto"/>
              </w:rPr>
            </w:pPr>
            <w:r>
              <w:rPr>
                <w:rFonts w:ascii="Arial" w:cs="Arial" w:eastAsia="Arial" w:hAnsi="Arial"/>
                <w:sz w:val="16"/>
                <w:szCs w:val="16"/>
                <w:color w:val="auto"/>
              </w:rPr>
              <w:t>COMMITMENTS AND CONTINGENCIES (NOTE 14)</w:t>
            </w:r>
          </w:p>
        </w:tc>
        <w:tc>
          <w:tcPr>
            <w:tcW w:w="180" w:type="dxa"/>
            <w:vAlign w:val="bottom"/>
            <w:tcBorders>
              <w:top w:val="single" w:sz="8" w:color="DBDBDB"/>
            </w:tcBorders>
          </w:tcPr>
          <w:p>
            <w:pPr>
              <w:spacing w:after="0"/>
              <w:rPr>
                <w:sz w:val="19"/>
                <w:szCs w:val="19"/>
                <w:color w:val="auto"/>
              </w:rPr>
            </w:pPr>
          </w:p>
        </w:tc>
        <w:tc>
          <w:tcPr>
            <w:tcW w:w="1420" w:type="dxa"/>
            <w:vAlign w:val="bottom"/>
            <w:tcBorders>
              <w:top w:val="single" w:sz="8" w:color="DBDBDB"/>
            </w:tcBorders>
          </w:tcPr>
          <w:p>
            <w:pPr>
              <w:spacing w:after="0"/>
              <w:rPr>
                <w:sz w:val="19"/>
                <w:szCs w:val="19"/>
                <w:color w:val="auto"/>
              </w:rPr>
            </w:pPr>
          </w:p>
        </w:tc>
        <w:tc>
          <w:tcPr>
            <w:tcW w:w="120" w:type="dxa"/>
            <w:vAlign w:val="bottom"/>
            <w:tcBorders>
              <w:top w:val="single" w:sz="8" w:color="DBDBDB"/>
            </w:tcBorders>
          </w:tcPr>
          <w:p>
            <w:pPr>
              <w:spacing w:after="0"/>
              <w:rPr>
                <w:sz w:val="19"/>
                <w:szCs w:val="19"/>
                <w:color w:val="auto"/>
              </w:rPr>
            </w:pPr>
          </w:p>
        </w:tc>
        <w:tc>
          <w:tcPr>
            <w:tcW w:w="460" w:type="dxa"/>
            <w:vAlign w:val="bottom"/>
            <w:tcBorders>
              <w:top w:val="single" w:sz="8" w:color="DBDBDB"/>
            </w:tcBorders>
          </w:tcPr>
          <w:p>
            <w:pPr>
              <w:spacing w:after="0"/>
              <w:rPr>
                <w:sz w:val="19"/>
                <w:szCs w:val="19"/>
                <w:color w:val="auto"/>
              </w:rPr>
            </w:pPr>
          </w:p>
        </w:tc>
        <w:tc>
          <w:tcPr>
            <w:tcW w:w="1140" w:type="dxa"/>
            <w:vAlign w:val="bottom"/>
            <w:tcBorders>
              <w:top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920" w:type="dxa"/>
            <w:vAlign w:val="bottom"/>
          </w:tcPr>
          <w:p>
            <w:pPr>
              <w:ind w:left="140"/>
              <w:spacing w:after="0"/>
              <w:rPr>
                <w:sz w:val="20"/>
                <w:szCs w:val="20"/>
                <w:color w:val="auto"/>
              </w:rPr>
            </w:pPr>
            <w:r>
              <w:rPr>
                <w:rFonts w:ascii="Arial" w:cs="Arial" w:eastAsia="Arial" w:hAnsi="Arial"/>
                <w:sz w:val="16"/>
                <w:szCs w:val="16"/>
                <w:color w:val="auto"/>
              </w:rPr>
              <w:t>Preferred stock, $0.01 par value per share, 10,000,000 shares authorized, none issued or outstanding</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Class A common stock, $0.01 par value per share, 380,000,000 shares authorized, and 55,073,993 and</w:t>
            </w:r>
          </w:p>
        </w:tc>
        <w:tc>
          <w:tcPr>
            <w:tcW w:w="180" w:type="dxa"/>
            <w:vAlign w:val="bottom"/>
            <w:shd w:val="clear" w:color="auto" w:fill="DBDBDB"/>
          </w:tcPr>
          <w:p>
            <w:pPr>
              <w:spacing w:after="0"/>
              <w:rPr>
                <w:sz w:val="19"/>
                <w:szCs w:val="19"/>
                <w:color w:val="auto"/>
              </w:rPr>
            </w:pPr>
          </w:p>
        </w:tc>
        <w:tc>
          <w:tcPr>
            <w:tcW w:w="14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48,420,723 shares issued and outstanding at June 25, 2023 and December 25, 2022, respectively.</w:t>
            </w:r>
          </w:p>
        </w:tc>
        <w:tc>
          <w:tcPr>
            <w:tcW w:w="18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9"/>
        </w:trPr>
        <w:tc>
          <w:tcPr>
            <w:tcW w:w="7920" w:type="dxa"/>
            <w:vAlign w:val="bottom"/>
          </w:tcPr>
          <w:p>
            <w:pPr>
              <w:ind w:left="140"/>
              <w:spacing w:after="0"/>
              <w:rPr>
                <w:sz w:val="20"/>
                <w:szCs w:val="20"/>
                <w:color w:val="auto"/>
              </w:rPr>
            </w:pPr>
            <w:r>
              <w:rPr>
                <w:rFonts w:ascii="Arial" w:cs="Arial" w:eastAsia="Arial" w:hAnsi="Arial"/>
                <w:sz w:val="16"/>
                <w:szCs w:val="16"/>
                <w:color w:val="auto"/>
              </w:rPr>
              <w:t>Class B common stock, $0.00001 par value per share, 50,000,000 shares authorized, and 17,472,926 and</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40"/>
              <w:spacing w:after="0"/>
              <w:rPr>
                <w:sz w:val="20"/>
                <w:szCs w:val="20"/>
                <w:color w:val="auto"/>
              </w:rPr>
            </w:pPr>
            <w:r>
              <w:rPr>
                <w:rFonts w:ascii="Arial" w:cs="Arial" w:eastAsia="Arial" w:hAnsi="Arial"/>
                <w:sz w:val="16"/>
                <w:szCs w:val="16"/>
                <w:color w:val="auto"/>
              </w:rPr>
              <w:t>23,837,162 shares issued and outstanding at June 25, 2023 and December 25, 2022, respectively.</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Additional paid-in-capital</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301,622</w:t>
            </w:r>
          </w:p>
        </w:tc>
        <w:tc>
          <w:tcPr>
            <w:tcW w:w="1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260,664</w:t>
            </w:r>
          </w:p>
        </w:tc>
        <w:tc>
          <w:tcPr>
            <w:tcW w:w="0" w:type="dxa"/>
            <w:vAlign w:val="bottom"/>
          </w:tcPr>
          <w:p>
            <w:pPr>
              <w:spacing w:after="0"/>
              <w:rPr>
                <w:sz w:val="1"/>
                <w:szCs w:val="1"/>
                <w:color w:val="auto"/>
              </w:rPr>
            </w:pPr>
          </w:p>
        </w:tc>
      </w:tr>
      <w:tr>
        <w:trPr>
          <w:trHeight w:val="224"/>
        </w:trPr>
        <w:tc>
          <w:tcPr>
            <w:tcW w:w="7920" w:type="dxa"/>
            <w:vAlign w:val="bottom"/>
          </w:tcPr>
          <w:p>
            <w:pPr>
              <w:ind w:left="140"/>
              <w:spacing w:after="0"/>
              <w:rPr>
                <w:sz w:val="20"/>
                <w:szCs w:val="20"/>
                <w:color w:val="auto"/>
              </w:rPr>
            </w:pPr>
            <w:r>
              <w:rPr>
                <w:rFonts w:ascii="Arial" w:cs="Arial" w:eastAsia="Arial" w:hAnsi="Arial"/>
                <w:sz w:val="16"/>
                <w:szCs w:val="16"/>
                <w:color w:val="auto"/>
              </w:rPr>
              <w:t>Retained earnings (accumulated deficit)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1,462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(4,812)</w:t>
            </w:r>
          </w:p>
        </w:tc>
        <w:tc>
          <w:tcPr>
            <w:tcW w:w="0" w:type="dxa"/>
            <w:vAlign w:val="bottom"/>
          </w:tcPr>
          <w:p>
            <w:pPr>
              <w:spacing w:after="0"/>
              <w:rPr>
                <w:sz w:val="1"/>
                <w:szCs w:val="1"/>
                <w:color w:val="auto"/>
              </w:rPr>
            </w:pPr>
          </w:p>
        </w:tc>
      </w:tr>
      <w:tr>
        <w:trPr>
          <w:trHeight w:val="33"/>
        </w:trPr>
        <w:tc>
          <w:tcPr>
            <w:tcW w:w="7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Total stockholders' equity attributable to Portillo's Inc.</w:t>
            </w:r>
          </w:p>
        </w:tc>
        <w:tc>
          <w:tcPr>
            <w:tcW w:w="180" w:type="dxa"/>
            <w:vAlign w:val="bottom"/>
            <w:shd w:val="clear" w:color="auto" w:fill="DBDBDB"/>
          </w:tcPr>
          <w:p>
            <w:pPr>
              <w:spacing w:after="0"/>
              <w:rPr>
                <w:sz w:val="20"/>
                <w:szCs w:val="20"/>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303,635</w:t>
            </w:r>
          </w:p>
        </w:tc>
        <w:tc>
          <w:tcPr>
            <w:tcW w:w="12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256,336</w:t>
            </w:r>
          </w:p>
        </w:tc>
        <w:tc>
          <w:tcPr>
            <w:tcW w:w="0" w:type="dxa"/>
            <w:vAlign w:val="bottom"/>
          </w:tcPr>
          <w:p>
            <w:pPr>
              <w:spacing w:after="0"/>
              <w:rPr>
                <w:sz w:val="1"/>
                <w:szCs w:val="1"/>
                <w:color w:val="auto"/>
              </w:rPr>
            </w:pPr>
          </w:p>
        </w:tc>
      </w:tr>
      <w:tr>
        <w:trPr>
          <w:trHeight w:val="223"/>
        </w:trPr>
        <w:tc>
          <w:tcPr>
            <w:tcW w:w="7920" w:type="dxa"/>
            <w:vAlign w:val="bottom"/>
          </w:tcPr>
          <w:p>
            <w:pPr>
              <w:ind w:left="140"/>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132,821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176,565</w:t>
            </w:r>
          </w:p>
        </w:tc>
        <w:tc>
          <w:tcPr>
            <w:tcW w:w="0" w:type="dxa"/>
            <w:vAlign w:val="bottom"/>
          </w:tcPr>
          <w:p>
            <w:pPr>
              <w:spacing w:after="0"/>
              <w:rPr>
                <w:sz w:val="1"/>
                <w:szCs w:val="1"/>
                <w:color w:val="auto"/>
              </w:rPr>
            </w:pPr>
          </w:p>
        </w:tc>
      </w:tr>
      <w:tr>
        <w:trPr>
          <w:trHeight w:val="33"/>
        </w:trPr>
        <w:tc>
          <w:tcPr>
            <w:tcW w:w="7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DBDBDB"/>
          </w:tcPr>
          <w:p>
            <w:pPr>
              <w:spacing w:after="0"/>
              <w:rPr>
                <w:sz w:val="20"/>
                <w:szCs w:val="20"/>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436,456</w:t>
            </w:r>
          </w:p>
        </w:tc>
        <w:tc>
          <w:tcPr>
            <w:tcW w:w="120" w:type="dxa"/>
            <w:vAlign w:val="bottom"/>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432,901</w:t>
            </w:r>
          </w:p>
        </w:tc>
        <w:tc>
          <w:tcPr>
            <w:tcW w:w="0" w:type="dxa"/>
            <w:vAlign w:val="bottom"/>
          </w:tcPr>
          <w:p>
            <w:pPr>
              <w:spacing w:after="0"/>
              <w:rPr>
                <w:sz w:val="1"/>
                <w:szCs w:val="1"/>
                <w:color w:val="auto"/>
              </w:rPr>
            </w:pPr>
          </w:p>
        </w:tc>
      </w:tr>
      <w:tr>
        <w:trPr>
          <w:trHeight w:val="239"/>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1,331,487</w:t>
            </w:r>
          </w:p>
        </w:tc>
        <w:tc>
          <w:tcPr>
            <w:tcW w:w="58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1,280,083</w:t>
            </w:r>
          </w:p>
        </w:tc>
        <w:tc>
          <w:tcPr>
            <w:tcW w:w="0" w:type="dxa"/>
            <w:vAlign w:val="bottom"/>
          </w:tcPr>
          <w:p>
            <w:pPr>
              <w:spacing w:after="0"/>
              <w:rPr>
                <w:sz w:val="1"/>
                <w:szCs w:val="1"/>
                <w:color w:val="auto"/>
              </w:rPr>
            </w:pPr>
          </w:p>
        </w:tc>
      </w:tr>
      <w:tr>
        <w:trPr>
          <w:trHeight w:val="24"/>
        </w:trPr>
        <w:tc>
          <w:tcPr>
            <w:tcW w:w="79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118" w:right="339" w:bottom="1440" w:gutter="0" w:footer="0" w:header="0"/>
        </w:sectPr>
      </w:pPr>
    </w:p>
    <w:p>
      <w:pPr>
        <w:ind w:left="87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PORTILLO'S INC</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Quarter Ended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6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Two Quarters Ended</w:t>
            </w:r>
          </w:p>
        </w:tc>
      </w:tr>
      <w:tr>
        <w:trPr>
          <w:trHeight w:val="243"/>
        </w:trPr>
        <w:tc>
          <w:tcPr>
            <w:tcW w:w="5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June 26, 2022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June 26, 2022</w:t>
            </w:r>
          </w:p>
        </w:tc>
      </w:tr>
      <w:tr>
        <w:trPr>
          <w:trHeight w:val="21"/>
        </w:trPr>
        <w:tc>
          <w:tcPr>
            <w:tcW w:w="534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0"/>
        </w:trPr>
        <w:tc>
          <w:tcPr>
            <w:tcW w:w="534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4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r>
      <w:tr>
        <w:trPr>
          <w:trHeight w:val="236"/>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REVENUES, NET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169,182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150,623</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325,242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285,105</w:t>
            </w:r>
          </w:p>
        </w:tc>
      </w:tr>
      <w:tr>
        <w:trPr>
          <w:trHeight w:val="21"/>
        </w:trPr>
        <w:tc>
          <w:tcPr>
            <w:tcW w:w="5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0"/>
        </w:trPr>
        <w:tc>
          <w:tcPr>
            <w:tcW w:w="534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6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4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6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60" w:type="dxa"/>
            <w:vAlign w:val="bottom"/>
            <w:shd w:val="clear" w:color="auto" w:fill="DBDBDB"/>
          </w:tcPr>
          <w:p>
            <w:pPr>
              <w:spacing w:after="0"/>
              <w:rPr>
                <w:sz w:val="23"/>
                <w:szCs w:val="23"/>
                <w:color w:val="auto"/>
              </w:rPr>
            </w:pPr>
          </w:p>
        </w:tc>
      </w:tr>
      <w:tr>
        <w:trPr>
          <w:trHeight w:val="239"/>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COST AND EXPENSES: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7"/>
        </w:trPr>
        <w:tc>
          <w:tcPr>
            <w:tcW w:w="53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Restaurant operating expenses:</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4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r>
      <w:tr>
        <w:trPr>
          <w:trHeight w:val="224"/>
        </w:trPr>
        <w:tc>
          <w:tcPr>
            <w:tcW w:w="5340" w:type="dxa"/>
            <w:vAlign w:val="bottom"/>
          </w:tcPr>
          <w:p>
            <w:pPr>
              <w:ind w:left="220"/>
              <w:spacing w:after="0"/>
              <w:rPr>
                <w:sz w:val="20"/>
                <w:szCs w:val="20"/>
                <w:color w:val="auto"/>
              </w:rPr>
            </w:pPr>
            <w:r>
              <w:rPr>
                <w:rFonts w:ascii="Arial" w:cs="Arial" w:eastAsia="Arial" w:hAnsi="Arial"/>
                <w:sz w:val="16"/>
                <w:szCs w:val="16"/>
                <w:color w:val="auto"/>
              </w:rPr>
              <w:t>Food, beverage and packaging costs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56,229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51,774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109,856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98,040</w:t>
            </w:r>
          </w:p>
        </w:tc>
      </w:tr>
      <w:tr>
        <w:trPr>
          <w:trHeight w:val="33"/>
        </w:trPr>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3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Labor</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43,153</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37,906</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83,612</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75,219</w:t>
            </w:r>
          </w:p>
        </w:tc>
      </w:tr>
      <w:tr>
        <w:trPr>
          <w:trHeight w:val="224"/>
        </w:trPr>
        <w:tc>
          <w:tcPr>
            <w:tcW w:w="5340" w:type="dxa"/>
            <w:vAlign w:val="bottom"/>
          </w:tcPr>
          <w:p>
            <w:pPr>
              <w:ind w:left="220"/>
              <w:spacing w:after="0"/>
              <w:rPr>
                <w:sz w:val="20"/>
                <w:szCs w:val="20"/>
                <w:color w:val="auto"/>
              </w:rPr>
            </w:pPr>
            <w:r>
              <w:rPr>
                <w:rFonts w:ascii="Arial" w:cs="Arial" w:eastAsia="Arial" w:hAnsi="Arial"/>
                <w:sz w:val="16"/>
                <w:szCs w:val="16"/>
                <w:color w:val="auto"/>
              </w:rPr>
              <w:t>Occupancy</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15,134</w:t>
            </w:r>
          </w:p>
        </w:tc>
      </w:tr>
      <w:tr>
        <w:trPr>
          <w:trHeight w:val="33"/>
        </w:trPr>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534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Other operating expenses</w:t>
            </w:r>
          </w:p>
        </w:tc>
        <w:tc>
          <w:tcPr>
            <w:tcW w:w="140" w:type="dxa"/>
            <w:vAlign w:val="bottom"/>
            <w:tcBorders>
              <w:bottom w:val="single" w:sz="8" w:color="auto"/>
            </w:tcBorders>
            <w:shd w:val="clear" w:color="auto" w:fill="DBDBDB"/>
          </w:tcPr>
          <w:p>
            <w:pPr>
              <w:spacing w:after="0"/>
              <w:rPr>
                <w:sz w:val="20"/>
                <w:szCs w:val="20"/>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18,832</w:t>
            </w:r>
          </w:p>
        </w:tc>
        <w:tc>
          <w:tcPr>
            <w:tcW w:w="10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15,178</w:t>
            </w:r>
          </w:p>
        </w:tc>
        <w:tc>
          <w:tcPr>
            <w:tcW w:w="12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37,536</w:t>
            </w:r>
          </w:p>
        </w:tc>
        <w:tc>
          <w:tcPr>
            <w:tcW w:w="10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30,343</w:t>
            </w:r>
          </w:p>
        </w:tc>
      </w:tr>
      <w:tr>
        <w:trPr>
          <w:trHeight w:val="239"/>
        </w:trPr>
        <w:tc>
          <w:tcPr>
            <w:tcW w:w="5340" w:type="dxa"/>
            <w:vAlign w:val="bottom"/>
          </w:tcPr>
          <w:p>
            <w:pPr>
              <w:ind w:left="480"/>
              <w:spacing w:after="0"/>
              <w:rPr>
                <w:sz w:val="20"/>
                <w:szCs w:val="20"/>
                <w:color w:val="auto"/>
              </w:rPr>
            </w:pPr>
            <w:r>
              <w:rPr>
                <w:rFonts w:ascii="Arial" w:cs="Arial" w:eastAsia="Arial" w:hAnsi="Arial"/>
                <w:sz w:val="16"/>
                <w:szCs w:val="16"/>
                <w:b w:val="1"/>
                <w:bCs w:val="1"/>
                <w:color w:val="auto"/>
              </w:rPr>
              <w:t>Total restaurant operating expenses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126,451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112,237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247,692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218,736</w:t>
            </w:r>
          </w:p>
        </w:tc>
      </w:tr>
      <w:tr>
        <w:trPr>
          <w:trHeight w:val="152"/>
        </w:trPr>
        <w:tc>
          <w:tcPr>
            <w:tcW w:w="534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24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r>
      <w:tr>
        <w:trPr>
          <w:trHeight w:val="233"/>
        </w:trPr>
        <w:tc>
          <w:tcPr>
            <w:tcW w:w="5340" w:type="dxa"/>
            <w:vAlign w:val="bottom"/>
          </w:tcPr>
          <w:p>
            <w:pPr>
              <w:ind w:left="22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19,609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15,439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38,387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31,126</w:t>
            </w:r>
          </w:p>
        </w:tc>
      </w:tr>
      <w:tr>
        <w:trPr>
          <w:trHeight w:val="246"/>
        </w:trPr>
        <w:tc>
          <w:tcPr>
            <w:tcW w:w="534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Pre-opening expenses</w:t>
            </w:r>
          </w:p>
        </w:tc>
        <w:tc>
          <w:tcPr>
            <w:tcW w:w="14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2,619</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979</w:t>
            </w:r>
          </w:p>
        </w:tc>
      </w:tr>
      <w:tr>
        <w:trPr>
          <w:trHeight w:val="233"/>
        </w:trPr>
        <w:tc>
          <w:tcPr>
            <w:tcW w:w="53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10,514</w:t>
            </w:r>
          </w:p>
        </w:tc>
      </w:tr>
      <w:tr>
        <w:trPr>
          <w:trHeight w:val="246"/>
        </w:trPr>
        <w:tc>
          <w:tcPr>
            <w:tcW w:w="534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Net income attributable to equity method investment</w:t>
            </w:r>
          </w:p>
        </w:tc>
        <w:tc>
          <w:tcPr>
            <w:tcW w:w="14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(398)</w:t>
            </w:r>
          </w:p>
        </w:tc>
      </w:tr>
      <w:tr>
        <w:trPr>
          <w:trHeight w:val="237"/>
        </w:trPr>
        <w:tc>
          <w:tcPr>
            <w:tcW w:w="5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loss, net</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43"/>
        </w:trPr>
        <w:tc>
          <w:tcPr>
            <w:tcW w:w="53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17,384</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17,439</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25,876</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24,253</w:t>
            </w:r>
          </w:p>
        </w:tc>
      </w:tr>
      <w:tr>
        <w:trPr>
          <w:trHeight w:val="223"/>
        </w:trPr>
        <w:tc>
          <w:tcPr>
            <w:tcW w:w="53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12,196</w:t>
            </w:r>
          </w:p>
        </w:tc>
      </w:tr>
      <w:tr>
        <w:trPr>
          <w:trHeight w:val="33"/>
        </w:trPr>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3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Tax Receivable Agreement liability adjustment</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(1,754)</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(1,163)</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(1,754)</w:t>
            </w:r>
          </w:p>
        </w:tc>
      </w:tr>
      <w:tr>
        <w:trPr>
          <w:trHeight w:val="224"/>
        </w:trPr>
        <w:tc>
          <w:tcPr>
            <w:tcW w:w="5340" w:type="dxa"/>
            <w:vAlign w:val="bottom"/>
          </w:tcPr>
          <w:p>
            <w:pPr>
              <w:ind w:left="220"/>
              <w:spacing w:after="0"/>
              <w:rPr>
                <w:sz w:val="20"/>
                <w:szCs w:val="20"/>
                <w:color w:val="auto"/>
              </w:rPr>
            </w:pPr>
            <w:r>
              <w:rPr>
                <w:rFonts w:ascii="Arial" w:cs="Arial" w:eastAsia="Arial" w:hAnsi="Arial"/>
                <w:sz w:val="16"/>
                <w:szCs w:val="16"/>
                <w:color w:val="auto"/>
              </w:rPr>
              <w:t>Loss on debt extinguishment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3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11,440</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13,096</w:t>
            </w:r>
          </w:p>
        </w:tc>
        <w:tc>
          <w:tcPr>
            <w:tcW w:w="1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9,608</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13,811</w:t>
            </w:r>
          </w:p>
        </w:tc>
      </w:tr>
      <w:tr>
        <w:trPr>
          <w:trHeight w:val="236"/>
        </w:trPr>
        <w:tc>
          <w:tcPr>
            <w:tcW w:w="5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2,505</w:t>
            </w:r>
          </w:p>
        </w:tc>
      </w:tr>
      <w:tr>
        <w:trPr>
          <w:trHeight w:val="237"/>
        </w:trPr>
        <w:tc>
          <w:tcPr>
            <w:tcW w:w="5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NET INCOME</w:t>
            </w:r>
          </w:p>
        </w:tc>
        <w:tc>
          <w:tcPr>
            <w:tcW w:w="140" w:type="dxa"/>
            <w:vAlign w:val="bottom"/>
            <w:tcBorders>
              <w:bottom w:val="single" w:sz="8" w:color="DBDBDB"/>
            </w:tcBorders>
            <w:shd w:val="clear" w:color="auto" w:fill="DBDBDB"/>
          </w:tcPr>
          <w:p>
            <w:pPr>
              <w:spacing w:after="0"/>
              <w:rPr>
                <w:sz w:val="20"/>
                <w:szCs w:val="20"/>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9,898</w:t>
            </w:r>
          </w:p>
        </w:tc>
        <w:tc>
          <w:tcPr>
            <w:tcW w:w="10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10,756</w:t>
            </w:r>
          </w:p>
        </w:tc>
        <w:tc>
          <w:tcPr>
            <w:tcW w:w="12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8,625</w:t>
            </w:r>
          </w:p>
        </w:tc>
        <w:tc>
          <w:tcPr>
            <w:tcW w:w="10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11,306</w:t>
            </w:r>
          </w:p>
        </w:tc>
      </w:tr>
      <w:tr>
        <w:trPr>
          <w:trHeight w:val="23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6,001</w:t>
            </w:r>
          </w:p>
        </w:tc>
      </w:tr>
      <w:tr>
        <w:trPr>
          <w:trHeight w:val="282"/>
        </w:trPr>
        <w:tc>
          <w:tcPr>
            <w:tcW w:w="5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NET INCOME ATTRIBUTABLE TO PORTILLO'S INC.</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6,788</w:t>
            </w:r>
          </w:p>
        </w:tc>
        <w:tc>
          <w:tcPr>
            <w:tcW w:w="240" w:type="dxa"/>
            <w:vAlign w:val="bottom"/>
            <w:tcBorders>
              <w:bottom w:val="single" w:sz="8" w:color="DBDBDB"/>
            </w:tcBorders>
            <w:gridSpan w:val="2"/>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5,111</w:t>
            </w:r>
          </w:p>
        </w:tc>
        <w:tc>
          <w:tcPr>
            <w:tcW w:w="260" w:type="dxa"/>
            <w:vAlign w:val="bottom"/>
            <w:tcBorders>
              <w:bottom w:val="single" w:sz="8" w:color="DBDBDB"/>
            </w:tcBorders>
            <w:gridSpan w:val="2"/>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6,274</w:t>
            </w:r>
          </w:p>
        </w:tc>
        <w:tc>
          <w:tcPr>
            <w:tcW w:w="240" w:type="dxa"/>
            <w:vAlign w:val="bottom"/>
            <w:tcBorders>
              <w:bottom w:val="single" w:sz="8" w:color="DBDBDB"/>
            </w:tcBorders>
            <w:gridSpan w:val="2"/>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5,305</w:t>
            </w:r>
          </w:p>
        </w:tc>
      </w:tr>
      <w:tr>
        <w:trPr>
          <w:trHeight w:val="20"/>
        </w:trPr>
        <w:tc>
          <w:tcPr>
            <w:tcW w:w="5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3"/>
        </w:trPr>
        <w:tc>
          <w:tcPr>
            <w:tcW w:w="5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per common share attributable to Portillo's Inc.:</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4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0.14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0.15</w:t>
            </w:r>
          </w:p>
        </w:tc>
      </w:tr>
      <w:tr>
        <w:trPr>
          <w:trHeight w:val="20"/>
        </w:trPr>
        <w:tc>
          <w:tcPr>
            <w:tcW w:w="534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68"/>
        </w:trPr>
        <w:tc>
          <w:tcPr>
            <w:tcW w:w="5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0.12</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0.13</w:t>
            </w:r>
          </w:p>
        </w:tc>
        <w:tc>
          <w:tcPr>
            <w:tcW w:w="26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0.11</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0.13</w:t>
            </w:r>
          </w:p>
        </w:tc>
      </w:tr>
      <w:tr>
        <w:trPr>
          <w:trHeight w:val="20"/>
        </w:trPr>
        <w:tc>
          <w:tcPr>
            <w:tcW w:w="53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93"/>
        </w:trPr>
        <w:tc>
          <w:tcPr>
            <w:tcW w:w="5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7"/>
        </w:trPr>
        <w:tc>
          <w:tcPr>
            <w:tcW w:w="5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140" w:type="dxa"/>
            <w:vAlign w:val="bottom"/>
            <w:tcBorders>
              <w:bottom w:val="single" w:sz="8" w:color="DBDBDB"/>
            </w:tcBorders>
            <w:shd w:val="clear" w:color="auto" w:fill="DBDBDB"/>
          </w:tcPr>
          <w:p>
            <w:pPr>
              <w:spacing w:after="0"/>
              <w:rPr>
                <w:sz w:val="20"/>
                <w:szCs w:val="20"/>
                <w:color w:val="auto"/>
              </w:rPr>
            </w:pPr>
          </w:p>
        </w:tc>
        <w:tc>
          <w:tcPr>
            <w:tcW w:w="126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124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126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1260" w:type="dxa"/>
            <w:vAlign w:val="bottom"/>
            <w:tcBorders>
              <w:bottom w:val="single" w:sz="8" w:color="DBDBDB"/>
            </w:tcBorders>
            <w:shd w:val="clear" w:color="auto" w:fill="DBDBDB"/>
          </w:tcPr>
          <w:p>
            <w:pPr>
              <w:spacing w:after="0"/>
              <w:rPr>
                <w:sz w:val="20"/>
                <w:szCs w:val="20"/>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54,964,649</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35,991,079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52,252,053</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35,899,125</w:t>
            </w:r>
          </w:p>
        </w:tc>
      </w:tr>
      <w:tr>
        <w:trPr>
          <w:trHeight w:val="20"/>
        </w:trPr>
        <w:tc>
          <w:tcPr>
            <w:tcW w:w="534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3"/>
        </w:trPr>
        <w:tc>
          <w:tcPr>
            <w:tcW w:w="5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shd w:val="clear" w:color="auto" w:fill="DBDBDB"/>
          </w:tcPr>
          <w:p>
            <w:pPr>
              <w:spacing w:after="0"/>
              <w:rPr>
                <w:sz w:val="23"/>
                <w:szCs w:val="23"/>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58,550,057</w:t>
            </w:r>
          </w:p>
        </w:tc>
        <w:tc>
          <w:tcPr>
            <w:tcW w:w="10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spacing w:after="0"/>
              <w:rPr>
                <w:sz w:val="23"/>
                <w:szCs w:val="23"/>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39,687,090</w:t>
            </w:r>
          </w:p>
        </w:tc>
        <w:tc>
          <w:tcPr>
            <w:tcW w:w="12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spacing w:after="0"/>
              <w:rPr>
                <w:sz w:val="23"/>
                <w:szCs w:val="23"/>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55,806,455</w:t>
            </w:r>
          </w:p>
        </w:tc>
        <w:tc>
          <w:tcPr>
            <w:tcW w:w="10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spacing w:after="0"/>
              <w:rPr>
                <w:sz w:val="23"/>
                <w:szCs w:val="23"/>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39,839,292</w:t>
            </w:r>
          </w:p>
        </w:tc>
      </w:tr>
      <w:tr>
        <w:trPr>
          <w:trHeight w:val="20"/>
        </w:trPr>
        <w:tc>
          <w:tcPr>
            <w:tcW w:w="53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7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PORTILLO'S INC</w:t>
      </w:r>
    </w:p>
    <w:p>
      <w:pPr>
        <w:spacing w:after="0" w:line="30" w:lineRule="exact"/>
        <w:rPr>
          <w:sz w:val="20"/>
          <w:szCs w:val="20"/>
          <w:color w:val="auto"/>
        </w:rPr>
      </w:pPr>
    </w:p>
    <w:p>
      <w:pPr>
        <w:ind w:right="4740"/>
        <w:spacing w:after="0" w:line="252" w:lineRule="auto"/>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rPr>
          <w:sz w:val="20"/>
          <w:szCs w:val="20"/>
          <w:color w:val="auto"/>
        </w:rPr>
      </w:pPr>
      <w:r>
        <w:rPr>
          <w:rFonts w:ascii="Arial" w:cs="Arial" w:eastAsia="Arial" w:hAnsi="Arial"/>
          <w:sz w:val="16"/>
          <w:szCs w:val="16"/>
          <w:i w:val="1"/>
          <w:i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740" w:type="dxa"/>
            <w:vAlign w:val="bottom"/>
            <w:tcBorders>
              <w:bottom w:val="single" w:sz="8" w:color="auto"/>
            </w:tcBorders>
            <w:gridSpan w:val="19"/>
          </w:tcPr>
          <w:p>
            <w:pPr>
              <w:spacing w:after="0"/>
              <w:rPr>
                <w:sz w:val="20"/>
                <w:szCs w:val="20"/>
                <w:color w:val="auto"/>
              </w:rPr>
            </w:pPr>
            <w:r>
              <w:rPr>
                <w:rFonts w:ascii="Arial" w:cs="Arial" w:eastAsia="Arial" w:hAnsi="Arial"/>
                <w:sz w:val="16"/>
                <w:szCs w:val="16"/>
                <w:b w:val="1"/>
                <w:bCs w:val="1"/>
                <w:color w:val="auto"/>
              </w:rPr>
              <w:t>Quarters Ended June 25, 2023 and June 26, 2022</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8"/>
          </w:tcPr>
          <w:p>
            <w:pPr>
              <w:jc w:val="center"/>
              <w:ind w:right="179"/>
              <w:spacing w:after="0"/>
              <w:rPr>
                <w:sz w:val="20"/>
                <w:szCs w:val="20"/>
                <w:color w:val="auto"/>
              </w:rPr>
            </w:pPr>
            <w:r>
              <w:rPr>
                <w:rFonts w:ascii="Arial" w:cs="Arial" w:eastAsia="Arial" w:hAnsi="Arial"/>
                <w:sz w:val="16"/>
                <w:szCs w:val="16"/>
                <w:b w:val="1"/>
                <w:bCs w:val="1"/>
                <w:color w:val="auto"/>
                <w:w w:val="99"/>
              </w:rPr>
              <w:t>Class A Common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7"/>
          </w:tcPr>
          <w:p>
            <w:pPr>
              <w:jc w:val="center"/>
              <w:ind w:right="159"/>
              <w:spacing w:after="0"/>
              <w:rPr>
                <w:sz w:val="20"/>
                <w:szCs w:val="20"/>
                <w:color w:val="auto"/>
              </w:rPr>
            </w:pPr>
            <w:r>
              <w:rPr>
                <w:rFonts w:ascii="Arial" w:cs="Arial" w:eastAsia="Arial" w:hAnsi="Arial"/>
                <w:sz w:val="16"/>
                <w:szCs w:val="16"/>
                <w:b w:val="1"/>
                <w:bCs w:val="1"/>
                <w:color w:val="auto"/>
              </w:rPr>
              <w:t>Class B Common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5"/>
          </w:tcPr>
          <w:p>
            <w:pPr>
              <w:jc w:val="center"/>
              <w:ind w:right="350"/>
              <w:spacing w:after="0" w:line="183" w:lineRule="exact"/>
              <w:rPr>
                <w:sz w:val="20"/>
                <w:szCs w:val="20"/>
                <w:color w:val="auto"/>
              </w:rPr>
            </w:pPr>
            <w:r>
              <w:rPr>
                <w:rFonts w:ascii="Arial" w:cs="Arial" w:eastAsia="Arial" w:hAnsi="Arial"/>
                <w:sz w:val="16"/>
                <w:szCs w:val="16"/>
                <w:b w:val="1"/>
                <w:bCs w:val="1"/>
                <w:color w:val="auto"/>
              </w:rPr>
              <w:t>Stock</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Borders>
              <w:top w:val="single" w:sz="8" w:color="auto"/>
            </w:tcBorders>
            <w:gridSpan w:val="6"/>
          </w:tcPr>
          <w:p>
            <w:pPr>
              <w:jc w:val="center"/>
              <w:spacing w:after="0" w:line="183" w:lineRule="exact"/>
              <w:rPr>
                <w:sz w:val="20"/>
                <w:szCs w:val="20"/>
                <w:color w:val="auto"/>
              </w:rPr>
            </w:pPr>
            <w:r>
              <w:rPr>
                <w:rFonts w:ascii="Arial" w:cs="Arial" w:eastAsia="Arial" w:hAnsi="Arial"/>
                <w:sz w:val="16"/>
                <w:szCs w:val="16"/>
                <w:b w:val="1"/>
                <w:bCs w:val="1"/>
                <w:color w:val="auto"/>
              </w:rPr>
              <w:t>Stock</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rPr>
              <w:t>Retained</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ind w:left="40"/>
              <w:spacing w:after="0"/>
              <w:rPr>
                <w:sz w:val="20"/>
                <w:szCs w:val="20"/>
                <w:color w:val="auto"/>
              </w:rPr>
            </w:pPr>
            <w:r>
              <w:rPr>
                <w:rFonts w:ascii="Arial" w:cs="Arial" w:eastAsia="Arial" w:hAnsi="Arial"/>
                <w:sz w:val="16"/>
                <w:szCs w:val="16"/>
                <w:b w:val="1"/>
                <w:bCs w:val="1"/>
                <w:color w:val="auto"/>
              </w:rPr>
              <w:t>Additional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rPr>
              <w:t>Earnings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b w:val="1"/>
                <w:bCs w:val="1"/>
                <w:color w:val="auto"/>
              </w:rPr>
              <w:t>Non-</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78"/>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9"/>
        </w:trPr>
        <w:tc>
          <w:tcPr>
            <w:tcW w:w="3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Controlling</w:t>
            </w:r>
          </w:p>
        </w:tc>
        <w:tc>
          <w:tcPr>
            <w:tcW w:w="8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27"/>
        </w:trPr>
        <w:tc>
          <w:tcPr>
            <w:tcW w:w="3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Capital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Deficit)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b w:val="1"/>
                <w:bCs w:val="1"/>
                <w:color w:val="auto"/>
              </w:rPr>
              <w:t>Interest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218"/>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
        </w:trPr>
        <w:tc>
          <w:tcPr>
            <w:tcW w:w="3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0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Balance at March 27, 2022</w:t>
            </w:r>
          </w:p>
        </w:tc>
        <w:tc>
          <w:tcPr>
            <w:tcW w:w="980" w:type="dxa"/>
            <w:vAlign w:val="bottom"/>
            <w:gridSpan w:val="5"/>
            <w:shd w:val="clear" w:color="auto" w:fill="DBDBDB"/>
          </w:tcPr>
          <w:p>
            <w:pPr>
              <w:jc w:val="right"/>
              <w:spacing w:after="0"/>
              <w:rPr>
                <w:sz w:val="20"/>
                <w:szCs w:val="20"/>
                <w:color w:val="auto"/>
              </w:rPr>
            </w:pPr>
            <w:r>
              <w:rPr>
                <w:rFonts w:ascii="Arial" w:cs="Arial" w:eastAsia="Arial" w:hAnsi="Arial"/>
                <w:sz w:val="16"/>
                <w:szCs w:val="16"/>
                <w:color w:val="auto"/>
              </w:rPr>
              <w:t>35,807,171</w:t>
            </w: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358</w:t>
            </w:r>
          </w:p>
        </w:tc>
        <w:tc>
          <w:tcPr>
            <w:tcW w:w="980" w:type="dxa"/>
            <w:vAlign w:val="bottom"/>
            <w:gridSpan w:val="4"/>
            <w:shd w:val="clear" w:color="auto" w:fill="DBDBDB"/>
          </w:tcPr>
          <w:p>
            <w:pPr>
              <w:jc w:val="right"/>
              <w:ind w:right="80"/>
              <w:spacing w:after="0"/>
              <w:rPr>
                <w:sz w:val="20"/>
                <w:szCs w:val="20"/>
                <w:color w:val="auto"/>
              </w:rPr>
            </w:pPr>
            <w:r>
              <w:rPr>
                <w:rFonts w:ascii="Arial" w:cs="Arial" w:eastAsia="Arial" w:hAnsi="Arial"/>
                <w:sz w:val="16"/>
                <w:szCs w:val="16"/>
                <w:color w:val="auto"/>
              </w:rPr>
              <w:t>35,673,321</w:t>
            </w:r>
          </w:p>
        </w:tc>
        <w:tc>
          <w:tcPr>
            <w:tcW w:w="20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7"/>
              </w:rPr>
              <w:t>—</w:t>
            </w:r>
          </w:p>
        </w:tc>
        <w:tc>
          <w:tcPr>
            <w:tcW w:w="220" w:type="dxa"/>
            <w:vAlign w:val="bottom"/>
            <w:gridSpan w:val="2"/>
            <w:shd w:val="clear" w:color="auto" w:fill="DBDBDB"/>
          </w:tcPr>
          <w:p>
            <w:pPr>
              <w:ind w:left="10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188,752</w:t>
            </w: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(15,756)</w:t>
            </w:r>
          </w:p>
        </w:tc>
        <w:tc>
          <w:tcPr>
            <w:tcW w:w="220" w:type="dxa"/>
            <w:vAlign w:val="bottom"/>
            <w:gridSpan w:val="2"/>
            <w:shd w:val="clear" w:color="auto" w:fill="DBDBDB"/>
          </w:tcPr>
          <w:p>
            <w:pPr>
              <w:ind w:lef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254,387</w:t>
            </w:r>
          </w:p>
        </w:tc>
        <w:tc>
          <w:tcPr>
            <w:tcW w:w="280" w:type="dxa"/>
            <w:vAlign w:val="bottom"/>
            <w:gridSpan w:val="2"/>
            <w:shd w:val="clear" w:color="auto" w:fill="DBDBDB"/>
          </w:tcPr>
          <w:p>
            <w:pPr>
              <w:ind w:lef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427,741</w:t>
            </w:r>
          </w:p>
        </w:tc>
        <w:tc>
          <w:tcPr>
            <w:tcW w:w="0" w:type="dxa"/>
            <w:vAlign w:val="bottom"/>
          </w:tcPr>
          <w:p>
            <w:pPr>
              <w:spacing w:after="0"/>
              <w:rPr>
                <w:sz w:val="1"/>
                <w:szCs w:val="1"/>
                <w:color w:val="auto"/>
              </w:rPr>
            </w:pPr>
          </w:p>
        </w:tc>
      </w:tr>
      <w:tr>
        <w:trPr>
          <w:trHeight w:val="224"/>
        </w:trPr>
        <w:tc>
          <w:tcPr>
            <w:tcW w:w="30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10,756</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Equity-based compensation</w:t>
            </w:r>
          </w:p>
        </w:tc>
        <w:tc>
          <w:tcPr>
            <w:tcW w:w="8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3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66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1,941</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1,923</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3,864</w:t>
            </w:r>
          </w:p>
        </w:tc>
        <w:tc>
          <w:tcPr>
            <w:tcW w:w="0" w:type="dxa"/>
            <w:vAlign w:val="bottom"/>
          </w:tcPr>
          <w:p>
            <w:pPr>
              <w:spacing w:after="0"/>
              <w:rPr>
                <w:sz w:val="1"/>
                <w:szCs w:val="1"/>
                <w:color w:val="auto"/>
              </w:rPr>
            </w:pPr>
          </w:p>
        </w:tc>
      </w:tr>
      <w:tr>
        <w:trPr>
          <w:trHeight w:val="206"/>
        </w:trPr>
        <w:tc>
          <w:tcPr>
            <w:tcW w:w="3020" w:type="dxa"/>
            <w:vAlign w:val="bottom"/>
          </w:tcPr>
          <w:p>
            <w:pPr>
              <w:ind w:left="120"/>
              <w:spacing w:after="0"/>
              <w:rPr>
                <w:sz w:val="20"/>
                <w:szCs w:val="20"/>
                <w:color w:val="auto"/>
              </w:rPr>
            </w:pPr>
            <w:r>
              <w:rPr>
                <w:rFonts w:ascii="Arial" w:cs="Arial" w:eastAsia="Arial" w:hAnsi="Arial"/>
                <w:sz w:val="16"/>
                <w:szCs w:val="16"/>
                <w:color w:val="auto"/>
              </w:rPr>
              <w:t>Activity under equity-based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20" w:type="dxa"/>
            <w:vAlign w:val="bottom"/>
          </w:tcPr>
          <w:p>
            <w:pPr>
              <w:ind w:left="120"/>
              <w:spacing w:after="0"/>
              <w:rPr>
                <w:sz w:val="20"/>
                <w:szCs w:val="20"/>
                <w:color w:val="auto"/>
              </w:rPr>
            </w:pPr>
            <w:r>
              <w:rPr>
                <w:rFonts w:ascii="Arial" w:cs="Arial" w:eastAsia="Arial" w:hAnsi="Arial"/>
                <w:sz w:val="16"/>
                <w:szCs w:val="16"/>
                <w:color w:val="auto"/>
              </w:rPr>
              <w:t>compensation plans</w:t>
            </w: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411,184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1,447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1,451</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tcBorders>
              <w:bottom w:val="single" w:sz="8" w:color="auto"/>
            </w:tcBorders>
            <w:shd w:val="clear" w:color="auto" w:fill="DBDBDB"/>
          </w:tcPr>
          <w:p>
            <w:pPr>
              <w:ind w:left="120"/>
              <w:spacing w:after="0"/>
              <w:rPr>
                <w:sz w:val="20"/>
                <w:szCs w:val="20"/>
                <w:color w:val="auto"/>
              </w:rPr>
            </w:pPr>
            <w:r>
              <w:rPr>
                <w:rFonts w:ascii="Arial" w:cs="Arial" w:eastAsia="Arial" w:hAnsi="Arial"/>
                <w:sz w:val="16"/>
                <w:szCs w:val="16"/>
                <w:color w:val="auto"/>
              </w:rPr>
              <w:t>Non-controlling interest adjustment</w:t>
            </w:r>
          </w:p>
        </w:tc>
        <w:tc>
          <w:tcPr>
            <w:tcW w:w="80" w:type="dxa"/>
            <w:vAlign w:val="bottom"/>
            <w:tcBorders>
              <w:bottom w:val="single" w:sz="8" w:color="auto"/>
            </w:tcBorders>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30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20" w:type="dxa"/>
            <w:vAlign w:val="bottom"/>
            <w:tcBorders>
              <w:bottom w:val="single" w:sz="8" w:color="auto"/>
            </w:tcBorders>
            <w:shd w:val="clear" w:color="auto" w:fill="DBDBDB"/>
          </w:tcPr>
          <w:p>
            <w:pPr>
              <w:spacing w:after="0"/>
              <w:rPr>
                <w:sz w:val="20"/>
                <w:szCs w:val="20"/>
                <w:color w:val="auto"/>
              </w:rPr>
            </w:pPr>
          </w:p>
        </w:tc>
        <w:tc>
          <w:tcPr>
            <w:tcW w:w="440" w:type="dxa"/>
            <w:vAlign w:val="bottom"/>
            <w:tcBorders>
              <w:bottom w:val="single" w:sz="8" w:color="auto"/>
            </w:tcBorders>
            <w:shd w:val="clear" w:color="auto" w:fill="DBDBDB"/>
          </w:tcPr>
          <w:p>
            <w:pPr>
              <w:spacing w:after="0"/>
              <w:rPr>
                <w:sz w:val="20"/>
                <w:szCs w:val="20"/>
                <w:color w:val="auto"/>
              </w:rPr>
            </w:pP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20" w:type="dxa"/>
            <w:vAlign w:val="bottom"/>
            <w:tcBorders>
              <w:bottom w:val="single" w:sz="8" w:color="auto"/>
            </w:tcBorders>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7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722</w:t>
            </w:r>
          </w:p>
        </w:tc>
        <w:tc>
          <w:tcPr>
            <w:tcW w:w="80" w:type="dxa"/>
            <w:vAlign w:val="bottom"/>
            <w:tcBorders>
              <w:bottom w:val="single" w:sz="8" w:color="DBDBDB"/>
            </w:tcBorders>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spacing w:after="0"/>
              <w:rPr>
                <w:sz w:val="20"/>
                <w:szCs w:val="20"/>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(722)</w:t>
            </w:r>
          </w:p>
        </w:tc>
        <w:tc>
          <w:tcPr>
            <w:tcW w:w="80" w:type="dxa"/>
            <w:vAlign w:val="bottom"/>
            <w:tcBorders>
              <w:bottom w:val="single" w:sz="8" w:color="DBDBDB"/>
            </w:tcBorders>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Balance at June 26, 2022</w:t>
            </w: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36,218,355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362</w:t>
            </w:r>
          </w:p>
        </w:tc>
        <w:tc>
          <w:tcPr>
            <w:tcW w:w="980" w:type="dxa"/>
            <w:vAlign w:val="bottom"/>
            <w:gridSpan w:val="4"/>
          </w:tcPr>
          <w:p>
            <w:pPr>
              <w:jc w:val="right"/>
              <w:ind w:right="80"/>
              <w:spacing w:after="0"/>
              <w:rPr>
                <w:sz w:val="20"/>
                <w:szCs w:val="20"/>
                <w:color w:val="auto"/>
              </w:rPr>
            </w:pPr>
            <w:r>
              <w:rPr>
                <w:rFonts w:ascii="Arial" w:cs="Arial" w:eastAsia="Arial" w:hAnsi="Arial"/>
                <w:sz w:val="16"/>
                <w:szCs w:val="16"/>
                <w:color w:val="auto"/>
              </w:rPr>
              <w:t>35,673,321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192,862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(10,645)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261,233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443,812</w:t>
            </w:r>
          </w:p>
        </w:tc>
        <w:tc>
          <w:tcPr>
            <w:tcW w:w="0" w:type="dxa"/>
            <w:vAlign w:val="bottom"/>
          </w:tcPr>
          <w:p>
            <w:pPr>
              <w:spacing w:after="0"/>
              <w:rPr>
                <w:sz w:val="1"/>
                <w:szCs w:val="1"/>
                <w:color w:val="auto"/>
              </w:rPr>
            </w:pPr>
          </w:p>
        </w:tc>
      </w:tr>
      <w:tr>
        <w:trPr>
          <w:trHeight w:val="267"/>
        </w:trPr>
        <w:tc>
          <w:tcPr>
            <w:tcW w:w="3020" w:type="dxa"/>
            <w:vAlign w:val="bottom"/>
            <w:tcBorders>
              <w:top w:val="single" w:sz="8" w:color="auto"/>
            </w:tcBorders>
            <w:shd w:val="clear" w:color="auto" w:fill="DBDBDB"/>
          </w:tcPr>
          <w:p>
            <w:pPr>
              <w:spacing w:after="0"/>
              <w:rPr>
                <w:sz w:val="23"/>
                <w:szCs w:val="23"/>
                <w:color w:val="auto"/>
              </w:rPr>
            </w:pPr>
          </w:p>
        </w:tc>
        <w:tc>
          <w:tcPr>
            <w:tcW w:w="80" w:type="dxa"/>
            <w:vAlign w:val="bottom"/>
            <w:tcBorders>
              <w:top w:val="single" w:sz="8" w:color="auto"/>
            </w:tcBorders>
            <w:shd w:val="clear" w:color="auto" w:fill="DBDBDB"/>
          </w:tcPr>
          <w:p>
            <w:pPr>
              <w:spacing w:after="0"/>
              <w:rPr>
                <w:sz w:val="23"/>
                <w:szCs w:val="23"/>
                <w:color w:val="auto"/>
              </w:rPr>
            </w:pPr>
          </w:p>
        </w:tc>
        <w:tc>
          <w:tcPr>
            <w:tcW w:w="240" w:type="dxa"/>
            <w:vAlign w:val="bottom"/>
            <w:tcBorders>
              <w:top w:val="single" w:sz="8" w:color="auto"/>
            </w:tcBorders>
            <w:shd w:val="clear" w:color="auto" w:fill="DBDBDB"/>
          </w:tcPr>
          <w:p>
            <w:pPr>
              <w:spacing w:after="0"/>
              <w:rPr>
                <w:sz w:val="23"/>
                <w:szCs w:val="23"/>
                <w:color w:val="auto"/>
              </w:rPr>
            </w:pPr>
          </w:p>
        </w:tc>
        <w:tc>
          <w:tcPr>
            <w:tcW w:w="360" w:type="dxa"/>
            <w:vAlign w:val="bottom"/>
            <w:tcBorders>
              <w:top w:val="single" w:sz="8" w:color="auto"/>
            </w:tcBorders>
            <w:shd w:val="clear" w:color="auto" w:fill="DBDBDB"/>
          </w:tcPr>
          <w:p>
            <w:pPr>
              <w:spacing w:after="0"/>
              <w:rPr>
                <w:sz w:val="23"/>
                <w:szCs w:val="23"/>
                <w:color w:val="auto"/>
              </w:rPr>
            </w:pPr>
          </w:p>
        </w:tc>
        <w:tc>
          <w:tcPr>
            <w:tcW w:w="80" w:type="dxa"/>
            <w:vAlign w:val="bottom"/>
            <w:tcBorders>
              <w:top w:val="single" w:sz="8" w:color="auto"/>
            </w:tcBorders>
            <w:shd w:val="clear" w:color="auto" w:fill="DBDBDB"/>
          </w:tcPr>
          <w:p>
            <w:pPr>
              <w:spacing w:after="0"/>
              <w:rPr>
                <w:sz w:val="23"/>
                <w:szCs w:val="23"/>
                <w:color w:val="auto"/>
              </w:rPr>
            </w:pPr>
          </w:p>
        </w:tc>
        <w:tc>
          <w:tcPr>
            <w:tcW w:w="220" w:type="dxa"/>
            <w:vAlign w:val="bottom"/>
            <w:tcBorders>
              <w:top w:val="single" w:sz="8" w:color="auto"/>
            </w:tcBorders>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20" w:type="dxa"/>
            <w:vAlign w:val="bottom"/>
            <w:tcBorders>
              <w:top w:val="single" w:sz="8" w:color="auto"/>
            </w:tcBorders>
            <w:shd w:val="clear" w:color="auto" w:fill="DBDBDB"/>
          </w:tcPr>
          <w:p>
            <w:pPr>
              <w:spacing w:after="0"/>
              <w:rPr>
                <w:sz w:val="23"/>
                <w:szCs w:val="23"/>
                <w:color w:val="auto"/>
              </w:rPr>
            </w:pPr>
          </w:p>
        </w:tc>
        <w:tc>
          <w:tcPr>
            <w:tcW w:w="20" w:type="dxa"/>
            <w:vAlign w:val="bottom"/>
            <w:tcBorders>
              <w:top w:val="single" w:sz="8" w:color="auto"/>
            </w:tcBorders>
            <w:shd w:val="clear" w:color="auto" w:fill="DBDBDB"/>
          </w:tcPr>
          <w:p>
            <w:pPr>
              <w:spacing w:after="0"/>
              <w:rPr>
                <w:sz w:val="23"/>
                <w:szCs w:val="23"/>
                <w:color w:val="auto"/>
              </w:rPr>
            </w:pPr>
          </w:p>
        </w:tc>
        <w:tc>
          <w:tcPr>
            <w:tcW w:w="440" w:type="dxa"/>
            <w:vAlign w:val="bottom"/>
            <w:tcBorders>
              <w:top w:val="single" w:sz="8" w:color="auto"/>
            </w:tcBorders>
            <w:shd w:val="clear" w:color="auto" w:fill="DBDBDB"/>
          </w:tcPr>
          <w:p>
            <w:pPr>
              <w:spacing w:after="0"/>
              <w:rPr>
                <w:sz w:val="23"/>
                <w:szCs w:val="23"/>
                <w:color w:val="auto"/>
              </w:rPr>
            </w:pPr>
          </w:p>
        </w:tc>
        <w:tc>
          <w:tcPr>
            <w:tcW w:w="260" w:type="dxa"/>
            <w:vAlign w:val="bottom"/>
            <w:tcBorders>
              <w:top w:val="single" w:sz="8" w:color="auto"/>
            </w:tcBorders>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240" w:type="dxa"/>
            <w:vAlign w:val="bottom"/>
            <w:tcBorders>
              <w:top w:val="single" w:sz="8" w:color="auto"/>
            </w:tcBorders>
            <w:shd w:val="clear" w:color="auto" w:fill="DBDBDB"/>
          </w:tcPr>
          <w:p>
            <w:pPr>
              <w:spacing w:after="0"/>
              <w:rPr>
                <w:sz w:val="23"/>
                <w:szCs w:val="23"/>
                <w:color w:val="auto"/>
              </w:rPr>
            </w:pPr>
          </w:p>
        </w:tc>
        <w:tc>
          <w:tcPr>
            <w:tcW w:w="440" w:type="dxa"/>
            <w:vAlign w:val="bottom"/>
            <w:tcBorders>
              <w:top w:val="single" w:sz="8" w:color="auto"/>
            </w:tcBorders>
            <w:shd w:val="clear" w:color="auto" w:fill="DBDBDB"/>
          </w:tcPr>
          <w:p>
            <w:pPr>
              <w:spacing w:after="0"/>
              <w:rPr>
                <w:sz w:val="23"/>
                <w:szCs w:val="23"/>
                <w:color w:val="auto"/>
              </w:rPr>
            </w:pPr>
          </w:p>
        </w:tc>
        <w:tc>
          <w:tcPr>
            <w:tcW w:w="220" w:type="dxa"/>
            <w:vAlign w:val="bottom"/>
            <w:tcBorders>
              <w:top w:val="single" w:sz="8" w:color="auto"/>
            </w:tcBorders>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20" w:type="dxa"/>
            <w:vAlign w:val="bottom"/>
            <w:tcBorders>
              <w:top w:val="single" w:sz="8" w:color="auto"/>
            </w:tcBorders>
            <w:shd w:val="clear" w:color="auto" w:fill="DBDBDB"/>
          </w:tcPr>
          <w:p>
            <w:pPr>
              <w:spacing w:after="0"/>
              <w:rPr>
                <w:sz w:val="23"/>
                <w:szCs w:val="23"/>
                <w:color w:val="auto"/>
              </w:rPr>
            </w:pPr>
          </w:p>
        </w:tc>
        <w:tc>
          <w:tcPr>
            <w:tcW w:w="20" w:type="dxa"/>
            <w:vAlign w:val="bottom"/>
            <w:tcBorders>
              <w:top w:val="single" w:sz="8" w:color="auto"/>
            </w:tcBorders>
            <w:shd w:val="clear" w:color="auto" w:fill="DBDBDB"/>
          </w:tcPr>
          <w:p>
            <w:pPr>
              <w:spacing w:after="0"/>
              <w:rPr>
                <w:sz w:val="23"/>
                <w:szCs w:val="23"/>
                <w:color w:val="auto"/>
              </w:rPr>
            </w:pPr>
          </w:p>
        </w:tc>
        <w:tc>
          <w:tcPr>
            <w:tcW w:w="460" w:type="dxa"/>
            <w:vAlign w:val="bottom"/>
            <w:tcBorders>
              <w:top w:val="single" w:sz="8" w:color="auto"/>
            </w:tcBorders>
            <w:shd w:val="clear" w:color="auto" w:fill="DBDBDB"/>
          </w:tcPr>
          <w:p>
            <w:pPr>
              <w:spacing w:after="0"/>
              <w:rPr>
                <w:sz w:val="23"/>
                <w:szCs w:val="23"/>
                <w:color w:val="auto"/>
              </w:rPr>
            </w:pPr>
          </w:p>
        </w:tc>
        <w:tc>
          <w:tcPr>
            <w:tcW w:w="240" w:type="dxa"/>
            <w:vAlign w:val="bottom"/>
            <w:tcBorders>
              <w:top w:val="single" w:sz="8" w:color="auto"/>
            </w:tcBorders>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40" w:type="dxa"/>
            <w:vAlign w:val="bottom"/>
            <w:tcBorders>
              <w:top w:val="single" w:sz="8" w:color="auto"/>
            </w:tcBorders>
            <w:shd w:val="clear" w:color="auto" w:fill="DBDBDB"/>
          </w:tcPr>
          <w:p>
            <w:pPr>
              <w:spacing w:after="0"/>
              <w:rPr>
                <w:sz w:val="23"/>
                <w:szCs w:val="23"/>
                <w:color w:val="auto"/>
              </w:rPr>
            </w:pPr>
          </w:p>
        </w:tc>
        <w:tc>
          <w:tcPr>
            <w:tcW w:w="400" w:type="dxa"/>
            <w:vAlign w:val="bottom"/>
            <w:tcBorders>
              <w:top w:val="single" w:sz="8" w:color="auto"/>
            </w:tcBorders>
            <w:shd w:val="clear" w:color="auto" w:fill="DBDBDB"/>
          </w:tcPr>
          <w:p>
            <w:pPr>
              <w:spacing w:after="0"/>
              <w:rPr>
                <w:sz w:val="23"/>
                <w:szCs w:val="23"/>
                <w:color w:val="auto"/>
              </w:rPr>
            </w:pPr>
          </w:p>
        </w:tc>
        <w:tc>
          <w:tcPr>
            <w:tcW w:w="340" w:type="dxa"/>
            <w:vAlign w:val="bottom"/>
            <w:tcBorders>
              <w:top w:val="single" w:sz="8" w:color="auto"/>
            </w:tcBorders>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60" w:type="dxa"/>
            <w:vAlign w:val="bottom"/>
            <w:tcBorders>
              <w:top w:val="single" w:sz="8" w:color="auto"/>
            </w:tcBorders>
            <w:shd w:val="clear" w:color="auto" w:fill="DBDBDB"/>
          </w:tcPr>
          <w:p>
            <w:pPr>
              <w:spacing w:after="0"/>
              <w:rPr>
                <w:sz w:val="23"/>
                <w:szCs w:val="23"/>
                <w:color w:val="auto"/>
              </w:rPr>
            </w:pPr>
          </w:p>
        </w:tc>
        <w:tc>
          <w:tcPr>
            <w:tcW w:w="940" w:type="dxa"/>
            <w:vAlign w:val="bottom"/>
            <w:tcBorders>
              <w:top w:val="single" w:sz="8" w:color="auto"/>
            </w:tcBorders>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40" w:type="dxa"/>
            <w:vAlign w:val="bottom"/>
            <w:tcBorders>
              <w:top w:val="single" w:sz="8" w:color="auto"/>
            </w:tcBorders>
            <w:shd w:val="clear" w:color="auto" w:fill="DBDBDB"/>
          </w:tcPr>
          <w:p>
            <w:pPr>
              <w:spacing w:after="0"/>
              <w:rPr>
                <w:sz w:val="23"/>
                <w:szCs w:val="23"/>
                <w:color w:val="auto"/>
              </w:rPr>
            </w:pPr>
          </w:p>
        </w:tc>
        <w:tc>
          <w:tcPr>
            <w:tcW w:w="780" w:type="dxa"/>
            <w:vAlign w:val="bottom"/>
            <w:tcBorders>
              <w:top w:val="single" w:sz="8" w:color="auto"/>
            </w:tcBorders>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200" w:type="dxa"/>
            <w:vAlign w:val="bottom"/>
            <w:tcBorders>
              <w:top w:val="single" w:sz="8" w:color="auto"/>
            </w:tcBorders>
            <w:shd w:val="clear" w:color="auto" w:fill="DBDBDB"/>
          </w:tcPr>
          <w:p>
            <w:pPr>
              <w:spacing w:after="0"/>
              <w:rPr>
                <w:sz w:val="23"/>
                <w:szCs w:val="23"/>
                <w:color w:val="auto"/>
              </w:rPr>
            </w:pPr>
          </w:p>
        </w:tc>
        <w:tc>
          <w:tcPr>
            <w:tcW w:w="880" w:type="dxa"/>
            <w:vAlign w:val="bottom"/>
            <w:tcBorders>
              <w:top w:val="single" w:sz="8" w:color="auto"/>
            </w:tcBorders>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Balance at March 26, 2023</w:t>
            </w: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54,467,951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545</w:t>
            </w:r>
          </w:p>
        </w:tc>
        <w:tc>
          <w:tcPr>
            <w:tcW w:w="980" w:type="dxa"/>
            <w:vAlign w:val="bottom"/>
            <w:gridSpan w:val="4"/>
          </w:tcPr>
          <w:p>
            <w:pPr>
              <w:jc w:val="right"/>
              <w:ind w:right="80"/>
              <w:spacing w:after="0"/>
              <w:rPr>
                <w:sz w:val="20"/>
                <w:szCs w:val="20"/>
                <w:color w:val="auto"/>
              </w:rPr>
            </w:pPr>
            <w:r>
              <w:rPr>
                <w:rFonts w:ascii="Arial" w:cs="Arial" w:eastAsia="Arial" w:hAnsi="Arial"/>
                <w:sz w:val="16"/>
                <w:szCs w:val="16"/>
                <w:color w:val="auto"/>
              </w:rPr>
              <w:t>17,943,562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294,984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132,783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422,986</w:t>
            </w:r>
          </w:p>
        </w:tc>
        <w:tc>
          <w:tcPr>
            <w:tcW w:w="0" w:type="dxa"/>
            <w:vAlign w:val="bottom"/>
          </w:tcPr>
          <w:p>
            <w:pPr>
              <w:spacing w:after="0"/>
              <w:rPr>
                <w:sz w:val="1"/>
                <w:szCs w:val="1"/>
                <w:color w:val="auto"/>
              </w:rPr>
            </w:pPr>
          </w:p>
        </w:tc>
      </w:tr>
      <w:tr>
        <w:trPr>
          <w:trHeight w:val="240"/>
        </w:trPr>
        <w:tc>
          <w:tcPr>
            <w:tcW w:w="30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6"/>
                <w:szCs w:val="16"/>
                <w:color w:val="auto"/>
              </w:rPr>
              <w:t>Net income</w:t>
            </w:r>
          </w:p>
        </w:tc>
        <w:tc>
          <w:tcPr>
            <w:tcW w:w="8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DBDBDB"/>
            </w:tcBorders>
            <w:shd w:val="clear" w:color="auto" w:fill="DBDBDB"/>
          </w:tcPr>
          <w:p>
            <w:pPr>
              <w:spacing w:after="0"/>
              <w:rPr>
                <w:sz w:val="20"/>
                <w:szCs w:val="20"/>
                <w:color w:val="auto"/>
              </w:rPr>
            </w:pPr>
          </w:p>
        </w:tc>
        <w:tc>
          <w:tcPr>
            <w:tcW w:w="360" w:type="dxa"/>
            <w:vAlign w:val="bottom"/>
            <w:tcBorders>
              <w:bottom w:val="single" w:sz="8" w:color="DBDBDB"/>
            </w:tcBorders>
            <w:shd w:val="clear" w:color="auto" w:fill="DBDBDB"/>
          </w:tcPr>
          <w:p>
            <w:pPr>
              <w:spacing w:after="0"/>
              <w:rPr>
                <w:sz w:val="20"/>
                <w:szCs w:val="20"/>
                <w:color w:val="auto"/>
              </w:rPr>
            </w:pPr>
          </w:p>
        </w:tc>
        <w:tc>
          <w:tcPr>
            <w:tcW w:w="3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20" w:type="dxa"/>
            <w:vAlign w:val="bottom"/>
            <w:tcBorders>
              <w:bottom w:val="single" w:sz="8" w:color="DBDBDB"/>
            </w:tcBorders>
            <w:shd w:val="clear" w:color="auto" w:fill="DBDBDB"/>
          </w:tcPr>
          <w:p>
            <w:pPr>
              <w:spacing w:after="0"/>
              <w:rPr>
                <w:sz w:val="20"/>
                <w:szCs w:val="20"/>
                <w:color w:val="auto"/>
              </w:rPr>
            </w:pPr>
          </w:p>
        </w:tc>
        <w:tc>
          <w:tcPr>
            <w:tcW w:w="440" w:type="dxa"/>
            <w:vAlign w:val="bottom"/>
            <w:tcBorders>
              <w:bottom w:val="single" w:sz="8" w:color="DBDBDB"/>
            </w:tcBorders>
            <w:shd w:val="clear" w:color="auto" w:fill="DBDBDB"/>
          </w:tcPr>
          <w:p>
            <w:pPr>
              <w:spacing w:after="0"/>
              <w:rPr>
                <w:sz w:val="20"/>
                <w:szCs w:val="20"/>
                <w:color w:val="auto"/>
              </w:rPr>
            </w:pP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DBDBDB"/>
            </w:tcBorders>
            <w:shd w:val="clear" w:color="auto" w:fill="DBDBDB"/>
          </w:tcPr>
          <w:p>
            <w:pPr>
              <w:spacing w:after="0"/>
              <w:rPr>
                <w:sz w:val="20"/>
                <w:szCs w:val="20"/>
                <w:color w:val="auto"/>
              </w:rPr>
            </w:pPr>
          </w:p>
        </w:tc>
        <w:tc>
          <w:tcPr>
            <w:tcW w:w="660" w:type="dxa"/>
            <w:vAlign w:val="bottom"/>
            <w:tcBorders>
              <w:bottom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20" w:type="dxa"/>
            <w:vAlign w:val="bottom"/>
            <w:tcBorders>
              <w:bottom w:val="single" w:sz="8" w:color="DBDBDB"/>
            </w:tcBorders>
            <w:shd w:val="clear" w:color="auto" w:fill="DBDBDB"/>
          </w:tcPr>
          <w:p>
            <w:pPr>
              <w:spacing w:after="0"/>
              <w:rPr>
                <w:sz w:val="20"/>
                <w:szCs w:val="20"/>
                <w:color w:val="auto"/>
              </w:rPr>
            </w:pPr>
          </w:p>
        </w:tc>
        <w:tc>
          <w:tcPr>
            <w:tcW w:w="46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400" w:type="dxa"/>
            <w:vAlign w:val="bottom"/>
            <w:tcBorders>
              <w:bottom w:val="single" w:sz="8" w:color="DBDBDB"/>
            </w:tcBorders>
            <w:shd w:val="clear" w:color="auto" w:fill="DBDBDB"/>
          </w:tcPr>
          <w:p>
            <w:pPr>
              <w:spacing w:after="0"/>
              <w:rPr>
                <w:sz w:val="20"/>
                <w:szCs w:val="20"/>
                <w:color w:val="auto"/>
              </w:rPr>
            </w:pP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20"/>
                <w:szCs w:val="20"/>
                <w:color w:val="auto"/>
              </w:rPr>
            </w:pPr>
          </w:p>
        </w:tc>
        <w:tc>
          <w:tcPr>
            <w:tcW w:w="160" w:type="dxa"/>
            <w:vAlign w:val="bottom"/>
            <w:tcBorders>
              <w:bottom w:val="single" w:sz="8" w:color="DBDBDB"/>
            </w:tcBorders>
            <w:shd w:val="clear" w:color="auto" w:fill="DBDBDB"/>
          </w:tcPr>
          <w:p>
            <w:pPr>
              <w:spacing w:after="0"/>
              <w:rPr>
                <w:sz w:val="20"/>
                <w:szCs w:val="20"/>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6,788</w:t>
            </w:r>
          </w:p>
        </w:tc>
        <w:tc>
          <w:tcPr>
            <w:tcW w:w="8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3,110</w:t>
            </w:r>
          </w:p>
        </w:tc>
        <w:tc>
          <w:tcPr>
            <w:tcW w:w="80" w:type="dxa"/>
            <w:vAlign w:val="bottom"/>
            <w:tcBorders>
              <w:bottom w:val="single" w:sz="8" w:color="DBDBDB"/>
            </w:tcBorders>
            <w:shd w:val="clear" w:color="auto" w:fill="DBDBDB"/>
          </w:tcPr>
          <w:p>
            <w:pPr>
              <w:spacing w:after="0"/>
              <w:rPr>
                <w:sz w:val="20"/>
                <w:szCs w:val="20"/>
                <w:color w:val="auto"/>
              </w:rPr>
            </w:pPr>
          </w:p>
        </w:tc>
        <w:tc>
          <w:tcPr>
            <w:tcW w:w="200" w:type="dxa"/>
            <w:vAlign w:val="bottom"/>
            <w:tcBorders>
              <w:bottom w:val="single" w:sz="8" w:color="DBDBDB"/>
            </w:tcBorders>
            <w:shd w:val="clear" w:color="auto" w:fill="DBDBDB"/>
          </w:tcPr>
          <w:p>
            <w:pPr>
              <w:spacing w:after="0"/>
              <w:rPr>
                <w:sz w:val="20"/>
                <w:szCs w:val="20"/>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9,898</w:t>
            </w:r>
          </w:p>
        </w:tc>
        <w:tc>
          <w:tcPr>
            <w:tcW w:w="0" w:type="dxa"/>
            <w:vAlign w:val="bottom"/>
          </w:tcPr>
          <w:p>
            <w:pPr>
              <w:spacing w:after="0"/>
              <w:rPr>
                <w:sz w:val="1"/>
                <w:szCs w:val="1"/>
                <w:color w:val="auto"/>
              </w:rPr>
            </w:pPr>
          </w:p>
        </w:tc>
      </w:tr>
      <w:tr>
        <w:trPr>
          <w:trHeight w:val="233"/>
        </w:trPr>
        <w:tc>
          <w:tcPr>
            <w:tcW w:w="3020" w:type="dxa"/>
            <w:vAlign w:val="bottom"/>
          </w:tcPr>
          <w:p>
            <w:pPr>
              <w:ind w:left="120"/>
              <w:spacing w:after="0"/>
              <w:rPr>
                <w:sz w:val="20"/>
                <w:szCs w:val="20"/>
                <w:color w:val="auto"/>
              </w:rPr>
            </w:pPr>
            <w:r>
              <w:rPr>
                <w:rFonts w:ascii="Arial" w:cs="Arial" w:eastAsia="Arial" w:hAnsi="Arial"/>
                <w:sz w:val="16"/>
                <w:szCs w:val="16"/>
                <w:color w:val="auto"/>
              </w:rPr>
              <w:t>Equity-based compensation</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3,146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4,183</w:t>
            </w:r>
          </w:p>
        </w:tc>
        <w:tc>
          <w:tcPr>
            <w:tcW w:w="0" w:type="dxa"/>
            <w:vAlign w:val="bottom"/>
          </w:tcPr>
          <w:p>
            <w:pPr>
              <w:spacing w:after="0"/>
              <w:rPr>
                <w:sz w:val="1"/>
                <w:szCs w:val="1"/>
                <w:color w:val="auto"/>
              </w:rPr>
            </w:pPr>
          </w:p>
        </w:tc>
      </w:tr>
      <w:tr>
        <w:trPr>
          <w:trHeight w:val="229"/>
        </w:trPr>
        <w:tc>
          <w:tcPr>
            <w:tcW w:w="30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Activity under equity-based</w:t>
            </w: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compensation plans</w:t>
            </w:r>
          </w:p>
        </w:tc>
        <w:tc>
          <w:tcPr>
            <w:tcW w:w="980" w:type="dxa"/>
            <w:vAlign w:val="bottom"/>
            <w:gridSpan w:val="5"/>
            <w:shd w:val="clear" w:color="auto" w:fill="DBDBDB"/>
          </w:tcPr>
          <w:p>
            <w:pPr>
              <w:jc w:val="right"/>
              <w:spacing w:after="0"/>
              <w:rPr>
                <w:sz w:val="20"/>
                <w:szCs w:val="20"/>
                <w:color w:val="auto"/>
              </w:rPr>
            </w:pPr>
            <w:r>
              <w:rPr>
                <w:rFonts w:ascii="Arial" w:cs="Arial" w:eastAsia="Arial" w:hAnsi="Arial"/>
                <w:sz w:val="16"/>
                <w:szCs w:val="16"/>
                <w:color w:val="auto"/>
              </w:rPr>
              <w:t>135,406</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2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577</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33"/>
        </w:trPr>
        <w:tc>
          <w:tcPr>
            <w:tcW w:w="3020" w:type="dxa"/>
            <w:vAlign w:val="bottom"/>
          </w:tcPr>
          <w:p>
            <w:pPr>
              <w:ind w:left="120"/>
              <w:spacing w:after="0"/>
              <w:rPr>
                <w:sz w:val="20"/>
                <w:szCs w:val="20"/>
                <w:color w:val="auto"/>
              </w:rPr>
            </w:pPr>
            <w:r>
              <w:rPr>
                <w:rFonts w:ascii="Arial" w:cs="Arial" w:eastAsia="Arial" w:hAnsi="Arial"/>
                <w:sz w:val="16"/>
                <w:szCs w:val="16"/>
                <w:color w:val="auto"/>
              </w:rPr>
              <w:t>Redemption of LLC Interests</w:t>
            </w: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470,636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5</w:t>
            </w:r>
          </w:p>
        </w:tc>
        <w:tc>
          <w:tcPr>
            <w:tcW w:w="980" w:type="dxa"/>
            <w:vAlign w:val="bottom"/>
            <w:gridSpan w:val="4"/>
          </w:tcPr>
          <w:p>
            <w:pPr>
              <w:jc w:val="right"/>
              <w:ind w:right="20"/>
              <w:spacing w:after="0"/>
              <w:rPr>
                <w:sz w:val="20"/>
                <w:szCs w:val="20"/>
                <w:color w:val="auto"/>
              </w:rPr>
            </w:pPr>
            <w:r>
              <w:rPr>
                <w:rFonts w:ascii="Arial" w:cs="Arial" w:eastAsia="Arial" w:hAnsi="Arial"/>
                <w:sz w:val="16"/>
                <w:szCs w:val="16"/>
                <w:color w:val="auto"/>
              </w:rPr>
              <w:t>(470,636)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30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Non-controlling interest adjustment</w:t>
            </w:r>
          </w:p>
        </w:tc>
        <w:tc>
          <w:tcPr>
            <w:tcW w:w="80" w:type="dxa"/>
            <w:vAlign w:val="bottom"/>
            <w:shd w:val="clear" w:color="auto" w:fill="DBDBDB"/>
          </w:tcPr>
          <w:p>
            <w:pPr>
              <w:spacing w:after="0"/>
              <w:rPr>
                <w:sz w:val="24"/>
                <w:szCs w:val="24"/>
                <w:color w:val="auto"/>
              </w:rPr>
            </w:pPr>
          </w:p>
        </w:tc>
        <w:tc>
          <w:tcPr>
            <w:tcW w:w="240" w:type="dxa"/>
            <w:vAlign w:val="bottom"/>
            <w:shd w:val="clear" w:color="auto" w:fill="DBDBDB"/>
          </w:tcPr>
          <w:p>
            <w:pPr>
              <w:spacing w:after="0"/>
              <w:rPr>
                <w:sz w:val="24"/>
                <w:szCs w:val="24"/>
                <w:color w:val="auto"/>
              </w:rPr>
            </w:pPr>
          </w:p>
        </w:tc>
        <w:tc>
          <w:tcPr>
            <w:tcW w:w="360" w:type="dxa"/>
            <w:vAlign w:val="bottom"/>
            <w:shd w:val="clear" w:color="auto" w:fill="DBDBDB"/>
          </w:tcPr>
          <w:p>
            <w:pPr>
              <w:spacing w:after="0"/>
              <w:rPr>
                <w:sz w:val="24"/>
                <w:szCs w:val="24"/>
                <w:color w:val="auto"/>
              </w:rPr>
            </w:pPr>
          </w:p>
        </w:tc>
        <w:tc>
          <w:tcPr>
            <w:tcW w:w="3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7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24"/>
                <w:szCs w:val="24"/>
                <w:color w:val="auto"/>
              </w:rPr>
            </w:pPr>
          </w:p>
        </w:tc>
        <w:tc>
          <w:tcPr>
            <w:tcW w:w="240" w:type="dxa"/>
            <w:vAlign w:val="bottom"/>
            <w:shd w:val="clear" w:color="auto" w:fill="DBDBDB"/>
          </w:tcPr>
          <w:p>
            <w:pPr>
              <w:spacing w:after="0"/>
              <w:rPr>
                <w:sz w:val="24"/>
                <w:szCs w:val="24"/>
                <w:color w:val="auto"/>
              </w:rPr>
            </w:pPr>
          </w:p>
        </w:tc>
        <w:tc>
          <w:tcPr>
            <w:tcW w:w="66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7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7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4,109</w:t>
            </w:r>
          </w:p>
        </w:tc>
        <w:tc>
          <w:tcPr>
            <w:tcW w:w="80" w:type="dxa"/>
            <w:vAlign w:val="bottom"/>
            <w:shd w:val="clear" w:color="auto" w:fill="DBDBDB"/>
          </w:tcPr>
          <w:p>
            <w:pPr>
              <w:spacing w:after="0"/>
              <w:rPr>
                <w:sz w:val="24"/>
                <w:szCs w:val="24"/>
                <w:color w:val="auto"/>
              </w:rPr>
            </w:pPr>
          </w:p>
        </w:tc>
        <w:tc>
          <w:tcPr>
            <w:tcW w:w="160" w:type="dxa"/>
            <w:vAlign w:val="bottom"/>
            <w:shd w:val="clear" w:color="auto" w:fill="DBDBDB"/>
          </w:tcPr>
          <w:p>
            <w:pPr>
              <w:spacing w:after="0"/>
              <w:rPr>
                <w:sz w:val="24"/>
                <w:szCs w:val="24"/>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(4,109)</w:t>
            </w:r>
          </w:p>
        </w:tc>
        <w:tc>
          <w:tcPr>
            <w:tcW w:w="80" w:type="dxa"/>
            <w:vAlign w:val="bottom"/>
            <w:shd w:val="clear" w:color="auto" w:fill="DBDBDB"/>
          </w:tcPr>
          <w:p>
            <w:pPr>
              <w:spacing w:after="0"/>
              <w:rPr>
                <w:sz w:val="24"/>
                <w:szCs w:val="24"/>
                <w:color w:val="auto"/>
              </w:rPr>
            </w:pPr>
          </w:p>
        </w:tc>
        <w:tc>
          <w:tcPr>
            <w:tcW w:w="200" w:type="dxa"/>
            <w:vAlign w:val="bottom"/>
            <w:shd w:val="clear" w:color="auto" w:fill="DBDBDB"/>
          </w:tcPr>
          <w:p>
            <w:pPr>
              <w:spacing w:after="0"/>
              <w:rPr>
                <w:sz w:val="24"/>
                <w:szCs w:val="24"/>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3020" w:type="dxa"/>
            <w:vAlign w:val="bottom"/>
          </w:tcPr>
          <w:p>
            <w:pPr>
              <w:ind w:left="120"/>
              <w:spacing w:after="0"/>
              <w:rPr>
                <w:sz w:val="20"/>
                <w:szCs w:val="20"/>
                <w:color w:val="auto"/>
              </w:rPr>
            </w:pPr>
            <w:r>
              <w:rPr>
                <w:rFonts w:ascii="Arial" w:cs="Arial" w:eastAsia="Arial" w:hAnsi="Arial"/>
                <w:sz w:val="16"/>
                <w:szCs w:val="16"/>
                <w:color w:val="auto"/>
              </w:rPr>
              <w:t>Establishment of liabilities under Tax</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020" w:type="dxa"/>
            <w:vAlign w:val="bottom"/>
          </w:tcPr>
          <w:p>
            <w:pPr>
              <w:ind w:left="120"/>
              <w:spacing w:after="0"/>
              <w:rPr>
                <w:sz w:val="20"/>
                <w:szCs w:val="20"/>
                <w:color w:val="auto"/>
              </w:rPr>
            </w:pPr>
            <w:r>
              <w:rPr>
                <w:rFonts w:ascii="Arial" w:cs="Arial" w:eastAsia="Arial" w:hAnsi="Arial"/>
                <w:sz w:val="16"/>
                <w:szCs w:val="16"/>
                <w:color w:val="auto"/>
              </w:rPr>
              <w:t>Receivable Agreement and related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20" w:type="dxa"/>
            <w:vAlign w:val="bottom"/>
          </w:tcPr>
          <w:p>
            <w:pPr>
              <w:ind w:left="120"/>
              <w:spacing w:after="0"/>
              <w:rPr>
                <w:sz w:val="20"/>
                <w:szCs w:val="20"/>
                <w:color w:val="auto"/>
              </w:rPr>
            </w:pPr>
            <w:r>
              <w:rPr>
                <w:rFonts w:ascii="Arial" w:cs="Arial" w:eastAsia="Arial" w:hAnsi="Arial"/>
                <w:sz w:val="16"/>
                <w:szCs w:val="16"/>
                <w:color w:val="auto"/>
              </w:rPr>
              <w:t>changes to deferred tax assets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13"/>
        </w:trPr>
        <w:tc>
          <w:tcPr>
            <w:tcW w:w="3020" w:type="dxa"/>
            <w:vAlign w:val="bottom"/>
          </w:tcPr>
          <w:p>
            <w:pPr>
              <w:ind w:left="120"/>
              <w:spacing w:after="0"/>
              <w:rPr>
                <w:sz w:val="20"/>
                <w:szCs w:val="20"/>
                <w:color w:val="auto"/>
              </w:rPr>
            </w:pPr>
            <w:r>
              <w:rPr>
                <w:rFonts w:ascii="Arial" w:cs="Arial" w:eastAsia="Arial" w:hAnsi="Arial"/>
                <w:sz w:val="16"/>
                <w:szCs w:val="16"/>
                <w:color w:val="auto"/>
              </w:rPr>
              <w:t>associated with increases in tax basis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(1,189)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30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Balance at June 25, 2023</w:t>
            </w:r>
          </w:p>
        </w:tc>
        <w:tc>
          <w:tcPr>
            <w:tcW w:w="980" w:type="dxa"/>
            <w:vAlign w:val="bottom"/>
            <w:gridSpan w:val="5"/>
            <w:shd w:val="clear" w:color="auto" w:fill="DBDBDB"/>
          </w:tcPr>
          <w:p>
            <w:pPr>
              <w:jc w:val="right"/>
              <w:spacing w:after="0"/>
              <w:rPr>
                <w:sz w:val="20"/>
                <w:szCs w:val="20"/>
                <w:color w:val="auto"/>
              </w:rPr>
            </w:pPr>
            <w:r>
              <w:rPr>
                <w:rFonts w:ascii="Arial" w:cs="Arial" w:eastAsia="Arial" w:hAnsi="Arial"/>
                <w:sz w:val="16"/>
                <w:szCs w:val="16"/>
                <w:color w:val="auto"/>
              </w:rPr>
              <w:t>55,073,993</w:t>
            </w: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551</w:t>
            </w:r>
          </w:p>
        </w:tc>
        <w:tc>
          <w:tcPr>
            <w:tcW w:w="980" w:type="dxa"/>
            <w:vAlign w:val="bottom"/>
            <w:gridSpan w:val="4"/>
            <w:shd w:val="clear" w:color="auto" w:fill="DBDBDB"/>
          </w:tcPr>
          <w:p>
            <w:pPr>
              <w:jc w:val="right"/>
              <w:ind w:right="80"/>
              <w:spacing w:after="0"/>
              <w:rPr>
                <w:sz w:val="20"/>
                <w:szCs w:val="20"/>
                <w:color w:val="auto"/>
              </w:rPr>
            </w:pPr>
            <w:r>
              <w:rPr>
                <w:rFonts w:ascii="Arial" w:cs="Arial" w:eastAsia="Arial" w:hAnsi="Arial"/>
                <w:sz w:val="16"/>
                <w:szCs w:val="16"/>
                <w:color w:val="auto"/>
              </w:rPr>
              <w:t>17,472,926</w:t>
            </w:r>
          </w:p>
        </w:tc>
        <w:tc>
          <w:tcPr>
            <w:tcW w:w="20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7"/>
              </w:rPr>
              <w:t>—</w:t>
            </w:r>
          </w:p>
        </w:tc>
        <w:tc>
          <w:tcPr>
            <w:tcW w:w="220" w:type="dxa"/>
            <w:vAlign w:val="bottom"/>
            <w:gridSpan w:val="2"/>
            <w:shd w:val="clear" w:color="auto" w:fill="DBDBDB"/>
          </w:tcPr>
          <w:p>
            <w:pPr>
              <w:ind w:left="10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301,622</w:t>
            </w: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1,462</w:t>
            </w:r>
          </w:p>
        </w:tc>
        <w:tc>
          <w:tcPr>
            <w:tcW w:w="220" w:type="dxa"/>
            <w:vAlign w:val="bottom"/>
            <w:gridSpan w:val="2"/>
            <w:shd w:val="clear" w:color="auto" w:fill="DBDBDB"/>
          </w:tcPr>
          <w:p>
            <w:pPr>
              <w:ind w:lef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132,821</w:t>
            </w:r>
          </w:p>
        </w:tc>
        <w:tc>
          <w:tcPr>
            <w:tcW w:w="280" w:type="dxa"/>
            <w:vAlign w:val="bottom"/>
            <w:gridSpan w:val="2"/>
            <w:shd w:val="clear" w:color="auto" w:fill="DBDBDB"/>
          </w:tcPr>
          <w:p>
            <w:pPr>
              <w:ind w:lef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436,456</w:t>
            </w:r>
          </w:p>
        </w:tc>
        <w:tc>
          <w:tcPr>
            <w:tcW w:w="0" w:type="dxa"/>
            <w:vAlign w:val="bottom"/>
          </w:tcPr>
          <w:p>
            <w:pPr>
              <w:spacing w:after="0"/>
              <w:rPr>
                <w:sz w:val="1"/>
                <w:szCs w:val="1"/>
                <w:color w:val="auto"/>
              </w:rPr>
            </w:pPr>
          </w:p>
        </w:tc>
      </w:tr>
      <w:tr>
        <w:trPr>
          <w:trHeight w:val="20"/>
        </w:trPr>
        <w:tc>
          <w:tcPr>
            <w:tcW w:w="3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PORTILLO'S INC.</w:t>
      </w:r>
    </w:p>
    <w:p>
      <w:pPr>
        <w:spacing w:after="0" w:line="25" w:lineRule="exact"/>
        <w:rPr>
          <w:sz w:val="20"/>
          <w:szCs w:val="20"/>
          <w:color w:val="auto"/>
        </w:rPr>
      </w:pPr>
    </w:p>
    <w:p>
      <w:pPr>
        <w:ind w:right="5400"/>
        <w:spacing w:after="0" w:line="255" w:lineRule="auto"/>
        <w:rPr>
          <w:sz w:val="20"/>
          <w:szCs w:val="20"/>
          <w:color w:val="auto"/>
        </w:rPr>
      </w:pPr>
      <w:r>
        <w:rPr>
          <w:rFonts w:ascii="Arial" w:cs="Arial" w:eastAsia="Arial" w:hAnsi="Arial"/>
          <w:sz w:val="16"/>
          <w:szCs w:val="16"/>
          <w:b w:val="1"/>
          <w:bCs w:val="1"/>
          <w:color w:val="auto"/>
        </w:rPr>
        <w:t>CONDENSED CONSOLIDATED STATEMENTS OF STOCKHOLDERS' EQUITY (UNAUDITED)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00" w:type="dxa"/>
            <w:vAlign w:val="bottom"/>
            <w:tcBorders>
              <w:bottom w:val="single" w:sz="8" w:color="auto"/>
            </w:tcBorders>
            <w:gridSpan w:val="19"/>
          </w:tcPr>
          <w:p>
            <w:pPr>
              <w:jc w:val="right"/>
              <w:spacing w:after="0"/>
              <w:rPr>
                <w:sz w:val="20"/>
                <w:szCs w:val="20"/>
                <w:color w:val="auto"/>
              </w:rPr>
            </w:pPr>
            <w:r>
              <w:rPr>
                <w:rFonts w:ascii="Arial" w:cs="Arial" w:eastAsia="Arial" w:hAnsi="Arial"/>
                <w:sz w:val="16"/>
                <w:szCs w:val="16"/>
                <w:b w:val="1"/>
                <w:bCs w:val="1"/>
                <w:color w:val="auto"/>
              </w:rPr>
              <w:t>Two Quarters Ended June 25, 2023 and June 26, 2022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3"/>
        </w:trPr>
        <w:tc>
          <w:tcPr>
            <w:tcW w:w="3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8"/>
          </w:tcPr>
          <w:p>
            <w:pPr>
              <w:jc w:val="center"/>
              <w:ind w:right="179"/>
              <w:spacing w:after="0"/>
              <w:rPr>
                <w:sz w:val="20"/>
                <w:szCs w:val="20"/>
                <w:color w:val="auto"/>
              </w:rPr>
            </w:pPr>
            <w:r>
              <w:rPr>
                <w:rFonts w:ascii="Arial" w:cs="Arial" w:eastAsia="Arial" w:hAnsi="Arial"/>
                <w:sz w:val="16"/>
                <w:szCs w:val="16"/>
                <w:b w:val="1"/>
                <w:bCs w:val="1"/>
                <w:color w:val="auto"/>
                <w:w w:val="99"/>
              </w:rPr>
              <w:t>Class A Common</w:t>
            </w:r>
          </w:p>
        </w:tc>
        <w:tc>
          <w:tcPr>
            <w:tcW w:w="80" w:type="dxa"/>
            <w:vAlign w:val="bottom"/>
          </w:tcPr>
          <w:p>
            <w:pPr>
              <w:spacing w:after="0"/>
              <w:rPr>
                <w:sz w:val="19"/>
                <w:szCs w:val="19"/>
                <w:color w:val="auto"/>
              </w:rPr>
            </w:pPr>
          </w:p>
        </w:tc>
        <w:tc>
          <w:tcPr>
            <w:tcW w:w="1820" w:type="dxa"/>
            <w:vAlign w:val="bottom"/>
            <w:gridSpan w:val="8"/>
          </w:tcPr>
          <w:p>
            <w:pPr>
              <w:jc w:val="center"/>
              <w:spacing w:after="0"/>
              <w:rPr>
                <w:sz w:val="20"/>
                <w:szCs w:val="20"/>
                <w:color w:val="auto"/>
              </w:rPr>
            </w:pPr>
            <w:r>
              <w:rPr>
                <w:rFonts w:ascii="Arial" w:cs="Arial" w:eastAsia="Arial" w:hAnsi="Arial"/>
                <w:sz w:val="16"/>
                <w:szCs w:val="16"/>
                <w:b w:val="1"/>
                <w:bCs w:val="1"/>
                <w:color w:val="auto"/>
              </w:rPr>
              <w:t>Class B Common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83"/>
        </w:trPr>
        <w:tc>
          <w:tcPr>
            <w:tcW w:w="3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5"/>
          </w:tcPr>
          <w:p>
            <w:pPr>
              <w:jc w:val="center"/>
              <w:ind w:right="440"/>
              <w:spacing w:after="0" w:line="183" w:lineRule="exact"/>
              <w:rPr>
                <w:sz w:val="20"/>
                <w:szCs w:val="20"/>
                <w:color w:val="auto"/>
              </w:rPr>
            </w:pPr>
            <w:r>
              <w:rPr>
                <w:rFonts w:ascii="Arial" w:cs="Arial" w:eastAsia="Arial" w:hAnsi="Arial"/>
                <w:sz w:val="16"/>
                <w:szCs w:val="16"/>
                <w:b w:val="1"/>
                <w:bCs w:val="1"/>
                <w:color w:val="auto"/>
              </w:rPr>
              <w:t>Stock</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Borders>
              <w:top w:val="single" w:sz="8" w:color="auto"/>
            </w:tcBorders>
            <w:gridSpan w:val="6"/>
          </w:tcPr>
          <w:p>
            <w:pPr>
              <w:jc w:val="center"/>
              <w:ind w:right="20"/>
              <w:spacing w:after="0" w:line="183" w:lineRule="exact"/>
              <w:rPr>
                <w:sz w:val="20"/>
                <w:szCs w:val="20"/>
                <w:color w:val="auto"/>
              </w:rPr>
            </w:pPr>
            <w:r>
              <w:rPr>
                <w:rFonts w:ascii="Arial" w:cs="Arial" w:eastAsia="Arial" w:hAnsi="Arial"/>
                <w:sz w:val="16"/>
                <w:szCs w:val="16"/>
                <w:b w:val="1"/>
                <w:bCs w:val="1"/>
                <w:color w:val="auto"/>
              </w:rPr>
              <w:t>Stock</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5"/>
        </w:trPr>
        <w:tc>
          <w:tcPr>
            <w:tcW w:w="3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rPr>
              <w:t>Retained</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189"/>
        </w:trPr>
        <w:tc>
          <w:tcPr>
            <w:tcW w:w="3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ind w:left="40"/>
              <w:spacing w:after="0"/>
              <w:rPr>
                <w:sz w:val="20"/>
                <w:szCs w:val="20"/>
                <w:color w:val="auto"/>
              </w:rPr>
            </w:pPr>
            <w:r>
              <w:rPr>
                <w:rFonts w:ascii="Arial" w:cs="Arial" w:eastAsia="Arial" w:hAnsi="Arial"/>
                <w:sz w:val="16"/>
                <w:szCs w:val="16"/>
                <w:b w:val="1"/>
                <w:bCs w:val="1"/>
                <w:color w:val="auto"/>
              </w:rPr>
              <w:t>Additional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rPr>
              <w:t>Earnings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b w:val="1"/>
                <w:bCs w:val="1"/>
                <w:color w:val="auto"/>
              </w:rPr>
              <w:t>Non-</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189"/>
        </w:trPr>
        <w:tc>
          <w:tcPr>
            <w:tcW w:w="3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Controlling</w:t>
            </w:r>
          </w:p>
        </w:tc>
        <w:tc>
          <w:tcPr>
            <w:tcW w:w="8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Stockholders'</w:t>
            </w:r>
          </w:p>
        </w:tc>
      </w:tr>
      <w:tr>
        <w:trPr>
          <w:trHeight w:val="227"/>
        </w:trPr>
        <w:tc>
          <w:tcPr>
            <w:tcW w:w="3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Capital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Deficit)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b w:val="1"/>
                <w:bCs w:val="1"/>
                <w:color w:val="auto"/>
              </w:rPr>
              <w:t>Interest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b w:val="1"/>
                <w:bCs w:val="1"/>
                <w:color w:val="auto"/>
              </w:rPr>
              <w:t>Equity</w:t>
            </w:r>
          </w:p>
        </w:tc>
      </w:tr>
      <w:tr>
        <w:trPr>
          <w:trHeight w:val="21"/>
        </w:trPr>
        <w:tc>
          <w:tcPr>
            <w:tcW w:w="3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30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Balance at December 26, 2021</w:t>
            </w:r>
          </w:p>
        </w:tc>
        <w:tc>
          <w:tcPr>
            <w:tcW w:w="980" w:type="dxa"/>
            <w:vAlign w:val="bottom"/>
            <w:gridSpan w:val="5"/>
            <w:shd w:val="clear" w:color="auto" w:fill="DBDBDB"/>
          </w:tcPr>
          <w:p>
            <w:pPr>
              <w:jc w:val="right"/>
              <w:spacing w:after="0"/>
              <w:rPr>
                <w:sz w:val="20"/>
                <w:szCs w:val="20"/>
                <w:color w:val="auto"/>
              </w:rPr>
            </w:pPr>
            <w:r>
              <w:rPr>
                <w:rFonts w:ascii="Arial" w:cs="Arial" w:eastAsia="Arial" w:hAnsi="Arial"/>
                <w:sz w:val="16"/>
                <w:szCs w:val="16"/>
                <w:color w:val="auto"/>
              </w:rPr>
              <w:t>35,807,171</w:t>
            </w: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358</w:t>
            </w:r>
          </w:p>
        </w:tc>
        <w:tc>
          <w:tcPr>
            <w:tcW w:w="980" w:type="dxa"/>
            <w:vAlign w:val="bottom"/>
            <w:gridSpan w:val="4"/>
            <w:shd w:val="clear" w:color="auto" w:fill="DBDBDB"/>
          </w:tcPr>
          <w:p>
            <w:pPr>
              <w:jc w:val="right"/>
              <w:ind w:right="80"/>
              <w:spacing w:after="0"/>
              <w:rPr>
                <w:sz w:val="20"/>
                <w:szCs w:val="20"/>
                <w:color w:val="auto"/>
              </w:rPr>
            </w:pPr>
            <w:r>
              <w:rPr>
                <w:rFonts w:ascii="Arial" w:cs="Arial" w:eastAsia="Arial" w:hAnsi="Arial"/>
                <w:sz w:val="16"/>
                <w:szCs w:val="16"/>
                <w:color w:val="auto"/>
              </w:rPr>
              <w:t>35,673,321</w:t>
            </w:r>
          </w:p>
        </w:tc>
        <w:tc>
          <w:tcPr>
            <w:tcW w:w="20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DBDBDB"/>
          </w:tcPr>
          <w:p>
            <w:pPr>
              <w:ind w:left="10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186,856</w:t>
            </w: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(15,950)</w:t>
            </w:r>
          </w:p>
        </w:tc>
        <w:tc>
          <w:tcPr>
            <w:tcW w:w="220" w:type="dxa"/>
            <w:vAlign w:val="bottom"/>
            <w:gridSpan w:val="2"/>
            <w:shd w:val="clear" w:color="auto" w:fill="DBDBDB"/>
          </w:tcPr>
          <w:p>
            <w:pPr>
              <w:ind w:lef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252,142</w:t>
            </w:r>
          </w:p>
        </w:tc>
        <w:tc>
          <w:tcPr>
            <w:tcW w:w="280" w:type="dxa"/>
            <w:vAlign w:val="bottom"/>
            <w:gridSpan w:val="2"/>
            <w:shd w:val="clear" w:color="auto" w:fill="DBDBDB"/>
          </w:tcPr>
          <w:p>
            <w:pPr>
              <w:ind w:lef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423,406</w:t>
            </w:r>
          </w:p>
        </w:tc>
      </w:tr>
      <w:tr>
        <w:trPr>
          <w:trHeight w:val="223"/>
        </w:trPr>
        <w:tc>
          <w:tcPr>
            <w:tcW w:w="30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11,306</w:t>
            </w:r>
          </w:p>
        </w:tc>
      </w:tr>
      <w:tr>
        <w:trPr>
          <w:trHeight w:val="33"/>
        </w:trPr>
        <w:tc>
          <w:tcPr>
            <w:tcW w:w="3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30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Equity-based compensation</w:t>
            </w:r>
          </w:p>
        </w:tc>
        <w:tc>
          <w:tcPr>
            <w:tcW w:w="8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4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66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4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3,837</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3,812</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7,649</w:t>
            </w:r>
          </w:p>
        </w:tc>
      </w:tr>
      <w:tr>
        <w:trPr>
          <w:trHeight w:val="206"/>
        </w:trPr>
        <w:tc>
          <w:tcPr>
            <w:tcW w:w="3020" w:type="dxa"/>
            <w:vAlign w:val="bottom"/>
          </w:tcPr>
          <w:p>
            <w:pPr>
              <w:ind w:left="120"/>
              <w:spacing w:after="0"/>
              <w:rPr>
                <w:sz w:val="20"/>
                <w:szCs w:val="20"/>
                <w:color w:val="auto"/>
              </w:rPr>
            </w:pPr>
            <w:r>
              <w:rPr>
                <w:rFonts w:ascii="Arial" w:cs="Arial" w:eastAsia="Arial" w:hAnsi="Arial"/>
                <w:sz w:val="16"/>
                <w:szCs w:val="16"/>
                <w:color w:val="auto"/>
              </w:rPr>
              <w:t>Activity under equity-based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3020" w:type="dxa"/>
            <w:vAlign w:val="bottom"/>
          </w:tcPr>
          <w:p>
            <w:pPr>
              <w:ind w:left="120"/>
              <w:spacing w:after="0"/>
              <w:rPr>
                <w:sz w:val="20"/>
                <w:szCs w:val="20"/>
                <w:color w:val="auto"/>
              </w:rPr>
            </w:pPr>
            <w:r>
              <w:rPr>
                <w:rFonts w:ascii="Arial" w:cs="Arial" w:eastAsia="Arial" w:hAnsi="Arial"/>
                <w:sz w:val="16"/>
                <w:szCs w:val="16"/>
                <w:color w:val="auto"/>
              </w:rPr>
              <w:t>compensation plans</w:t>
            </w: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411,184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1,447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1,451</w:t>
            </w:r>
          </w:p>
        </w:tc>
      </w:tr>
      <w:tr>
        <w:trPr>
          <w:trHeight w:val="33"/>
        </w:trPr>
        <w:tc>
          <w:tcPr>
            <w:tcW w:w="3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3020" w:type="dxa"/>
            <w:vAlign w:val="bottom"/>
            <w:tcBorders>
              <w:bottom w:val="single" w:sz="8" w:color="auto"/>
            </w:tcBorders>
            <w:shd w:val="clear" w:color="auto" w:fill="DBDBDB"/>
          </w:tcPr>
          <w:p>
            <w:pPr>
              <w:ind w:left="120"/>
              <w:spacing w:after="0"/>
              <w:rPr>
                <w:sz w:val="20"/>
                <w:szCs w:val="20"/>
                <w:color w:val="auto"/>
              </w:rPr>
            </w:pPr>
            <w:r>
              <w:rPr>
                <w:rFonts w:ascii="Arial" w:cs="Arial" w:eastAsia="Arial" w:hAnsi="Arial"/>
                <w:sz w:val="16"/>
                <w:szCs w:val="16"/>
                <w:color w:val="auto"/>
              </w:rPr>
              <w:t>Non-controlling interest adjustment</w:t>
            </w:r>
          </w:p>
        </w:tc>
        <w:tc>
          <w:tcPr>
            <w:tcW w:w="80" w:type="dxa"/>
            <w:vAlign w:val="bottom"/>
            <w:tcBorders>
              <w:bottom w:val="single" w:sz="8" w:color="auto"/>
            </w:tcBorders>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4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20" w:type="dxa"/>
            <w:vAlign w:val="bottom"/>
            <w:tcBorders>
              <w:bottom w:val="single" w:sz="8" w:color="auto"/>
            </w:tcBorders>
            <w:shd w:val="clear" w:color="auto" w:fill="DBDBDB"/>
          </w:tcPr>
          <w:p>
            <w:pPr>
              <w:spacing w:after="0"/>
              <w:rPr>
                <w:sz w:val="20"/>
                <w:szCs w:val="20"/>
                <w:color w:val="auto"/>
              </w:rPr>
            </w:pPr>
          </w:p>
        </w:tc>
        <w:tc>
          <w:tcPr>
            <w:tcW w:w="440" w:type="dxa"/>
            <w:vAlign w:val="bottom"/>
            <w:tcBorders>
              <w:bottom w:val="single" w:sz="8" w:color="auto"/>
            </w:tcBorders>
            <w:shd w:val="clear" w:color="auto" w:fill="DBDBDB"/>
          </w:tcPr>
          <w:p>
            <w:pPr>
              <w:spacing w:after="0"/>
              <w:rPr>
                <w:sz w:val="20"/>
                <w:szCs w:val="20"/>
                <w:color w:val="auto"/>
              </w:rPr>
            </w:pP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20" w:type="dxa"/>
            <w:vAlign w:val="bottom"/>
            <w:tcBorders>
              <w:bottom w:val="single" w:sz="8" w:color="auto"/>
            </w:tcBorders>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74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722</w:t>
            </w:r>
          </w:p>
        </w:tc>
        <w:tc>
          <w:tcPr>
            <w:tcW w:w="80" w:type="dxa"/>
            <w:vAlign w:val="bottom"/>
            <w:tcBorders>
              <w:bottom w:val="single" w:sz="8" w:color="DBDBDB"/>
            </w:tcBorders>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spacing w:after="0"/>
              <w:rPr>
                <w:sz w:val="20"/>
                <w:szCs w:val="20"/>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(722)</w:t>
            </w:r>
          </w:p>
        </w:tc>
        <w:tc>
          <w:tcPr>
            <w:tcW w:w="80" w:type="dxa"/>
            <w:vAlign w:val="bottom"/>
            <w:tcBorders>
              <w:bottom w:val="single" w:sz="8" w:color="DBDBDB"/>
            </w:tcBorders>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Balance at June 26, 2022</w:t>
            </w: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36,218,355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362</w:t>
            </w:r>
          </w:p>
        </w:tc>
        <w:tc>
          <w:tcPr>
            <w:tcW w:w="980" w:type="dxa"/>
            <w:vAlign w:val="bottom"/>
            <w:gridSpan w:val="4"/>
          </w:tcPr>
          <w:p>
            <w:pPr>
              <w:jc w:val="right"/>
              <w:ind w:right="80"/>
              <w:spacing w:after="0"/>
              <w:rPr>
                <w:sz w:val="20"/>
                <w:szCs w:val="20"/>
                <w:color w:val="auto"/>
              </w:rPr>
            </w:pPr>
            <w:r>
              <w:rPr>
                <w:rFonts w:ascii="Arial" w:cs="Arial" w:eastAsia="Arial" w:hAnsi="Arial"/>
                <w:sz w:val="16"/>
                <w:szCs w:val="16"/>
                <w:color w:val="auto"/>
              </w:rPr>
              <w:t>35,673,321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192,862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(10,645)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261,233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443,812</w:t>
            </w:r>
          </w:p>
        </w:tc>
      </w:tr>
      <w:tr>
        <w:trPr>
          <w:trHeight w:val="267"/>
        </w:trPr>
        <w:tc>
          <w:tcPr>
            <w:tcW w:w="3020" w:type="dxa"/>
            <w:vAlign w:val="bottom"/>
            <w:tcBorders>
              <w:top w:val="single" w:sz="8" w:color="auto"/>
            </w:tcBorders>
            <w:shd w:val="clear" w:color="auto" w:fill="DBDBDB"/>
          </w:tcPr>
          <w:p>
            <w:pPr>
              <w:spacing w:after="0"/>
              <w:rPr>
                <w:sz w:val="23"/>
                <w:szCs w:val="23"/>
                <w:color w:val="auto"/>
              </w:rPr>
            </w:pPr>
          </w:p>
        </w:tc>
        <w:tc>
          <w:tcPr>
            <w:tcW w:w="80" w:type="dxa"/>
            <w:vAlign w:val="bottom"/>
            <w:tcBorders>
              <w:top w:val="single" w:sz="8" w:color="auto"/>
            </w:tcBorders>
            <w:shd w:val="clear" w:color="auto" w:fill="DBDBDB"/>
          </w:tcPr>
          <w:p>
            <w:pPr>
              <w:spacing w:after="0"/>
              <w:rPr>
                <w:sz w:val="23"/>
                <w:szCs w:val="23"/>
                <w:color w:val="auto"/>
              </w:rPr>
            </w:pPr>
          </w:p>
        </w:tc>
        <w:tc>
          <w:tcPr>
            <w:tcW w:w="240" w:type="dxa"/>
            <w:vAlign w:val="bottom"/>
            <w:tcBorders>
              <w:top w:val="single" w:sz="8" w:color="auto"/>
            </w:tcBorders>
            <w:shd w:val="clear" w:color="auto" w:fill="DBDBDB"/>
          </w:tcPr>
          <w:p>
            <w:pPr>
              <w:spacing w:after="0"/>
              <w:rPr>
                <w:sz w:val="23"/>
                <w:szCs w:val="23"/>
                <w:color w:val="auto"/>
              </w:rPr>
            </w:pPr>
          </w:p>
        </w:tc>
        <w:tc>
          <w:tcPr>
            <w:tcW w:w="180" w:type="dxa"/>
            <w:vAlign w:val="bottom"/>
            <w:tcBorders>
              <w:top w:val="single" w:sz="8" w:color="auto"/>
            </w:tcBorders>
            <w:shd w:val="clear" w:color="auto" w:fill="DBDBDB"/>
          </w:tcPr>
          <w:p>
            <w:pPr>
              <w:spacing w:after="0"/>
              <w:rPr>
                <w:sz w:val="23"/>
                <w:szCs w:val="23"/>
                <w:color w:val="auto"/>
              </w:rPr>
            </w:pPr>
          </w:p>
        </w:tc>
        <w:tc>
          <w:tcPr>
            <w:tcW w:w="260" w:type="dxa"/>
            <w:vAlign w:val="bottom"/>
            <w:tcBorders>
              <w:top w:val="single" w:sz="8" w:color="auto"/>
            </w:tcBorders>
            <w:shd w:val="clear" w:color="auto" w:fill="DBDBDB"/>
          </w:tcPr>
          <w:p>
            <w:pPr>
              <w:spacing w:after="0"/>
              <w:rPr>
                <w:sz w:val="23"/>
                <w:szCs w:val="23"/>
                <w:color w:val="auto"/>
              </w:rPr>
            </w:pPr>
          </w:p>
        </w:tc>
        <w:tc>
          <w:tcPr>
            <w:tcW w:w="220" w:type="dxa"/>
            <w:vAlign w:val="bottom"/>
            <w:tcBorders>
              <w:top w:val="single" w:sz="8" w:color="auto"/>
            </w:tcBorders>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20" w:type="dxa"/>
            <w:vAlign w:val="bottom"/>
            <w:tcBorders>
              <w:top w:val="single" w:sz="8" w:color="auto"/>
            </w:tcBorders>
            <w:shd w:val="clear" w:color="auto" w:fill="DBDBDB"/>
          </w:tcPr>
          <w:p>
            <w:pPr>
              <w:spacing w:after="0"/>
              <w:rPr>
                <w:sz w:val="23"/>
                <w:szCs w:val="23"/>
                <w:color w:val="auto"/>
              </w:rPr>
            </w:pPr>
          </w:p>
        </w:tc>
        <w:tc>
          <w:tcPr>
            <w:tcW w:w="20" w:type="dxa"/>
            <w:vAlign w:val="bottom"/>
            <w:tcBorders>
              <w:top w:val="single" w:sz="8" w:color="auto"/>
            </w:tcBorders>
            <w:shd w:val="clear" w:color="auto" w:fill="DBDBDB"/>
          </w:tcPr>
          <w:p>
            <w:pPr>
              <w:spacing w:after="0"/>
              <w:rPr>
                <w:sz w:val="23"/>
                <w:szCs w:val="23"/>
                <w:color w:val="auto"/>
              </w:rPr>
            </w:pPr>
          </w:p>
        </w:tc>
        <w:tc>
          <w:tcPr>
            <w:tcW w:w="440" w:type="dxa"/>
            <w:vAlign w:val="bottom"/>
            <w:tcBorders>
              <w:top w:val="single" w:sz="8" w:color="auto"/>
            </w:tcBorders>
            <w:shd w:val="clear" w:color="auto" w:fill="DBDBDB"/>
          </w:tcPr>
          <w:p>
            <w:pPr>
              <w:spacing w:after="0"/>
              <w:rPr>
                <w:sz w:val="23"/>
                <w:szCs w:val="23"/>
                <w:color w:val="auto"/>
              </w:rPr>
            </w:pPr>
          </w:p>
        </w:tc>
        <w:tc>
          <w:tcPr>
            <w:tcW w:w="260" w:type="dxa"/>
            <w:vAlign w:val="bottom"/>
            <w:tcBorders>
              <w:top w:val="single" w:sz="8" w:color="auto"/>
            </w:tcBorders>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240" w:type="dxa"/>
            <w:vAlign w:val="bottom"/>
            <w:tcBorders>
              <w:top w:val="single" w:sz="8" w:color="auto"/>
            </w:tcBorders>
            <w:shd w:val="clear" w:color="auto" w:fill="DBDBDB"/>
          </w:tcPr>
          <w:p>
            <w:pPr>
              <w:spacing w:after="0"/>
              <w:rPr>
                <w:sz w:val="23"/>
                <w:szCs w:val="23"/>
                <w:color w:val="auto"/>
              </w:rPr>
            </w:pPr>
          </w:p>
        </w:tc>
        <w:tc>
          <w:tcPr>
            <w:tcW w:w="440" w:type="dxa"/>
            <w:vAlign w:val="bottom"/>
            <w:tcBorders>
              <w:top w:val="single" w:sz="8" w:color="auto"/>
            </w:tcBorders>
            <w:shd w:val="clear" w:color="auto" w:fill="DBDBDB"/>
          </w:tcPr>
          <w:p>
            <w:pPr>
              <w:spacing w:after="0"/>
              <w:rPr>
                <w:sz w:val="23"/>
                <w:szCs w:val="23"/>
                <w:color w:val="auto"/>
              </w:rPr>
            </w:pPr>
          </w:p>
        </w:tc>
        <w:tc>
          <w:tcPr>
            <w:tcW w:w="220" w:type="dxa"/>
            <w:vAlign w:val="bottom"/>
            <w:tcBorders>
              <w:top w:val="single" w:sz="8" w:color="auto"/>
            </w:tcBorders>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20" w:type="dxa"/>
            <w:vAlign w:val="bottom"/>
            <w:tcBorders>
              <w:top w:val="single" w:sz="8" w:color="auto"/>
            </w:tcBorders>
            <w:shd w:val="clear" w:color="auto" w:fill="DBDBDB"/>
          </w:tcPr>
          <w:p>
            <w:pPr>
              <w:spacing w:after="0"/>
              <w:rPr>
                <w:sz w:val="23"/>
                <w:szCs w:val="23"/>
                <w:color w:val="auto"/>
              </w:rPr>
            </w:pPr>
          </w:p>
        </w:tc>
        <w:tc>
          <w:tcPr>
            <w:tcW w:w="20" w:type="dxa"/>
            <w:vAlign w:val="bottom"/>
            <w:tcBorders>
              <w:top w:val="single" w:sz="8" w:color="auto"/>
            </w:tcBorders>
            <w:shd w:val="clear" w:color="auto" w:fill="DBDBDB"/>
          </w:tcPr>
          <w:p>
            <w:pPr>
              <w:spacing w:after="0"/>
              <w:rPr>
                <w:sz w:val="23"/>
                <w:szCs w:val="23"/>
                <w:color w:val="auto"/>
              </w:rPr>
            </w:pPr>
          </w:p>
        </w:tc>
        <w:tc>
          <w:tcPr>
            <w:tcW w:w="460" w:type="dxa"/>
            <w:vAlign w:val="bottom"/>
            <w:tcBorders>
              <w:top w:val="single" w:sz="8" w:color="auto"/>
            </w:tcBorders>
            <w:shd w:val="clear" w:color="auto" w:fill="DBDBDB"/>
          </w:tcPr>
          <w:p>
            <w:pPr>
              <w:spacing w:after="0"/>
              <w:rPr>
                <w:sz w:val="23"/>
                <w:szCs w:val="23"/>
                <w:color w:val="auto"/>
              </w:rPr>
            </w:pPr>
          </w:p>
        </w:tc>
        <w:tc>
          <w:tcPr>
            <w:tcW w:w="240" w:type="dxa"/>
            <w:vAlign w:val="bottom"/>
            <w:tcBorders>
              <w:top w:val="single" w:sz="8" w:color="auto"/>
            </w:tcBorders>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40" w:type="dxa"/>
            <w:vAlign w:val="bottom"/>
            <w:tcBorders>
              <w:top w:val="single" w:sz="8" w:color="auto"/>
            </w:tcBorders>
            <w:shd w:val="clear" w:color="auto" w:fill="DBDBDB"/>
          </w:tcPr>
          <w:p>
            <w:pPr>
              <w:spacing w:after="0"/>
              <w:rPr>
                <w:sz w:val="23"/>
                <w:szCs w:val="23"/>
                <w:color w:val="auto"/>
              </w:rPr>
            </w:pPr>
          </w:p>
        </w:tc>
        <w:tc>
          <w:tcPr>
            <w:tcW w:w="580" w:type="dxa"/>
            <w:vAlign w:val="bottom"/>
            <w:tcBorders>
              <w:top w:val="single" w:sz="8" w:color="auto"/>
            </w:tcBorders>
            <w:shd w:val="clear" w:color="auto" w:fill="DBDBDB"/>
          </w:tcPr>
          <w:p>
            <w:pPr>
              <w:spacing w:after="0"/>
              <w:rPr>
                <w:sz w:val="23"/>
                <w:szCs w:val="23"/>
                <w:color w:val="auto"/>
              </w:rPr>
            </w:pPr>
          </w:p>
        </w:tc>
        <w:tc>
          <w:tcPr>
            <w:tcW w:w="160" w:type="dxa"/>
            <w:vAlign w:val="bottom"/>
            <w:tcBorders>
              <w:top w:val="single" w:sz="8" w:color="auto"/>
            </w:tcBorders>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60" w:type="dxa"/>
            <w:vAlign w:val="bottom"/>
            <w:tcBorders>
              <w:top w:val="single" w:sz="8" w:color="auto"/>
            </w:tcBorders>
            <w:shd w:val="clear" w:color="auto" w:fill="DBDBDB"/>
          </w:tcPr>
          <w:p>
            <w:pPr>
              <w:spacing w:after="0"/>
              <w:rPr>
                <w:sz w:val="23"/>
                <w:szCs w:val="23"/>
                <w:color w:val="auto"/>
              </w:rPr>
            </w:pPr>
          </w:p>
        </w:tc>
        <w:tc>
          <w:tcPr>
            <w:tcW w:w="940" w:type="dxa"/>
            <w:vAlign w:val="bottom"/>
            <w:tcBorders>
              <w:top w:val="single" w:sz="8" w:color="auto"/>
            </w:tcBorders>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40" w:type="dxa"/>
            <w:vAlign w:val="bottom"/>
            <w:tcBorders>
              <w:top w:val="single" w:sz="8" w:color="auto"/>
            </w:tcBorders>
            <w:shd w:val="clear" w:color="auto" w:fill="DBDBDB"/>
          </w:tcPr>
          <w:p>
            <w:pPr>
              <w:spacing w:after="0"/>
              <w:rPr>
                <w:sz w:val="23"/>
                <w:szCs w:val="23"/>
                <w:color w:val="auto"/>
              </w:rPr>
            </w:pPr>
          </w:p>
        </w:tc>
        <w:tc>
          <w:tcPr>
            <w:tcW w:w="780" w:type="dxa"/>
            <w:vAlign w:val="bottom"/>
            <w:tcBorders>
              <w:top w:val="single" w:sz="8" w:color="auto"/>
            </w:tcBorders>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200" w:type="dxa"/>
            <w:vAlign w:val="bottom"/>
            <w:tcBorders>
              <w:top w:val="single" w:sz="8" w:color="auto"/>
            </w:tcBorders>
            <w:shd w:val="clear" w:color="auto" w:fill="DBDBDB"/>
          </w:tcPr>
          <w:p>
            <w:pPr>
              <w:spacing w:after="0"/>
              <w:rPr>
                <w:sz w:val="23"/>
                <w:szCs w:val="23"/>
                <w:color w:val="auto"/>
              </w:rPr>
            </w:pPr>
          </w:p>
        </w:tc>
        <w:tc>
          <w:tcPr>
            <w:tcW w:w="880" w:type="dxa"/>
            <w:vAlign w:val="bottom"/>
            <w:tcBorders>
              <w:top w:val="single" w:sz="8" w:color="auto"/>
            </w:tcBorders>
            <w:shd w:val="clear" w:color="auto" w:fill="DBDBDB"/>
          </w:tcPr>
          <w:p>
            <w:pPr>
              <w:spacing w:after="0"/>
              <w:rPr>
                <w:sz w:val="23"/>
                <w:szCs w:val="23"/>
                <w:color w:val="auto"/>
              </w:rPr>
            </w:pPr>
          </w:p>
        </w:tc>
      </w:tr>
      <w:tr>
        <w:trPr>
          <w:trHeight w:val="239"/>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25, 2022</w:t>
            </w: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48,420,723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484</w:t>
            </w:r>
          </w:p>
        </w:tc>
        <w:tc>
          <w:tcPr>
            <w:tcW w:w="980" w:type="dxa"/>
            <w:vAlign w:val="bottom"/>
            <w:gridSpan w:val="4"/>
          </w:tcPr>
          <w:p>
            <w:pPr>
              <w:jc w:val="right"/>
              <w:ind w:right="80"/>
              <w:spacing w:after="0"/>
              <w:rPr>
                <w:sz w:val="20"/>
                <w:szCs w:val="20"/>
                <w:color w:val="auto"/>
              </w:rPr>
            </w:pPr>
            <w:r>
              <w:rPr>
                <w:rFonts w:ascii="Arial" w:cs="Arial" w:eastAsia="Arial" w:hAnsi="Arial"/>
                <w:sz w:val="16"/>
                <w:szCs w:val="16"/>
                <w:color w:val="auto"/>
              </w:rPr>
              <w:t>23,837,162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260,664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176,565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432,901</w:t>
            </w:r>
          </w:p>
        </w:tc>
      </w:tr>
      <w:tr>
        <w:trPr>
          <w:trHeight w:val="240"/>
        </w:trPr>
        <w:tc>
          <w:tcPr>
            <w:tcW w:w="30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6"/>
                <w:szCs w:val="16"/>
                <w:color w:val="auto"/>
              </w:rPr>
              <w:t>Net income</w:t>
            </w:r>
          </w:p>
        </w:tc>
        <w:tc>
          <w:tcPr>
            <w:tcW w:w="8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DBDBDB"/>
            </w:tcBorders>
            <w:shd w:val="clear" w:color="auto" w:fill="DBDBDB"/>
          </w:tcPr>
          <w:p>
            <w:pPr>
              <w:spacing w:after="0"/>
              <w:rPr>
                <w:sz w:val="20"/>
                <w:szCs w:val="20"/>
                <w:color w:val="auto"/>
              </w:rPr>
            </w:pPr>
          </w:p>
        </w:tc>
        <w:tc>
          <w:tcPr>
            <w:tcW w:w="180" w:type="dxa"/>
            <w:vAlign w:val="bottom"/>
            <w:tcBorders>
              <w:bottom w:val="single" w:sz="8" w:color="DBDBDB"/>
            </w:tcBorders>
            <w:shd w:val="clear" w:color="auto" w:fill="DBDBDB"/>
          </w:tcPr>
          <w:p>
            <w:pPr>
              <w:spacing w:after="0"/>
              <w:rPr>
                <w:sz w:val="20"/>
                <w:szCs w:val="20"/>
                <w:color w:val="auto"/>
              </w:rPr>
            </w:pPr>
          </w:p>
        </w:tc>
        <w:tc>
          <w:tcPr>
            <w:tcW w:w="48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20" w:type="dxa"/>
            <w:vAlign w:val="bottom"/>
            <w:tcBorders>
              <w:bottom w:val="single" w:sz="8" w:color="DBDBDB"/>
            </w:tcBorders>
            <w:shd w:val="clear" w:color="auto" w:fill="DBDBDB"/>
          </w:tcPr>
          <w:p>
            <w:pPr>
              <w:spacing w:after="0"/>
              <w:rPr>
                <w:sz w:val="20"/>
                <w:szCs w:val="20"/>
                <w:color w:val="auto"/>
              </w:rPr>
            </w:pPr>
          </w:p>
        </w:tc>
        <w:tc>
          <w:tcPr>
            <w:tcW w:w="440" w:type="dxa"/>
            <w:vAlign w:val="bottom"/>
            <w:tcBorders>
              <w:bottom w:val="single" w:sz="8" w:color="DBDBDB"/>
            </w:tcBorders>
            <w:shd w:val="clear" w:color="auto" w:fill="DBDBDB"/>
          </w:tcPr>
          <w:p>
            <w:pPr>
              <w:spacing w:after="0"/>
              <w:rPr>
                <w:sz w:val="20"/>
                <w:szCs w:val="20"/>
                <w:color w:val="auto"/>
              </w:rPr>
            </w:pP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DBDBDB"/>
            </w:tcBorders>
            <w:shd w:val="clear" w:color="auto" w:fill="DBDBDB"/>
          </w:tcPr>
          <w:p>
            <w:pPr>
              <w:spacing w:after="0"/>
              <w:rPr>
                <w:sz w:val="20"/>
                <w:szCs w:val="20"/>
                <w:color w:val="auto"/>
              </w:rPr>
            </w:pPr>
          </w:p>
        </w:tc>
        <w:tc>
          <w:tcPr>
            <w:tcW w:w="660" w:type="dxa"/>
            <w:vAlign w:val="bottom"/>
            <w:tcBorders>
              <w:bottom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20" w:type="dxa"/>
            <w:vAlign w:val="bottom"/>
            <w:tcBorders>
              <w:bottom w:val="single" w:sz="8" w:color="DBDBDB"/>
            </w:tcBorders>
            <w:shd w:val="clear" w:color="auto" w:fill="DBDBDB"/>
          </w:tcPr>
          <w:p>
            <w:pPr>
              <w:spacing w:after="0"/>
              <w:rPr>
                <w:sz w:val="20"/>
                <w:szCs w:val="20"/>
                <w:color w:val="auto"/>
              </w:rPr>
            </w:pPr>
          </w:p>
        </w:tc>
        <w:tc>
          <w:tcPr>
            <w:tcW w:w="46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740" w:type="dxa"/>
            <w:vAlign w:val="bottom"/>
            <w:tcBorders>
              <w:bottom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20"/>
                <w:szCs w:val="20"/>
                <w:color w:val="auto"/>
              </w:rPr>
            </w:pPr>
          </w:p>
        </w:tc>
        <w:tc>
          <w:tcPr>
            <w:tcW w:w="160" w:type="dxa"/>
            <w:vAlign w:val="bottom"/>
            <w:tcBorders>
              <w:bottom w:val="single" w:sz="8" w:color="DBDBDB"/>
            </w:tcBorders>
            <w:shd w:val="clear" w:color="auto" w:fill="DBDBDB"/>
          </w:tcPr>
          <w:p>
            <w:pPr>
              <w:spacing w:after="0"/>
              <w:rPr>
                <w:sz w:val="20"/>
                <w:szCs w:val="20"/>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6,274</w:t>
            </w:r>
          </w:p>
        </w:tc>
        <w:tc>
          <w:tcPr>
            <w:tcW w:w="8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2,351</w:t>
            </w:r>
          </w:p>
        </w:tc>
        <w:tc>
          <w:tcPr>
            <w:tcW w:w="80" w:type="dxa"/>
            <w:vAlign w:val="bottom"/>
            <w:tcBorders>
              <w:bottom w:val="single" w:sz="8" w:color="DBDBDB"/>
            </w:tcBorders>
            <w:shd w:val="clear" w:color="auto" w:fill="DBDBDB"/>
          </w:tcPr>
          <w:p>
            <w:pPr>
              <w:spacing w:after="0"/>
              <w:rPr>
                <w:sz w:val="20"/>
                <w:szCs w:val="20"/>
                <w:color w:val="auto"/>
              </w:rPr>
            </w:pPr>
          </w:p>
        </w:tc>
        <w:tc>
          <w:tcPr>
            <w:tcW w:w="200" w:type="dxa"/>
            <w:vAlign w:val="bottom"/>
            <w:tcBorders>
              <w:bottom w:val="single" w:sz="8" w:color="DBDBDB"/>
            </w:tcBorders>
            <w:shd w:val="clear" w:color="auto" w:fill="DBDBDB"/>
          </w:tcPr>
          <w:p>
            <w:pPr>
              <w:spacing w:after="0"/>
              <w:rPr>
                <w:sz w:val="20"/>
                <w:szCs w:val="20"/>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8,625</w:t>
            </w:r>
          </w:p>
        </w:tc>
      </w:tr>
      <w:tr>
        <w:trPr>
          <w:trHeight w:val="233"/>
        </w:trPr>
        <w:tc>
          <w:tcPr>
            <w:tcW w:w="3020" w:type="dxa"/>
            <w:vAlign w:val="bottom"/>
          </w:tcPr>
          <w:p>
            <w:pPr>
              <w:ind w:left="120"/>
              <w:spacing w:after="0"/>
              <w:rPr>
                <w:sz w:val="20"/>
                <w:szCs w:val="20"/>
                <w:color w:val="auto"/>
              </w:rPr>
            </w:pPr>
            <w:r>
              <w:rPr>
                <w:rFonts w:ascii="Arial" w:cs="Arial" w:eastAsia="Arial" w:hAnsi="Arial"/>
                <w:sz w:val="16"/>
                <w:szCs w:val="16"/>
                <w:color w:val="auto"/>
              </w:rPr>
              <w:t>Equity-based compensation</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5,571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2,149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7,720</w:t>
            </w:r>
          </w:p>
        </w:tc>
      </w:tr>
      <w:tr>
        <w:trPr>
          <w:trHeight w:val="229"/>
        </w:trPr>
        <w:tc>
          <w:tcPr>
            <w:tcW w:w="30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Activity under equity-based</w:t>
            </w: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r>
      <w:tr>
        <w:trPr>
          <w:trHeight w:val="226"/>
        </w:trPr>
        <w:tc>
          <w:tcPr>
            <w:tcW w:w="30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compensation plans</w:t>
            </w:r>
          </w:p>
        </w:tc>
        <w:tc>
          <w:tcPr>
            <w:tcW w:w="980" w:type="dxa"/>
            <w:vAlign w:val="bottom"/>
            <w:gridSpan w:val="5"/>
            <w:shd w:val="clear" w:color="auto" w:fill="DBDBDB"/>
          </w:tcPr>
          <w:p>
            <w:pPr>
              <w:jc w:val="right"/>
              <w:spacing w:after="0"/>
              <w:rPr>
                <w:sz w:val="20"/>
                <w:szCs w:val="20"/>
                <w:color w:val="auto"/>
              </w:rPr>
            </w:pPr>
            <w:r>
              <w:rPr>
                <w:rFonts w:ascii="Arial" w:cs="Arial" w:eastAsia="Arial" w:hAnsi="Arial"/>
                <w:sz w:val="16"/>
                <w:szCs w:val="16"/>
                <w:color w:val="auto"/>
              </w:rPr>
              <w:t>289,034</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2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1,288</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1,291</w:t>
            </w:r>
          </w:p>
        </w:tc>
      </w:tr>
      <w:tr>
        <w:trPr>
          <w:trHeight w:val="233"/>
        </w:trPr>
        <w:tc>
          <w:tcPr>
            <w:tcW w:w="3020" w:type="dxa"/>
            <w:vAlign w:val="bottom"/>
          </w:tcPr>
          <w:p>
            <w:pPr>
              <w:ind w:left="120"/>
              <w:spacing w:after="0"/>
              <w:rPr>
                <w:sz w:val="20"/>
                <w:szCs w:val="20"/>
                <w:color w:val="auto"/>
              </w:rPr>
            </w:pPr>
            <w:r>
              <w:rPr>
                <w:rFonts w:ascii="Arial" w:cs="Arial" w:eastAsia="Arial" w:hAnsi="Arial"/>
                <w:sz w:val="16"/>
                <w:szCs w:val="16"/>
                <w:color w:val="auto"/>
              </w:rPr>
              <w:t>Redemption of LLC Interests</w:t>
            </w: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6,364,236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64</w:t>
            </w:r>
          </w:p>
        </w:tc>
        <w:tc>
          <w:tcPr>
            <w:tcW w:w="980" w:type="dxa"/>
            <w:vAlign w:val="bottom"/>
            <w:gridSpan w:val="4"/>
          </w:tcPr>
          <w:p>
            <w:pPr>
              <w:jc w:val="right"/>
              <w:ind w:right="20"/>
              <w:spacing w:after="0"/>
              <w:rPr>
                <w:sz w:val="20"/>
                <w:szCs w:val="20"/>
                <w:color w:val="auto"/>
              </w:rPr>
            </w:pPr>
            <w:r>
              <w:rPr>
                <w:rFonts w:ascii="Arial" w:cs="Arial" w:eastAsia="Arial" w:hAnsi="Arial"/>
                <w:sz w:val="16"/>
                <w:szCs w:val="16"/>
                <w:color w:val="auto"/>
              </w:rPr>
              <w:t>(6,364,236)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30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6"/>
                <w:szCs w:val="16"/>
                <w:color w:val="auto"/>
              </w:rPr>
              <w:t>Non-controlling interest adjustment</w:t>
            </w:r>
          </w:p>
        </w:tc>
        <w:tc>
          <w:tcPr>
            <w:tcW w:w="8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spacing w:after="0"/>
              <w:rPr>
                <w:sz w:val="21"/>
                <w:szCs w:val="21"/>
                <w:color w:val="auto"/>
              </w:rPr>
            </w:pPr>
          </w:p>
        </w:tc>
        <w:tc>
          <w:tcPr>
            <w:tcW w:w="660" w:type="dxa"/>
            <w:vAlign w:val="bottom"/>
            <w:tcBorders>
              <w:bottom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740" w:type="dxa"/>
            <w:vAlign w:val="bottom"/>
            <w:tcBorders>
              <w:bottom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47,845</w:t>
            </w:r>
          </w:p>
        </w:tc>
        <w:tc>
          <w:tcPr>
            <w:tcW w:w="8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(47,845)</w:t>
            </w:r>
          </w:p>
        </w:tc>
        <w:tc>
          <w:tcPr>
            <w:tcW w:w="8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3020" w:type="dxa"/>
            <w:vAlign w:val="bottom"/>
          </w:tcPr>
          <w:p>
            <w:pPr>
              <w:ind w:left="120"/>
              <w:spacing w:after="0"/>
              <w:rPr>
                <w:sz w:val="20"/>
                <w:szCs w:val="20"/>
                <w:color w:val="auto"/>
              </w:rPr>
            </w:pPr>
            <w:r>
              <w:rPr>
                <w:rFonts w:ascii="Arial" w:cs="Arial" w:eastAsia="Arial" w:hAnsi="Arial"/>
                <w:sz w:val="16"/>
                <w:szCs w:val="16"/>
                <w:color w:val="auto"/>
              </w:rPr>
              <w:t>Distributions paid to non-controlling</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3020" w:type="dxa"/>
            <w:vAlign w:val="bottom"/>
          </w:tcPr>
          <w:p>
            <w:pPr>
              <w:ind w:left="120"/>
              <w:spacing w:after="0"/>
              <w:rPr>
                <w:sz w:val="20"/>
                <w:szCs w:val="20"/>
                <w:color w:val="auto"/>
              </w:rPr>
            </w:pPr>
            <w:r>
              <w:rPr>
                <w:rFonts w:ascii="Arial" w:cs="Arial" w:eastAsia="Arial" w:hAnsi="Arial"/>
                <w:sz w:val="16"/>
                <w:szCs w:val="16"/>
                <w:color w:val="auto"/>
              </w:rPr>
              <w:t>interest holders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229"/>
        </w:trPr>
        <w:tc>
          <w:tcPr>
            <w:tcW w:w="30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Establishment of liabilities under Tax</w:t>
            </w: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r>
      <w:tr>
        <w:trPr>
          <w:trHeight w:val="189"/>
        </w:trPr>
        <w:tc>
          <w:tcPr>
            <w:tcW w:w="30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Receivable Agreement and related</w:t>
            </w: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r>
      <w:tr>
        <w:trPr>
          <w:trHeight w:val="203"/>
        </w:trPr>
        <w:tc>
          <w:tcPr>
            <w:tcW w:w="30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changes to deferred tax assets</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r>
      <w:tr>
        <w:trPr>
          <w:trHeight w:val="220"/>
        </w:trPr>
        <w:tc>
          <w:tcPr>
            <w:tcW w:w="3020" w:type="dxa"/>
            <w:vAlign w:val="bottom"/>
            <w:tcBorders>
              <w:bottom w:val="single" w:sz="8" w:color="auto"/>
            </w:tcBorders>
            <w:shd w:val="clear" w:color="auto" w:fill="DBDBDB"/>
          </w:tcPr>
          <w:p>
            <w:pPr>
              <w:ind w:left="120"/>
              <w:spacing w:after="0"/>
              <w:rPr>
                <w:sz w:val="20"/>
                <w:szCs w:val="20"/>
                <w:color w:val="auto"/>
              </w:rPr>
            </w:pPr>
            <w:r>
              <w:rPr>
                <w:rFonts w:ascii="Arial" w:cs="Arial" w:eastAsia="Arial" w:hAnsi="Arial"/>
                <w:sz w:val="16"/>
                <w:szCs w:val="16"/>
                <w:color w:val="auto"/>
              </w:rPr>
              <w:t>associated with increases in tax basis</w:t>
            </w:r>
          </w:p>
        </w:tc>
        <w:tc>
          <w:tcPr>
            <w:tcW w:w="80" w:type="dxa"/>
            <w:vAlign w:val="bottom"/>
            <w:tcBorders>
              <w:bottom w:val="single" w:sz="8" w:color="auto"/>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4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6"/>
                <w:szCs w:val="16"/>
                <w:color w:val="auto"/>
              </w:rPr>
              <w:t>(13,682)</w:t>
            </w:r>
          </w:p>
        </w:tc>
        <w:tc>
          <w:tcPr>
            <w:tcW w:w="8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(13,682)</w:t>
            </w:r>
          </w:p>
        </w:tc>
      </w:tr>
      <w:tr>
        <w:trPr>
          <w:trHeight w:val="239"/>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Balance at June 25, 2023</w:t>
            </w: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55,073,993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551</w:t>
            </w:r>
          </w:p>
        </w:tc>
        <w:tc>
          <w:tcPr>
            <w:tcW w:w="980" w:type="dxa"/>
            <w:vAlign w:val="bottom"/>
            <w:gridSpan w:val="4"/>
          </w:tcPr>
          <w:p>
            <w:pPr>
              <w:jc w:val="right"/>
              <w:ind w:right="80"/>
              <w:spacing w:after="0"/>
              <w:rPr>
                <w:sz w:val="20"/>
                <w:szCs w:val="20"/>
                <w:color w:val="auto"/>
              </w:rPr>
            </w:pPr>
            <w:r>
              <w:rPr>
                <w:rFonts w:ascii="Arial" w:cs="Arial" w:eastAsia="Arial" w:hAnsi="Arial"/>
                <w:sz w:val="16"/>
                <w:szCs w:val="16"/>
                <w:color w:val="auto"/>
              </w:rPr>
              <w:t>17,472,926</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301,622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1,462</w:t>
            </w: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132,821</w:t>
            </w: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436,456</w:t>
            </w:r>
          </w:p>
        </w:tc>
      </w:tr>
      <w:tr>
        <w:trPr>
          <w:trHeight w:val="24"/>
        </w:trPr>
        <w:tc>
          <w:tcPr>
            <w:tcW w:w="30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Two Quarters Ended</w:t>
            </w:r>
          </w:p>
        </w:tc>
      </w:tr>
      <w:tr>
        <w:trPr>
          <w:trHeight w:val="243"/>
        </w:trPr>
        <w:tc>
          <w:tcPr>
            <w:tcW w:w="8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June 25, 2023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26, 2022</w:t>
            </w:r>
          </w:p>
        </w:tc>
      </w:tr>
      <w:tr>
        <w:trPr>
          <w:trHeight w:val="21"/>
        </w:trPr>
        <w:tc>
          <w:tcPr>
            <w:tcW w:w="8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7"/>
        </w:trPr>
        <w:tc>
          <w:tcPr>
            <w:tcW w:w="8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tcBorders>
              <w:bottom w:val="single" w:sz="8" w:color="DBDBDB"/>
            </w:tcBorders>
            <w:shd w:val="clear" w:color="auto" w:fill="DBDBDB"/>
          </w:tcPr>
          <w:p>
            <w:pPr>
              <w:spacing w:after="0"/>
              <w:rPr>
                <w:sz w:val="18"/>
                <w:szCs w:val="18"/>
                <w:color w:val="auto"/>
              </w:rPr>
            </w:pPr>
          </w:p>
        </w:tc>
        <w:tc>
          <w:tcPr>
            <w:tcW w:w="134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360" w:type="dxa"/>
            <w:vAlign w:val="bottom"/>
            <w:tcBorders>
              <w:bottom w:val="single" w:sz="8" w:color="DBDBDB"/>
            </w:tcBorders>
            <w:shd w:val="clear" w:color="auto" w:fill="DBDBDB"/>
          </w:tcPr>
          <w:p>
            <w:pPr>
              <w:spacing w:after="0"/>
              <w:rPr>
                <w:sz w:val="18"/>
                <w:szCs w:val="18"/>
                <w:color w:val="auto"/>
              </w:rPr>
            </w:pPr>
          </w:p>
        </w:tc>
      </w:tr>
      <w:tr>
        <w:trPr>
          <w:trHeight w:val="233"/>
        </w:trPr>
        <w:tc>
          <w:tcPr>
            <w:tcW w:w="8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8,625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11,306</w:t>
            </w:r>
          </w:p>
        </w:tc>
      </w:tr>
      <w:tr>
        <w:trPr>
          <w:trHeight w:val="253"/>
        </w:trPr>
        <w:tc>
          <w:tcPr>
            <w:tcW w:w="81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60" w:type="dxa"/>
            <w:vAlign w:val="bottom"/>
            <w:shd w:val="clear" w:color="auto" w:fill="DBDBDB"/>
          </w:tcPr>
          <w:p>
            <w:pPr>
              <w:spacing w:after="0"/>
              <w:rPr>
                <w:sz w:val="21"/>
                <w:szCs w:val="21"/>
                <w:color w:val="auto"/>
              </w:rPr>
            </w:pPr>
          </w:p>
        </w:tc>
        <w:tc>
          <w:tcPr>
            <w:tcW w:w="134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r>
      <w:tr>
        <w:trPr>
          <w:trHeight w:val="223"/>
        </w:trPr>
        <w:tc>
          <w:tcPr>
            <w:tcW w:w="81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10,514</w:t>
            </w:r>
          </w:p>
        </w:tc>
      </w:tr>
      <w:tr>
        <w:trPr>
          <w:trHeight w:val="33"/>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Amortization of debt issuance costs and discount</w:t>
            </w:r>
          </w:p>
        </w:tc>
        <w:tc>
          <w:tcPr>
            <w:tcW w:w="160" w:type="dxa"/>
            <w:vAlign w:val="bottom"/>
            <w:shd w:val="clear" w:color="auto" w:fill="DBDBDB"/>
          </w:tcPr>
          <w:p>
            <w:pPr>
              <w:spacing w:after="0"/>
              <w:rPr>
                <w:sz w:val="21"/>
                <w:szCs w:val="21"/>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620</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1,243</w:t>
            </w:r>
          </w:p>
        </w:tc>
      </w:tr>
      <w:tr>
        <w:trPr>
          <w:trHeight w:val="224"/>
        </w:trPr>
        <w:tc>
          <w:tcPr>
            <w:tcW w:w="8100" w:type="dxa"/>
            <w:vAlign w:val="bottom"/>
          </w:tcPr>
          <w:p>
            <w:pPr>
              <w:ind w:left="360"/>
              <w:spacing w:after="0"/>
              <w:rPr>
                <w:sz w:val="20"/>
                <w:szCs w:val="20"/>
                <w:color w:val="auto"/>
              </w:rPr>
            </w:pPr>
            <w:r>
              <w:rPr>
                <w:rFonts w:ascii="Arial" w:cs="Arial" w:eastAsia="Arial" w:hAnsi="Arial"/>
                <w:sz w:val="16"/>
                <w:szCs w:val="16"/>
                <w:color w:val="auto"/>
              </w:rPr>
              <w:t>Loss on sales of assets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33"/>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Equity-based compensation</w:t>
            </w:r>
          </w:p>
        </w:tc>
        <w:tc>
          <w:tcPr>
            <w:tcW w:w="160" w:type="dxa"/>
            <w:vAlign w:val="bottom"/>
            <w:shd w:val="clear" w:color="auto" w:fill="DBDBDB"/>
          </w:tcPr>
          <w:p>
            <w:pPr>
              <w:spacing w:after="0"/>
              <w:rPr>
                <w:sz w:val="21"/>
                <w:szCs w:val="21"/>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7,720</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7,649</w:t>
            </w:r>
          </w:p>
        </w:tc>
      </w:tr>
      <w:tr>
        <w:trPr>
          <w:trHeight w:val="233"/>
        </w:trPr>
        <w:tc>
          <w:tcPr>
            <w:tcW w:w="8100" w:type="dxa"/>
            <w:vAlign w:val="bottom"/>
          </w:tcPr>
          <w:p>
            <w:pPr>
              <w:ind w:left="360"/>
              <w:spacing w:after="0"/>
              <w:rPr>
                <w:sz w:val="20"/>
                <w:szCs w:val="20"/>
                <w:color w:val="auto"/>
              </w:rPr>
            </w:pPr>
            <w:r>
              <w:rPr>
                <w:rFonts w:ascii="Arial" w:cs="Arial" w:eastAsia="Arial" w:hAnsi="Arial"/>
                <w:sz w:val="16"/>
                <w:szCs w:val="16"/>
                <w:color w:val="auto"/>
              </w:rPr>
              <w:t>Deferred rent and tenant allowance</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2,112</w:t>
            </w:r>
          </w:p>
        </w:tc>
      </w:tr>
      <w:tr>
        <w:trPr>
          <w:trHeight w:val="246"/>
        </w:trPr>
        <w:tc>
          <w:tcPr>
            <w:tcW w:w="810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6"/>
                <w:szCs w:val="16"/>
                <w:color w:val="auto"/>
              </w:rPr>
              <w:t>Deferred income tax expense</w:t>
            </w:r>
          </w:p>
        </w:tc>
        <w:tc>
          <w:tcPr>
            <w:tcW w:w="160" w:type="dxa"/>
            <w:vAlign w:val="bottom"/>
            <w:tcBorders>
              <w:bottom w:val="single" w:sz="8" w:color="DBDBDB"/>
            </w:tcBorders>
            <w:shd w:val="clear" w:color="auto" w:fill="DBDBDB"/>
          </w:tcPr>
          <w:p>
            <w:pPr>
              <w:spacing w:after="0"/>
              <w:rPr>
                <w:sz w:val="21"/>
                <w:szCs w:val="21"/>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983</w:t>
            </w:r>
          </w:p>
        </w:tc>
        <w:tc>
          <w:tcPr>
            <w:tcW w:w="12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2,505</w:t>
            </w:r>
          </w:p>
        </w:tc>
      </w:tr>
      <w:tr>
        <w:trPr>
          <w:trHeight w:val="233"/>
        </w:trPr>
        <w:tc>
          <w:tcPr>
            <w:tcW w:w="8100" w:type="dxa"/>
            <w:vAlign w:val="bottom"/>
          </w:tcPr>
          <w:p>
            <w:pPr>
              <w:ind w:left="340"/>
              <w:spacing w:after="0"/>
              <w:rPr>
                <w:sz w:val="20"/>
                <w:szCs w:val="20"/>
                <w:color w:val="auto"/>
              </w:rPr>
            </w:pPr>
            <w:r>
              <w:rPr>
                <w:rFonts w:ascii="Arial" w:cs="Arial" w:eastAsia="Arial" w:hAnsi="Arial"/>
                <w:sz w:val="16"/>
                <w:szCs w:val="16"/>
                <w:color w:val="auto"/>
              </w:rPr>
              <w:t>Tax Receivable Agreement liability adjustment</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(1,754)</w:t>
            </w:r>
          </w:p>
        </w:tc>
      </w:tr>
      <w:tr>
        <w:trPr>
          <w:trHeight w:val="246"/>
        </w:trPr>
        <w:tc>
          <w:tcPr>
            <w:tcW w:w="810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6"/>
                <w:szCs w:val="16"/>
                <w:color w:val="auto"/>
              </w:rPr>
              <w:t>Amortization of deferred lease incentives</w:t>
            </w:r>
          </w:p>
        </w:tc>
        <w:tc>
          <w:tcPr>
            <w:tcW w:w="160" w:type="dxa"/>
            <w:vAlign w:val="bottom"/>
            <w:tcBorders>
              <w:bottom w:val="single" w:sz="8" w:color="DBDBDB"/>
            </w:tcBorders>
            <w:shd w:val="clear" w:color="auto" w:fill="DBDBDB"/>
          </w:tcPr>
          <w:p>
            <w:pPr>
              <w:spacing w:after="0"/>
              <w:rPr>
                <w:sz w:val="21"/>
                <w:szCs w:val="21"/>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(166)</w:t>
            </w:r>
          </w:p>
        </w:tc>
      </w:tr>
      <w:tr>
        <w:trPr>
          <w:trHeight w:val="233"/>
        </w:trPr>
        <w:tc>
          <w:tcPr>
            <w:tcW w:w="8100" w:type="dxa"/>
            <w:vAlign w:val="bottom"/>
          </w:tcPr>
          <w:p>
            <w:pPr>
              <w:ind w:left="360"/>
              <w:spacing w:after="0"/>
              <w:rPr>
                <w:sz w:val="20"/>
                <w:szCs w:val="20"/>
                <w:color w:val="auto"/>
              </w:rPr>
            </w:pPr>
            <w:r>
              <w:rPr>
                <w:rFonts w:ascii="Arial" w:cs="Arial" w:eastAsia="Arial" w:hAnsi="Arial"/>
                <w:sz w:val="16"/>
                <w:szCs w:val="16"/>
                <w:color w:val="auto"/>
              </w:rPr>
              <w:t>Gift card breakage</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(474)</w:t>
            </w:r>
          </w:p>
        </w:tc>
      </w:tr>
      <w:tr>
        <w:trPr>
          <w:trHeight w:val="253"/>
        </w:trPr>
        <w:tc>
          <w:tcPr>
            <w:tcW w:w="81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Loss on debt extinguishment</w:t>
            </w:r>
          </w:p>
        </w:tc>
        <w:tc>
          <w:tcPr>
            <w:tcW w:w="160" w:type="dxa"/>
            <w:vAlign w:val="bottom"/>
            <w:shd w:val="clear" w:color="auto" w:fill="DBDBDB"/>
          </w:tcPr>
          <w:p>
            <w:pPr>
              <w:spacing w:after="0"/>
              <w:rPr>
                <w:sz w:val="21"/>
                <w:szCs w:val="21"/>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3,465</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810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Accounts receivable</w:t>
            </w:r>
          </w:p>
        </w:tc>
        <w:tc>
          <w:tcPr>
            <w:tcW w:w="160" w:type="dxa"/>
            <w:vAlign w:val="bottom"/>
            <w:shd w:val="clear" w:color="auto" w:fill="DBDBDB"/>
          </w:tcPr>
          <w:p>
            <w:pPr>
              <w:spacing w:after="0"/>
              <w:rPr>
                <w:sz w:val="21"/>
                <w:szCs w:val="21"/>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(906)</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(1,089)</w:t>
            </w:r>
          </w:p>
        </w:tc>
      </w:tr>
      <w:tr>
        <w:trPr>
          <w:trHeight w:val="223"/>
        </w:trPr>
        <w:tc>
          <w:tcPr>
            <w:tcW w:w="8100" w:type="dxa"/>
            <w:vAlign w:val="bottom"/>
          </w:tcPr>
          <w:p>
            <w:pPr>
              <w:ind w:left="360"/>
              <w:spacing w:after="0"/>
              <w:rPr>
                <w:sz w:val="20"/>
                <w:szCs w:val="20"/>
                <w:color w:val="auto"/>
              </w:rPr>
            </w:pPr>
            <w:r>
              <w:rPr>
                <w:rFonts w:ascii="Arial" w:cs="Arial" w:eastAsia="Arial" w:hAnsi="Arial"/>
                <w:sz w:val="16"/>
                <w:szCs w:val="16"/>
                <w:color w:val="auto"/>
              </w:rPr>
              <w:t>Receivables from related parties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33"/>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Inventory</w:t>
            </w:r>
          </w:p>
        </w:tc>
        <w:tc>
          <w:tcPr>
            <w:tcW w:w="160" w:type="dxa"/>
            <w:vAlign w:val="bottom"/>
            <w:shd w:val="clear" w:color="auto" w:fill="DBDBDB"/>
          </w:tcPr>
          <w:p>
            <w:pPr>
              <w:spacing w:after="0"/>
              <w:rPr>
                <w:sz w:val="21"/>
                <w:szCs w:val="21"/>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894</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439</w:t>
            </w:r>
          </w:p>
        </w:tc>
      </w:tr>
      <w:tr>
        <w:trPr>
          <w:trHeight w:val="233"/>
        </w:trPr>
        <w:tc>
          <w:tcPr>
            <w:tcW w:w="8100" w:type="dxa"/>
            <w:vAlign w:val="bottom"/>
          </w:tcPr>
          <w:p>
            <w:pPr>
              <w:ind w:left="360"/>
              <w:spacing w:after="0"/>
              <w:rPr>
                <w:sz w:val="20"/>
                <w:szCs w:val="20"/>
                <w:color w:val="auto"/>
              </w:rPr>
            </w:pPr>
            <w:r>
              <w:rPr>
                <w:rFonts w:ascii="Arial" w:cs="Arial" w:eastAsia="Arial" w:hAnsi="Arial"/>
                <w:sz w:val="16"/>
                <w:szCs w:val="16"/>
                <w:color w:val="auto"/>
              </w:rPr>
              <w:t>Other current assets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754</w:t>
            </w:r>
          </w:p>
        </w:tc>
      </w:tr>
      <w:tr>
        <w:trPr>
          <w:trHeight w:val="246"/>
        </w:trPr>
        <w:tc>
          <w:tcPr>
            <w:tcW w:w="810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6"/>
                <w:szCs w:val="16"/>
                <w:color w:val="auto"/>
              </w:rPr>
              <w:t>Operating lease assets</w:t>
            </w:r>
          </w:p>
        </w:tc>
        <w:tc>
          <w:tcPr>
            <w:tcW w:w="160" w:type="dxa"/>
            <w:vAlign w:val="bottom"/>
            <w:tcBorders>
              <w:bottom w:val="single" w:sz="8" w:color="DBDBDB"/>
            </w:tcBorders>
            <w:shd w:val="clear" w:color="auto" w:fill="DBDBDB"/>
          </w:tcPr>
          <w:p>
            <w:pPr>
              <w:spacing w:after="0"/>
              <w:rPr>
                <w:sz w:val="21"/>
                <w:szCs w:val="21"/>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3,880</w:t>
            </w:r>
          </w:p>
        </w:tc>
        <w:tc>
          <w:tcPr>
            <w:tcW w:w="12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810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(2,908)</w:t>
            </w:r>
          </w:p>
        </w:tc>
      </w:tr>
      <w:tr>
        <w:trPr>
          <w:trHeight w:val="253"/>
        </w:trPr>
        <w:tc>
          <w:tcPr>
            <w:tcW w:w="81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Accrued expenses and other liabilities</w:t>
            </w:r>
          </w:p>
        </w:tc>
        <w:tc>
          <w:tcPr>
            <w:tcW w:w="160" w:type="dxa"/>
            <w:vAlign w:val="bottom"/>
            <w:shd w:val="clear" w:color="auto" w:fill="DBDBDB"/>
          </w:tcPr>
          <w:p>
            <w:pPr>
              <w:spacing w:after="0"/>
              <w:rPr>
                <w:sz w:val="21"/>
                <w:szCs w:val="21"/>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(559)</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(6,140)</w:t>
            </w:r>
          </w:p>
        </w:tc>
      </w:tr>
      <w:tr>
        <w:trPr>
          <w:trHeight w:val="223"/>
        </w:trPr>
        <w:tc>
          <w:tcPr>
            <w:tcW w:w="810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Deferred lease incentives</w:t>
            </w:r>
          </w:p>
        </w:tc>
        <w:tc>
          <w:tcPr>
            <w:tcW w:w="160" w:type="dxa"/>
            <w:vAlign w:val="bottom"/>
            <w:shd w:val="clear" w:color="auto" w:fill="DBDBDB"/>
          </w:tcPr>
          <w:p>
            <w:pPr>
              <w:spacing w:after="0"/>
              <w:rPr>
                <w:sz w:val="21"/>
                <w:szCs w:val="21"/>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850</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1,251</w:t>
            </w:r>
          </w:p>
        </w:tc>
      </w:tr>
      <w:tr>
        <w:trPr>
          <w:trHeight w:val="224"/>
        </w:trPr>
        <w:tc>
          <w:tcPr>
            <w:tcW w:w="8100" w:type="dxa"/>
            <w:vAlign w:val="bottom"/>
          </w:tcPr>
          <w:p>
            <w:pPr>
              <w:ind w:left="360"/>
              <w:spacing w:after="0"/>
              <w:rPr>
                <w:sz w:val="20"/>
                <w:szCs w:val="20"/>
                <w:color w:val="auto"/>
              </w:rPr>
            </w:pPr>
            <w:r>
              <w:rPr>
                <w:rFonts w:ascii="Arial" w:cs="Arial" w:eastAsia="Arial" w:hAnsi="Arial"/>
                <w:sz w:val="16"/>
                <w:szCs w:val="16"/>
                <w:color w:val="auto"/>
              </w:rPr>
              <w:t>Other assets and liabilities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8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810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b w:val="1"/>
                <w:bCs w:val="1"/>
                <w:color w:val="auto"/>
              </w:rPr>
              <w:t>NET CASH PROVIDED BY OPERATING ACTIVITIES</w:t>
            </w:r>
          </w:p>
        </w:tc>
        <w:tc>
          <w:tcPr>
            <w:tcW w:w="160" w:type="dxa"/>
            <w:vAlign w:val="bottom"/>
            <w:tcBorders>
              <w:bottom w:val="single" w:sz="8" w:color="auto"/>
            </w:tcBorders>
            <w:shd w:val="clear" w:color="auto" w:fill="DBDBDB"/>
          </w:tcPr>
          <w:p>
            <w:pPr>
              <w:spacing w:after="0"/>
              <w:rPr>
                <w:sz w:val="20"/>
                <w:szCs w:val="20"/>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31,309</w:t>
            </w:r>
          </w:p>
        </w:tc>
        <w:tc>
          <w:tcPr>
            <w:tcW w:w="120" w:type="dxa"/>
            <w:vAlign w:val="bottom"/>
            <w:tcBorders>
              <w:bottom w:val="single" w:sz="8" w:color="DBDBDB"/>
            </w:tcBorders>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spacing w:after="0"/>
              <w:rPr>
                <w:sz w:val="20"/>
                <w:szCs w:val="20"/>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25,359</w:t>
            </w:r>
          </w:p>
        </w:tc>
      </w:tr>
      <w:tr>
        <w:trPr>
          <w:trHeight w:val="236"/>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0"/>
        </w:trPr>
        <w:tc>
          <w:tcPr>
            <w:tcW w:w="81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Purchase of property and equipment</w:t>
            </w:r>
          </w:p>
        </w:tc>
        <w:tc>
          <w:tcPr>
            <w:tcW w:w="160" w:type="dxa"/>
            <w:vAlign w:val="bottom"/>
            <w:tcBorders>
              <w:bottom w:val="single" w:sz="8" w:color="DBDBDB"/>
            </w:tcBorders>
            <w:shd w:val="clear" w:color="auto" w:fill="DBDBDB"/>
          </w:tcPr>
          <w:p>
            <w:pPr>
              <w:spacing w:after="0"/>
              <w:rPr>
                <w:sz w:val="20"/>
                <w:szCs w:val="20"/>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(37,359)</w:t>
            </w:r>
          </w:p>
        </w:tc>
        <w:tc>
          <w:tcPr>
            <w:tcW w:w="120" w:type="dxa"/>
            <w:vAlign w:val="bottom"/>
            <w:tcBorders>
              <w:bottom w:val="single" w:sz="8" w:color="DBDBDB"/>
            </w:tcBorders>
            <w:shd w:val="clear" w:color="auto" w:fill="DBDBDB"/>
          </w:tcPr>
          <w:p>
            <w:pPr>
              <w:spacing w:after="0"/>
              <w:rPr>
                <w:sz w:val="20"/>
                <w:szCs w:val="20"/>
                <w:color w:val="auto"/>
              </w:rPr>
            </w:pPr>
          </w:p>
        </w:tc>
        <w:tc>
          <w:tcPr>
            <w:tcW w:w="160" w:type="dxa"/>
            <w:vAlign w:val="bottom"/>
            <w:tcBorders>
              <w:bottom w:val="single" w:sz="8" w:color="DBDBDB"/>
            </w:tcBorders>
            <w:shd w:val="clear" w:color="auto" w:fill="DBDBDB"/>
          </w:tcPr>
          <w:p>
            <w:pPr>
              <w:spacing w:after="0"/>
              <w:rPr>
                <w:sz w:val="20"/>
                <w:szCs w:val="20"/>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(13,940)</w:t>
            </w:r>
          </w:p>
        </w:tc>
      </w:tr>
      <w:tr>
        <w:trPr>
          <w:trHeight w:val="236"/>
        </w:trPr>
        <w:tc>
          <w:tcPr>
            <w:tcW w:w="81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Proceeds from the sale of property and equipment</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57"/>
        </w:trPr>
        <w:tc>
          <w:tcPr>
            <w:tcW w:w="81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b w:val="1"/>
                <w:bCs w:val="1"/>
                <w:color w:val="auto"/>
              </w:rPr>
              <w:t>NET CASH USED IN INVESTING ACTIVITIES</w:t>
            </w:r>
          </w:p>
        </w:tc>
        <w:tc>
          <w:tcPr>
            <w:tcW w:w="160" w:type="dxa"/>
            <w:vAlign w:val="bottom"/>
            <w:tcBorders>
              <w:bottom w:val="single" w:sz="8" w:color="DBDBDB"/>
            </w:tcBorders>
            <w:shd w:val="clear" w:color="auto" w:fill="DBDBDB"/>
          </w:tcPr>
          <w:p>
            <w:pPr>
              <w:spacing w:after="0"/>
              <w:rPr>
                <w:sz w:val="22"/>
                <w:szCs w:val="22"/>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(37,326)</w:t>
            </w:r>
          </w:p>
        </w:tc>
        <w:tc>
          <w:tcPr>
            <w:tcW w:w="12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DBDBDB"/>
            </w:tcBorders>
            <w:shd w:val="clear" w:color="auto" w:fill="DBDBDB"/>
          </w:tcPr>
          <w:p>
            <w:pPr>
              <w:spacing w:after="0"/>
              <w:rPr>
                <w:sz w:val="22"/>
                <w:szCs w:val="22"/>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(13,910)</w:t>
            </w:r>
          </w:p>
        </w:tc>
      </w:tr>
      <w:tr>
        <w:trPr>
          <w:trHeight w:val="233"/>
        </w:trPr>
        <w:tc>
          <w:tcPr>
            <w:tcW w:w="81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47"/>
        </w:trPr>
        <w:tc>
          <w:tcPr>
            <w:tcW w:w="81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Proceeds from short-term debt, net</w:t>
            </w:r>
          </w:p>
        </w:tc>
        <w:tc>
          <w:tcPr>
            <w:tcW w:w="160" w:type="dxa"/>
            <w:vAlign w:val="bottom"/>
            <w:shd w:val="clear" w:color="auto" w:fill="DBDBDB"/>
          </w:tcPr>
          <w:p>
            <w:pPr>
              <w:spacing w:after="0"/>
              <w:rPr>
                <w:sz w:val="21"/>
                <w:szCs w:val="21"/>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100" w:type="dxa"/>
            <w:vAlign w:val="bottom"/>
          </w:tcPr>
          <w:p>
            <w:pPr>
              <w:ind w:left="220"/>
              <w:spacing w:after="0"/>
              <w:rPr>
                <w:sz w:val="20"/>
                <w:szCs w:val="20"/>
                <w:color w:val="auto"/>
              </w:rPr>
            </w:pPr>
            <w:r>
              <w:rPr>
                <w:rFonts w:ascii="Arial" w:cs="Arial" w:eastAsia="Arial" w:hAnsi="Arial"/>
                <w:sz w:val="16"/>
                <w:szCs w:val="16"/>
                <w:color w:val="auto"/>
              </w:rPr>
              <w:t>Proceeds from long-term debt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Payments of long-term debt</w:t>
            </w:r>
          </w:p>
        </w:tc>
        <w:tc>
          <w:tcPr>
            <w:tcW w:w="160" w:type="dxa"/>
            <w:vAlign w:val="bottom"/>
            <w:shd w:val="clear" w:color="auto" w:fill="DBDBDB"/>
          </w:tcPr>
          <w:p>
            <w:pPr>
              <w:spacing w:after="0"/>
              <w:rPr>
                <w:sz w:val="21"/>
                <w:szCs w:val="21"/>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(322,428)</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(1,662)</w:t>
            </w:r>
          </w:p>
        </w:tc>
      </w:tr>
      <w:tr>
        <w:trPr>
          <w:trHeight w:val="224"/>
        </w:trPr>
        <w:tc>
          <w:tcPr>
            <w:tcW w:w="8100" w:type="dxa"/>
            <w:vAlign w:val="bottom"/>
          </w:tcPr>
          <w:p>
            <w:pPr>
              <w:ind w:left="220"/>
              <w:spacing w:after="0"/>
              <w:rPr>
                <w:sz w:val="20"/>
                <w:szCs w:val="20"/>
                <w:color w:val="auto"/>
              </w:rPr>
            </w:pPr>
            <w:r>
              <w:rPr>
                <w:rFonts w:ascii="Arial" w:cs="Arial" w:eastAsia="Arial" w:hAnsi="Arial"/>
                <w:sz w:val="16"/>
                <w:szCs w:val="16"/>
                <w:color w:val="auto"/>
              </w:rPr>
              <w:t>Proceeds from equity offering, net of underwriting discounts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179,306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Repurchase of outstanding equity / Portillo's OpCo units</w:t>
            </w:r>
          </w:p>
        </w:tc>
        <w:tc>
          <w:tcPr>
            <w:tcW w:w="160" w:type="dxa"/>
            <w:vAlign w:val="bottom"/>
            <w:shd w:val="clear" w:color="auto" w:fill="DBDBDB"/>
          </w:tcPr>
          <w:p>
            <w:pPr>
              <w:spacing w:after="0"/>
              <w:rPr>
                <w:sz w:val="21"/>
                <w:szCs w:val="21"/>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(179,306)</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8100" w:type="dxa"/>
            <w:vAlign w:val="bottom"/>
          </w:tcPr>
          <w:p>
            <w:pPr>
              <w:ind w:left="220"/>
              <w:spacing w:after="0"/>
              <w:rPr>
                <w:sz w:val="20"/>
                <w:szCs w:val="20"/>
                <w:color w:val="auto"/>
              </w:rPr>
            </w:pPr>
            <w:r>
              <w:rPr>
                <w:rFonts w:ascii="Arial" w:cs="Arial" w:eastAsia="Arial" w:hAnsi="Arial"/>
                <w:sz w:val="16"/>
                <w:szCs w:val="16"/>
                <w:color w:val="auto"/>
              </w:rPr>
              <w:t>Distributions paid to non-controlling interest holders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81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Proceeds from stock option exercises</w:t>
            </w:r>
          </w:p>
        </w:tc>
        <w:tc>
          <w:tcPr>
            <w:tcW w:w="160" w:type="dxa"/>
            <w:vAlign w:val="bottom"/>
            <w:tcBorders>
              <w:bottom w:val="single" w:sz="8" w:color="DBDBDB"/>
            </w:tcBorders>
            <w:shd w:val="clear" w:color="auto" w:fill="DBDBDB"/>
          </w:tcPr>
          <w:p>
            <w:pPr>
              <w:spacing w:after="0"/>
              <w:rPr>
                <w:sz w:val="21"/>
                <w:szCs w:val="21"/>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1,015</w:t>
            </w:r>
          </w:p>
        </w:tc>
        <w:tc>
          <w:tcPr>
            <w:tcW w:w="12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1,451</w:t>
            </w:r>
          </w:p>
        </w:tc>
      </w:tr>
      <w:tr>
        <w:trPr>
          <w:trHeight w:val="233"/>
        </w:trPr>
        <w:tc>
          <w:tcPr>
            <w:tcW w:w="8100" w:type="dxa"/>
            <w:vAlign w:val="bottom"/>
          </w:tcPr>
          <w:p>
            <w:pPr>
              <w:ind w:left="220"/>
              <w:spacing w:after="0"/>
              <w:rPr>
                <w:sz w:val="20"/>
                <w:szCs w:val="20"/>
                <w:color w:val="auto"/>
              </w:rPr>
            </w:pPr>
            <w:r>
              <w:rPr>
                <w:rFonts w:ascii="Arial" w:cs="Arial" w:eastAsia="Arial" w:hAnsi="Arial"/>
                <w:sz w:val="16"/>
                <w:szCs w:val="16"/>
                <w:color w:val="auto"/>
              </w:rPr>
              <w:t>Employee withholding taxes related to net settled equity awards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81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Proceeds from Employee Stock Purchase Plan purchases</w:t>
            </w:r>
          </w:p>
        </w:tc>
        <w:tc>
          <w:tcPr>
            <w:tcW w:w="160" w:type="dxa"/>
            <w:vAlign w:val="bottom"/>
            <w:tcBorders>
              <w:bottom w:val="single" w:sz="8" w:color="DBDBDB"/>
            </w:tcBorders>
            <w:shd w:val="clear" w:color="auto" w:fill="DBDBDB"/>
          </w:tcPr>
          <w:p>
            <w:pPr>
              <w:spacing w:after="0"/>
              <w:rPr>
                <w:sz w:val="21"/>
                <w:szCs w:val="21"/>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8100" w:type="dxa"/>
            <w:vAlign w:val="bottom"/>
          </w:tcPr>
          <w:p>
            <w:pPr>
              <w:ind w:left="220"/>
              <w:spacing w:after="0"/>
              <w:rPr>
                <w:sz w:val="20"/>
                <w:szCs w:val="20"/>
                <w:color w:val="auto"/>
              </w:rPr>
            </w:pPr>
            <w:r>
              <w:rPr>
                <w:rFonts w:ascii="Arial" w:cs="Arial" w:eastAsia="Arial" w:hAnsi="Arial"/>
                <w:sz w:val="16"/>
                <w:szCs w:val="16"/>
                <w:color w:val="auto"/>
              </w:rPr>
              <w:t>Payments of Tax Receivable Agreement liability</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81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 of deferred financing costs</w:t>
            </w:r>
          </w:p>
        </w:tc>
        <w:tc>
          <w:tcPr>
            <w:tcW w:w="160" w:type="dxa"/>
            <w:vAlign w:val="bottom"/>
            <w:shd w:val="clear" w:color="auto" w:fill="DBDBDB"/>
          </w:tcPr>
          <w:p>
            <w:pPr>
              <w:spacing w:after="0"/>
              <w:rPr>
                <w:sz w:val="21"/>
                <w:szCs w:val="21"/>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(3,569)</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100" w:type="dxa"/>
            <w:vAlign w:val="bottom"/>
          </w:tcPr>
          <w:p>
            <w:pPr>
              <w:ind w:left="220"/>
              <w:spacing w:after="0"/>
              <w:rPr>
                <w:sz w:val="20"/>
                <w:szCs w:val="20"/>
                <w:color w:val="auto"/>
              </w:rPr>
            </w:pPr>
            <w:r>
              <w:rPr>
                <w:rFonts w:ascii="Arial" w:cs="Arial" w:eastAsia="Arial" w:hAnsi="Arial"/>
                <w:sz w:val="16"/>
                <w:szCs w:val="16"/>
                <w:color w:val="auto"/>
              </w:rPr>
              <w:t>Payment of initial public offering issuance costs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(771)</w:t>
            </w:r>
          </w:p>
        </w:tc>
      </w:tr>
      <w:tr>
        <w:trPr>
          <w:trHeight w:val="33"/>
        </w:trPr>
        <w:tc>
          <w:tcPr>
            <w:tcW w:w="8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810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b w:val="1"/>
                <w:bCs w:val="1"/>
                <w:color w:val="auto"/>
              </w:rPr>
              <w:t>NET CASH USED IN FINANCING ACTIVITIES</w:t>
            </w:r>
          </w:p>
        </w:tc>
        <w:tc>
          <w:tcPr>
            <w:tcW w:w="160" w:type="dxa"/>
            <w:vAlign w:val="bottom"/>
            <w:tcBorders>
              <w:bottom w:val="single" w:sz="8" w:color="auto"/>
            </w:tcBorders>
            <w:shd w:val="clear" w:color="auto" w:fill="DBDBDB"/>
          </w:tcPr>
          <w:p>
            <w:pPr>
              <w:spacing w:after="0"/>
              <w:rPr>
                <w:sz w:val="20"/>
                <w:szCs w:val="20"/>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(15,953)</w:t>
            </w:r>
          </w:p>
        </w:tc>
        <w:tc>
          <w:tcPr>
            <w:tcW w:w="120" w:type="dxa"/>
            <w:vAlign w:val="bottom"/>
            <w:tcBorders>
              <w:bottom w:val="single" w:sz="8" w:color="DBDBDB"/>
            </w:tcBorders>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spacing w:after="0"/>
              <w:rPr>
                <w:sz w:val="20"/>
                <w:szCs w:val="20"/>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(982)</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NET (DECREASE) INCREASE IN CASH AND CASH EQUIVALENTS AND RESTRICTED CASH</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(21,970)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10,467</w:t>
            </w:r>
          </w:p>
        </w:tc>
      </w:tr>
      <w:tr>
        <w:trPr>
          <w:trHeight w:val="260"/>
        </w:trPr>
        <w:tc>
          <w:tcPr>
            <w:tcW w:w="8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BEGINNING OF THE PERIOD</w:t>
            </w:r>
          </w:p>
        </w:tc>
        <w:tc>
          <w:tcPr>
            <w:tcW w:w="160" w:type="dxa"/>
            <w:vAlign w:val="bottom"/>
            <w:tcBorders>
              <w:bottom w:val="single" w:sz="8" w:color="DBDBDB"/>
            </w:tcBorders>
            <w:shd w:val="clear" w:color="auto" w:fill="DBDBDB"/>
          </w:tcPr>
          <w:p>
            <w:pPr>
              <w:spacing w:after="0"/>
              <w:rPr>
                <w:sz w:val="22"/>
                <w:szCs w:val="22"/>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44,427</w:t>
            </w:r>
          </w:p>
        </w:tc>
        <w:tc>
          <w:tcPr>
            <w:tcW w:w="12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DBDBDB"/>
            </w:tcBorders>
            <w:shd w:val="clear" w:color="auto" w:fill="DBDBDB"/>
          </w:tcPr>
          <w:p>
            <w:pPr>
              <w:spacing w:after="0"/>
              <w:rPr>
                <w:sz w:val="22"/>
                <w:szCs w:val="22"/>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39,263</w:t>
            </w:r>
          </w:p>
        </w:tc>
      </w:tr>
      <w:tr>
        <w:trPr>
          <w:trHeight w:val="233"/>
        </w:trPr>
        <w:tc>
          <w:tcPr>
            <w:tcW w:w="8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THE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22,457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49,730</w:t>
            </w:r>
          </w:p>
        </w:tc>
      </w:tr>
      <w:tr>
        <w:trPr>
          <w:trHeight w:val="24"/>
        </w:trPr>
        <w:tc>
          <w:tcPr>
            <w:tcW w:w="8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312" w:lineRule="exact"/>
        <w:rPr>
          <w:sz w:val="20"/>
          <w:szCs w:val="20"/>
          <w:color w:val="auto"/>
        </w:rPr>
      </w:pPr>
    </w:p>
    <w:p>
      <w:pPr>
        <w:ind w:left="87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5"/>
          </w:tcPr>
          <w:p>
            <w:pPr>
              <w:ind w:left="620"/>
              <w:spacing w:after="0"/>
              <w:rPr>
                <w:sz w:val="20"/>
                <w:szCs w:val="20"/>
                <w:color w:val="auto"/>
              </w:rPr>
            </w:pPr>
            <w:r>
              <w:rPr>
                <w:rFonts w:ascii="Arial" w:cs="Arial" w:eastAsia="Arial" w:hAnsi="Arial"/>
                <w:sz w:val="16"/>
                <w:szCs w:val="16"/>
                <w:b w:val="1"/>
                <w:bCs w:val="1"/>
                <w:color w:val="auto"/>
              </w:rPr>
              <w:t>Two Quarters Ended</w:t>
            </w:r>
          </w:p>
        </w:tc>
        <w:tc>
          <w:tcPr>
            <w:tcW w:w="0" w:type="dxa"/>
            <w:vAlign w:val="bottom"/>
          </w:tcPr>
          <w:p>
            <w:pPr>
              <w:spacing w:after="0"/>
              <w:rPr>
                <w:sz w:val="1"/>
                <w:szCs w:val="1"/>
                <w:color w:val="auto"/>
              </w:rPr>
            </w:pPr>
          </w:p>
        </w:tc>
      </w:tr>
      <w:tr>
        <w:trPr>
          <w:trHeight w:val="243"/>
        </w:trPr>
        <w:tc>
          <w:tcPr>
            <w:tcW w:w="8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38"/>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26, 2022</w:t>
            </w:r>
          </w:p>
        </w:tc>
        <w:tc>
          <w:tcPr>
            <w:tcW w:w="0" w:type="dxa"/>
            <w:vAlign w:val="bottom"/>
          </w:tcPr>
          <w:p>
            <w:pPr>
              <w:spacing w:after="0"/>
              <w:rPr>
                <w:sz w:val="1"/>
                <w:szCs w:val="1"/>
                <w:color w:val="auto"/>
              </w:rPr>
            </w:pPr>
          </w:p>
        </w:tc>
      </w:tr>
      <w:tr>
        <w:trPr>
          <w:trHeight w:val="21"/>
        </w:trPr>
        <w:tc>
          <w:tcPr>
            <w:tcW w:w="8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1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Interest paid</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13,447</w:t>
            </w:r>
          </w:p>
        </w:tc>
        <w:tc>
          <w:tcPr>
            <w:tcW w:w="28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100" w:type="dxa"/>
            <w:vAlign w:val="bottom"/>
          </w:tcPr>
          <w:p>
            <w:pPr>
              <w:ind w:left="140"/>
              <w:spacing w:after="0"/>
              <w:rPr>
                <w:sz w:val="20"/>
                <w:szCs w:val="20"/>
                <w:color w:val="auto"/>
              </w:rPr>
            </w:pPr>
            <w:r>
              <w:rPr>
                <w:rFonts w:ascii="Arial" w:cs="Arial" w:eastAsia="Arial" w:hAnsi="Arial"/>
                <w:sz w:val="16"/>
                <w:szCs w:val="16"/>
                <w:color w:val="auto"/>
              </w:rPr>
              <w:t>Income tax paid</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8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160" w:type="dxa"/>
            <w:vAlign w:val="bottom"/>
            <w:tcBorders>
              <w:bottom w:val="single" w:sz="8" w:color="DBDBDB"/>
            </w:tcBorders>
            <w:shd w:val="clear" w:color="auto" w:fill="DBDBDB"/>
          </w:tcPr>
          <w:p>
            <w:pPr>
              <w:spacing w:after="0"/>
              <w:rPr>
                <w:sz w:val="21"/>
                <w:szCs w:val="21"/>
                <w:color w:val="auto"/>
              </w:rPr>
            </w:pPr>
          </w:p>
        </w:tc>
        <w:tc>
          <w:tcPr>
            <w:tcW w:w="13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1340" w:type="dxa"/>
            <w:vAlign w:val="bottom"/>
            <w:tcBorders>
              <w:bottom w:val="single" w:sz="8" w:color="DBDBDB"/>
            </w:tcBorders>
            <w:shd w:val="clear" w:color="auto" w:fill="DBDBDB"/>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100" w:type="dxa"/>
            <w:vAlign w:val="bottom"/>
          </w:tcPr>
          <w:p>
            <w:pPr>
              <w:ind w:left="140"/>
              <w:spacing w:after="0"/>
              <w:rPr>
                <w:sz w:val="20"/>
                <w:szCs w:val="20"/>
                <w:color w:val="auto"/>
              </w:rPr>
            </w:pPr>
            <w:r>
              <w:rPr>
                <w:rFonts w:ascii="Arial" w:cs="Arial" w:eastAsia="Arial" w:hAnsi="Arial"/>
                <w:sz w:val="16"/>
                <w:szCs w:val="16"/>
                <w:color w:val="auto"/>
              </w:rPr>
              <w:t>Accrued capital expenditures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6,537</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81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Establishment of liabilities under Tax Receivable Agreement</w:t>
            </w:r>
          </w:p>
        </w:tc>
        <w:tc>
          <w:tcPr>
            <w:tcW w:w="160" w:type="dxa"/>
            <w:vAlign w:val="bottom"/>
            <w:tcBorders>
              <w:bottom w:val="single" w:sz="8" w:color="DBDBDB"/>
            </w:tcBorders>
            <w:shd w:val="clear" w:color="auto" w:fill="DBDBDB"/>
          </w:tcPr>
          <w:p>
            <w:pPr>
              <w:spacing w:after="0"/>
              <w:rPr>
                <w:sz w:val="21"/>
                <w:szCs w:val="21"/>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51,165</w:t>
            </w:r>
          </w:p>
        </w:tc>
        <w:tc>
          <w:tcPr>
            <w:tcW w:w="1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8100" w:type="dxa"/>
            <w:vAlign w:val="bottom"/>
          </w:tcPr>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9"/>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Portillo's Inc.</w:t>
            </w:r>
          </w:p>
        </w:tc>
        <w:tc>
          <w:tcPr>
            <w:tcW w:w="1360" w:type="dxa"/>
            <w:vAlign w:val="bottom"/>
            <w:gridSpan w:val="2"/>
          </w:tcPr>
          <w:p>
            <w:pPr>
              <w:ind w:left="240"/>
              <w:spacing w:after="0"/>
              <w:rPr>
                <w:sz w:val="20"/>
                <w:szCs w:val="20"/>
                <w:color w:val="auto"/>
              </w:rPr>
            </w:pPr>
            <w:r>
              <w:rPr>
                <w:rFonts w:ascii="Arial" w:cs="Arial" w:eastAsia="Arial" w:hAnsi="Arial"/>
                <w:sz w:val="18"/>
                <w:szCs w:val="18"/>
                <w:color w:val="auto"/>
                <w:w w:val="98"/>
              </w:rPr>
              <w:t>Form 10-Q | 8</w:t>
            </w:r>
          </w:p>
        </w:tc>
        <w:tc>
          <w:tcPr>
            <w:tcW w:w="0" w:type="dxa"/>
            <w:vAlign w:val="bottom"/>
          </w:tcPr>
          <w:p>
            <w:pPr>
              <w:spacing w:after="0"/>
              <w:rPr>
                <w:sz w:val="1"/>
                <w:szCs w:val="1"/>
                <w:color w:val="auto"/>
              </w:rPr>
            </w:pPr>
          </w:p>
        </w:tc>
      </w:tr>
      <w:tr>
        <w:trPr>
          <w:trHeight w:val="120"/>
        </w:trPr>
        <w:tc>
          <w:tcPr>
            <w:tcW w:w="8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-316230</wp:posOffset>
            </wp:positionV>
            <wp:extent cx="17145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 cy="1631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PORTILLO'S INC.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1.</w:t>
        <w:tab/>
        <w:t>DESCRIPTION OF BUSINESS</w:t>
      </w:r>
    </w:p>
    <w:p>
      <w:pPr>
        <w:spacing w:after="0" w:line="2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Portillo’s Inc. (the "Company") was formed and incorporated as a Delaware corporation on June 8, 2021. The Company was formed for the purpose of completing an initial public offering ("IPO") and related reorganization transactions (collectively, the "Transactions”) in order to carry on the business of PHD Group Holdings LLC and its subsidiaries ("Portillo's OpCo"). Following the consummation of the Transactions on October 20, 2021, the Company became the sole managing member of Portillo’s OpCo, and as sole managing member, the Company operates and controls all of the business and affairs of Portillo's OpCo. As a result, the Company consolidates the financial results of Portillo's OpCo and reports a non-controlling interest representing the economic interest in Portillo's OpCo held by the other members of Portillo's OpCo (the "pre-IPO LLC Members"). Unless the context otherwise requires, references to "we," "us," "our," "Portillo's," and the "Company" refer to Portillo's Inc. and its subsidiaries, including Portillo's OpCo.</w:t>
      </w:r>
    </w:p>
    <w:p>
      <w:pPr>
        <w:spacing w:after="0" w:line="21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operates fast-casual restaurants in 10 states, along with two food production commissaries in Illinois. As of June 25, 2023 and December 25, 2022, the Company had 75 and 71 restaurants in operation, respectively. The Company also had two non-traditional locations in operation as of June 25, 2023 and December 25, 2022. These non-traditional locations include a food truck and a ghost kitchen (small kitchen with no store-front presence, used to fill online orders). Portillo's additionally has a 50% interest in a single restaurant owned by C&amp;O, which is excluded from the Company's restaurant count. The Company’s principal corporate offices are located in Oak Brook, Illinois.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Offerings</w:t>
      </w:r>
    </w:p>
    <w:p>
      <w:pPr>
        <w:spacing w:after="0" w:line="27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first quarter of 2023, the Company completed a secondary offering of 8,000,000 shares of the Company's Class A common stock at an offering price of $21.05 per share. On April 5, 2023, the Underwriter exercised its overallotment option in part, to purchase an additional 620,493 shares of the Company's Class A common stock at an offering price of $21.05 per share (collectively the "Q1 Secondary Offering and Overallotment Option"). We used all of the net proceeds from the Q1 Secondary Offering and Overallotment Option to purchase LLC Units and corresponding shares of Class B common stock from certain pre-IPO LLC Members and to repurchase shares of Class A common stock from the shareholders of the entities treated as corporations for U.S. tax purposes that held LLC Units prior to the Transactions ("Blocker Companies") at a price per LLC Unit or share of Class A common stock, as applicable, equal to the public offering price per share of Class A common stock, less the underwriting discounts and commissions. The proceeds from the Q1 Secondary Offering and Overallotment Option were used to (i) purchase 2,269,776 existing shares of Class A common stock from the shareholders of the Blocker Companies and (ii) redeem 6,350,717 LLC Units held by the pre-IPO LLC Members. In connection with the redemption, 6,350,717 shares of Class B common stock were surrendered by the pre-IPO LLC Members and canceled and the Company received 6,350,717 newly-issued LLC Units, increasing the Company's total ownership interest in Portillo's OpCo. As a result, Portillo’s did not receive any proceeds from the offering, and the total number of shares of Class A common stock and Class B common stock did not change; however, the number of outstanding shares of Class A common stock increased by the same number of the canceled shares of Class B common stock.</w:t>
      </w:r>
    </w:p>
    <w:p>
      <w:pPr>
        <w:spacing w:after="0" w:line="2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the third and fourth quarters of 2022, the Company completed two secondary offerings of 8,066,458 shares (including 66,458 shares sold to the underwriters pursuant to their overallotment option) and 8,000,000 shares, respectively, of the Company's Class A common stock at an offering price of $23.75 and $22.69, respectively, per share.</w:t>
      </w:r>
    </w:p>
    <w:p>
      <w:pPr>
        <w:spacing w:after="0" w:line="21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As of June 25, 2023, the Company owns 75.9% of Portillo's OpCo and the pre-IPO LLC Members own the remaining 24.1% of Portillo's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PORTILLO'S INC.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2.</w:t>
        <w:tab/>
        <w:t>SUMMARY OF SIGNIFICANT ACCOUNTING POLICIES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Basis of Presentation</w:t>
      </w:r>
    </w:p>
    <w:p>
      <w:pPr>
        <w:spacing w:after="0" w:line="2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has prepared the accompanying unaudited condensed consolidated financial statements in accordance with accounting principles generally accepted in the United States of America ("GAAP") for interim financial statements and pursuant to the rules and regulations of the Securities and Exchange Commission (the "SEC"). In the opinion of management, the accompanying unaudited condensed consolidated financial statements reflect all adjustments consisting of normal recurring adjustments necessary for a fair presentation of our financial position and results of operations. Interim results of operations are not necessarily indicative of the results that may be achieved for the full year. The financial statements and related notes do not include all information and footnotes required by GAAP for annual reports. The unaudited condensed consolidated financial statements should be read in conjunction with the consolidated financial statements and notes included in our Annual Report on Form 10-K for the fiscal year ended December 25,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52"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The Company does not have any components of other comprehensive income (loss) recorded within its condensed consolidated financial statements, and therefore, does not separately present a statement of comprehensive income (loss).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Segment Reporting</w:t>
      </w:r>
    </w:p>
    <w:p>
      <w:pPr>
        <w:spacing w:after="0" w:line="2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owns and operates fast-casual restaurants in the United States, along with two food production commissaries in Illinois. The Company’s chief operating decision maker (the “CODM”) is its Chief Executive Officer ("CEO"). The CODM reviews financial performance and allocates resources at a consolidated level on a recurring basis. The Company has one operating segment and one reportable segment.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Fiscal Year</w:t>
      </w:r>
    </w:p>
    <w:p>
      <w:pPr>
        <w:spacing w:after="0" w:line="25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Company uses a 52- or 53-week fiscal year ending on the Sunday prior to or on December 31. In a 52-week fiscal year, each quarterly period is comprised of 13 weeks. The additional week in a 53-week fiscal year is added to the fourth quarter. Fiscal 2023 and 2022 consist of 53 and 52 weeks, respectively. The fiscal periods presented in this report are the quarters and two quarters ended June 25, 2023 and June 26, 2022,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Use of Estimates</w:t>
      </w:r>
    </w:p>
    <w:p>
      <w:pPr>
        <w:spacing w:after="0" w:line="2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preparation of these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sales and expenses during the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PORTILLO'S INC.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Recently Adopted Accounting Standards</w:t>
      </w:r>
    </w:p>
    <w:p>
      <w:pPr>
        <w:spacing w:after="0" w:line="27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March 2020, the Financial Accounting Standards Board ("FASB") issued Accounting Standards Update ("ASU") No. 2020-04, Reference Rate Reform (Topic 848): Facilitation of the Effects of Reference Rate Reform on Financial Reporting.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generally can be applied to applicable contract modifications through December 31, 2022. FASB has extended the sunset date to December 31, 2024. The Company does not believe the impact of the transition from LIBOR to alternative reference rates is material to its consolidated financial statements.</w:t>
      </w:r>
    </w:p>
    <w:p>
      <w:pPr>
        <w:spacing w:after="0" w:line="22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February 2016, the FASB issued ASU No. 2016-02, Leases (Topic 842) ("ASC 842"), along with related clarifications and improvements. The pronouncement requires lessees to recognize a liability, which represents the discounted obligation to make future minimum lease payments, and a corresponding right-of-use asset on the balance sheet. The guidance requires disclosure of key information about leasing arrangements that is intended to give financial statement users the ability to assess the amount, timing, and potential uncertainty of cash flows related to leases. The update is effective for fiscal years beginning after December 15, 2021, with early adoption permitted. The Company adopted this standard effective December 27, 2021, electing the modified retrospective approach to apply the standard as of the transition date. We have elected the transition package of three practical expedients permitted under the new standard, which eliminates the requirement to reassess the conclusions about historical lease identifications, lease classifications, and initial direct costs. We did not elect the hindsight practical expedient, which permits the use of hindsight when determining lease terms and impairments of right-of-use assets. We elected to apply the practical expedient of combining lease and non-lease components. Additionally, we elected to utilize the short-term lease exception policy, which allows us to not apply the recognition requirements of this standard to leases with a term of 12 months or less. The adoption of this standard had a significant impact on the Company’s condensed consolidated balance sheet as we recognized the right-of-use asset and lease liabilities for our operating leases. The adoption had an immaterial impact on the condensed consolidated statement of operations, cash flows and overall liquidity. See Note 9. Leases for additional information.</w:t>
      </w:r>
    </w:p>
    <w:p>
      <w:pPr>
        <w:spacing w:after="0" w:line="224"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The Company reviewed all other recently issued accounting pronouncements and concluded that they were either not applicable or not expected to have a significant impact to its condensed consolidated financial statements.</w:t>
      </w:r>
    </w:p>
    <w:p>
      <w:pPr>
        <w:spacing w:after="0" w:line="183"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3.</w:t>
        <w:tab/>
        <w:t>REVENUE RECOGNITION</w:t>
      </w:r>
    </w:p>
    <w:p>
      <w:pPr>
        <w:spacing w:after="0" w:line="2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Revenues from retail restaurants are presented net of discounts and recognized when food and beverage products are sold to the end customer. Sales taxes collected from customers are excluded from revenues and the obligation is included in accrued liabilities until the taxes are remitted to the appropriate taxing authorities.</w:t>
      </w:r>
    </w:p>
    <w:p>
      <w:pPr>
        <w:spacing w:after="0" w:line="2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Delivery sales are generally fulfilled by third-party delivery partners whether ordered through the Portillo's app and website ("Dispatch Sales") or through third-party delivery partners ("Marketplace Sales"). Dispatch Sales include delivery and service fees as the Company controls the delivery. Revenue from Dispatch Sales is recognized when food is delivered to the customer. For these sales, the Company receives payment directly from the customer at the time of sale. Revenue for Marketplace Sales is recognized in the amount paid to the delivery partner by the customer for food and excludes delivery and service fees charged by the third-party delivery partner as the Company does not control the delivery. Revenue from Marketplace Sales is recognized when food is delivered to the customer. For these sales, the Company receives payment from the delivery partner subsequent to the transfer of order, which is generally paid one week in arrears. For all delivery sales of food, the Company is considered the principal and recognizes revenue on a gross basis.</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sells gift cards which do not have expiration dates. The Company records the sale of the gift card as a contract liability and recognizes revenue from gift cards when: (i) the gift card is redeemed by the customer; or (ii) in the event a gift card is not expected to be redeemed, in proportion to the pattern of rights exercised by the customer (gift card breakage). The Company has determined that 11% of gift card sales will not be redeemed and will be retained by us based on a portfolio assessment of historical data on gift card redemption patterns. Gift card breakage is recorded within revenues, net in the condensed consolidated statements of operations. The Company recognized gift card breakage of $0.2 million and $0.5 million for the quarter and two quarters ended June 25, 2023, respectively, and $0.2 million and $0.5 million for the quarter and two quarters ended June 26, 2022,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PORTILLO'S INC.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The Company’s revenue related to performance obligations not yet satisfied is revenue from gift cards sold but not yet redeemed. The gift card liability included in current deferred revenue on the condensed consolidated balance sheets is as follows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25, 2022</w:t>
            </w:r>
          </w:p>
        </w:tc>
      </w:tr>
      <w:tr>
        <w:trPr>
          <w:trHeight w:val="221"/>
        </w:trPr>
        <w:tc>
          <w:tcPr>
            <w:tcW w:w="7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Gift card liability</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4,624</w:t>
            </w:r>
          </w:p>
        </w:tc>
        <w:tc>
          <w:tcPr>
            <w:tcW w:w="720" w:type="dxa"/>
            <w:vAlign w:val="bottom"/>
            <w:gridSpan w:val="2"/>
            <w:shd w:val="clear" w:color="auto" w:fill="DBDBDB"/>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6,988</w:t>
            </w:r>
          </w:p>
        </w:tc>
      </w:tr>
      <w:tr>
        <w:trPr>
          <w:trHeight w:val="33"/>
        </w:trPr>
        <w:tc>
          <w:tcPr>
            <w:tcW w:w="790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4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620" w:type="dxa"/>
            <w:vAlign w:val="bottom"/>
            <w:shd w:val="clear" w:color="auto" w:fill="DBDBDB"/>
          </w:tcPr>
          <w:p>
            <w:pPr>
              <w:spacing w:after="0"/>
              <w:rPr>
                <w:sz w:val="2"/>
                <w:szCs w:val="2"/>
                <w:color w:val="auto"/>
              </w:rPr>
            </w:pPr>
          </w:p>
        </w:tc>
        <w:tc>
          <w:tcPr>
            <w:tcW w:w="1000" w:type="dxa"/>
            <w:vAlign w:val="bottom"/>
            <w:shd w:val="clear" w:color="auto" w:fill="DBDBDB"/>
          </w:tcPr>
          <w:p>
            <w:pPr>
              <w:spacing w:after="0"/>
              <w:rPr>
                <w:sz w:val="2"/>
                <w:szCs w:val="2"/>
                <w:color w:val="auto"/>
              </w:rPr>
            </w:pPr>
          </w:p>
        </w:tc>
      </w:tr>
    </w:tbl>
    <w:p>
      <w:pPr>
        <w:spacing w:after="0" w:line="31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Revenue recognized in the condensed consolidated statement of operations for the redemption of gift cards that were included in their respective liability balances at the beginning of the year is as follows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4"/>
          </w:tcPr>
          <w:p>
            <w:pPr>
              <w:jc w:val="right"/>
              <w:ind w:right="1019"/>
              <w:spacing w:after="0"/>
              <w:rPr>
                <w:sz w:val="20"/>
                <w:szCs w:val="20"/>
                <w:color w:val="auto"/>
              </w:rPr>
            </w:pPr>
            <w:r>
              <w:rPr>
                <w:rFonts w:ascii="Arial" w:cs="Arial" w:eastAsia="Arial" w:hAnsi="Arial"/>
                <w:sz w:val="16"/>
                <w:szCs w:val="16"/>
                <w:b w:val="1"/>
                <w:bCs w:val="1"/>
                <w:color w:val="auto"/>
              </w:rPr>
              <w:t>Quarter Ended</w:t>
            </w:r>
          </w:p>
        </w:tc>
        <w:tc>
          <w:tcPr>
            <w:tcW w:w="260" w:type="dxa"/>
            <w:vAlign w:val="bottom"/>
          </w:tcPr>
          <w:p>
            <w:pPr>
              <w:spacing w:after="0"/>
              <w:rPr>
                <w:sz w:val="19"/>
                <w:szCs w:val="19"/>
                <w:color w:val="auto"/>
              </w:rPr>
            </w:pPr>
          </w:p>
        </w:tc>
        <w:tc>
          <w:tcPr>
            <w:tcW w:w="308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Two Quarters Ended</w:t>
            </w:r>
          </w:p>
        </w:tc>
      </w:tr>
      <w:tr>
        <w:trPr>
          <w:trHeight w:val="260"/>
        </w:trPr>
        <w:tc>
          <w:tcPr>
            <w:tcW w:w="4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June 26, 2022</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26, 2022</w:t>
            </w:r>
          </w:p>
        </w:tc>
      </w:tr>
      <w:tr>
        <w:trPr>
          <w:trHeight w:val="203"/>
        </w:trPr>
        <w:tc>
          <w:tcPr>
            <w:tcW w:w="4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 recognized from gift card liability balance at the</w:t>
            </w:r>
          </w:p>
        </w:tc>
        <w:tc>
          <w:tcPr>
            <w:tcW w:w="18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r>
      <w:tr>
        <w:trPr>
          <w:trHeight w:val="207"/>
        </w:trPr>
        <w:tc>
          <w:tcPr>
            <w:tcW w:w="4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beginning of the year</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900</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830</w:t>
            </w:r>
          </w:p>
        </w:tc>
        <w:tc>
          <w:tcPr>
            <w:tcW w:w="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2,837</w:t>
            </w:r>
          </w:p>
        </w:tc>
        <w:tc>
          <w:tcPr>
            <w:tcW w:w="28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2,681</w:t>
            </w:r>
          </w:p>
        </w:tc>
      </w:tr>
      <w:tr>
        <w:trPr>
          <w:trHeight w:val="33"/>
        </w:trPr>
        <w:tc>
          <w:tcPr>
            <w:tcW w:w="462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4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420" w:type="dxa"/>
            <w:vAlign w:val="bottom"/>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14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400" w:type="dxa"/>
            <w:vAlign w:val="bottom"/>
            <w:shd w:val="clear" w:color="auto" w:fill="DBDBDB"/>
          </w:tcPr>
          <w:p>
            <w:pPr>
              <w:spacing w:after="0"/>
              <w:rPr>
                <w:sz w:val="2"/>
                <w:szCs w:val="2"/>
                <w:color w:val="auto"/>
              </w:rPr>
            </w:pPr>
          </w:p>
        </w:tc>
      </w:tr>
    </w:tbl>
    <w:p>
      <w:pPr>
        <w:spacing w:after="0" w:line="294"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4.</w:t>
        <w:tab/>
        <w:t>INVENTORIES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Borders>
              <w:bottom w:val="single" w:sz="8" w:color="DBDBDB"/>
            </w:tcBorders>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Raw materials</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4,711</w:t>
            </w:r>
          </w:p>
        </w:tc>
        <w:tc>
          <w:tcPr>
            <w:tcW w:w="720" w:type="dxa"/>
            <w:vAlign w:val="bottom"/>
            <w:gridSpan w:val="2"/>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5,722</w:t>
            </w:r>
          </w:p>
        </w:tc>
      </w:tr>
      <w:tr>
        <w:trPr>
          <w:trHeight w:val="223"/>
        </w:trPr>
        <w:tc>
          <w:tcPr>
            <w:tcW w:w="7920" w:type="dxa"/>
            <w:vAlign w:val="bottom"/>
          </w:tcPr>
          <w:p>
            <w:pPr>
              <w:ind w:left="20"/>
              <w:spacing w:after="0"/>
              <w:rPr>
                <w:sz w:val="20"/>
                <w:szCs w:val="20"/>
                <w:color w:val="auto"/>
              </w:rPr>
            </w:pPr>
            <w:r>
              <w:rPr>
                <w:rFonts w:ascii="Arial" w:cs="Arial" w:eastAsia="Arial" w:hAnsi="Arial"/>
                <w:sz w:val="16"/>
                <w:szCs w:val="16"/>
                <w:color w:val="auto"/>
              </w:rPr>
              <w:t>Work in progress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33"/>
        </w:trPr>
        <w:tc>
          <w:tcPr>
            <w:tcW w:w="7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Finished goods</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DBDBDB"/>
          </w:tcPr>
          <w:p>
            <w:pPr>
              <w:spacing w:after="0"/>
              <w:rPr>
                <w:sz w:val="21"/>
                <w:szCs w:val="21"/>
                <w:color w:val="auto"/>
              </w:rPr>
            </w:pPr>
          </w:p>
        </w:tc>
        <w:tc>
          <w:tcPr>
            <w:tcW w:w="620" w:type="dxa"/>
            <w:vAlign w:val="bottom"/>
            <w:shd w:val="clear" w:color="auto" w:fill="DBDBDB"/>
          </w:tcPr>
          <w:p>
            <w:pPr>
              <w:spacing w:after="0"/>
              <w:rPr>
                <w:sz w:val="21"/>
                <w:szCs w:val="21"/>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876</w:t>
            </w:r>
          </w:p>
        </w:tc>
      </w:tr>
      <w:tr>
        <w:trPr>
          <w:trHeight w:val="250"/>
        </w:trPr>
        <w:tc>
          <w:tcPr>
            <w:tcW w:w="79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Consigned inventory</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w:t>
            </w:r>
          </w:p>
        </w:tc>
        <w:tc>
          <w:tcPr>
            <w:tcW w:w="100" w:type="dxa"/>
            <w:vAlign w:val="bottom"/>
            <w:tcBorders>
              <w:bottom w:val="single" w:sz="8" w:color="DBDBDB"/>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r>
      <w:tr>
        <w:trPr>
          <w:trHeight w:val="257"/>
        </w:trPr>
        <w:tc>
          <w:tcPr>
            <w:tcW w:w="7920" w:type="dxa"/>
            <w:vAlign w:val="bottom"/>
            <w:shd w:val="clear" w:color="auto" w:fill="DBDBDB"/>
          </w:tcPr>
          <w:p>
            <w:pPr>
              <w:spacing w:after="0"/>
              <w:rPr>
                <w:sz w:val="22"/>
                <w:szCs w:val="22"/>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6,493</w:t>
            </w:r>
          </w:p>
        </w:tc>
        <w:tc>
          <w:tcPr>
            <w:tcW w:w="720" w:type="dxa"/>
            <w:vAlign w:val="bottom"/>
            <w:gridSpan w:val="2"/>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7,387</w:t>
            </w:r>
          </w:p>
        </w:tc>
      </w:tr>
      <w:tr>
        <w:trPr>
          <w:trHeight w:val="20"/>
        </w:trPr>
        <w:tc>
          <w:tcPr>
            <w:tcW w:w="79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5.</w:t>
      </w:r>
      <w:r>
        <w:rPr>
          <w:sz w:val="20"/>
          <w:szCs w:val="20"/>
          <w:color w:val="auto"/>
        </w:rPr>
        <w:tab/>
      </w:r>
      <w:r>
        <w:rPr>
          <w:rFonts w:ascii="Arial" w:cs="Arial" w:eastAsia="Arial" w:hAnsi="Arial"/>
          <w:sz w:val="24"/>
          <w:szCs w:val="24"/>
          <w:b w:val="1"/>
          <w:bCs w:val="1"/>
          <w:color w:val="414042"/>
        </w:rPr>
        <w:t>PROPERTY &amp; EQUIPMENT,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June 25, 2023</w:t>
            </w:r>
          </w:p>
        </w:tc>
        <w:tc>
          <w:tcPr>
            <w:tcW w:w="120" w:type="dxa"/>
            <w:vAlign w:val="bottom"/>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25, 2022</w:t>
            </w:r>
          </w:p>
        </w:tc>
      </w:tr>
      <w:tr>
        <w:trPr>
          <w:trHeight w:val="234"/>
        </w:trPr>
        <w:tc>
          <w:tcPr>
            <w:tcW w:w="7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Land improvements</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16,525</w:t>
            </w:r>
          </w:p>
        </w:tc>
        <w:tc>
          <w:tcPr>
            <w:tcW w:w="600" w:type="dxa"/>
            <w:vAlign w:val="bottom"/>
            <w:tcBorders>
              <w:bottom w:val="single" w:sz="8" w:color="DBDBDB"/>
            </w:tcBorders>
            <w:gridSpan w:val="2"/>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16,369</w:t>
            </w:r>
          </w:p>
        </w:tc>
      </w:tr>
      <w:tr>
        <w:trPr>
          <w:trHeight w:val="233"/>
        </w:trPr>
        <w:tc>
          <w:tcPr>
            <w:tcW w:w="7920" w:type="dxa"/>
            <w:vAlign w:val="bottom"/>
          </w:tcPr>
          <w:p>
            <w:pPr>
              <w:ind w:left="20"/>
              <w:spacing w:after="0"/>
              <w:rPr>
                <w:sz w:val="20"/>
                <w:szCs w:val="20"/>
                <w:color w:val="auto"/>
              </w:rPr>
            </w:pPr>
            <w:r>
              <w:rPr>
                <w:rFonts w:ascii="Arial" w:cs="Arial" w:eastAsia="Arial" w:hAnsi="Arial"/>
                <w:sz w:val="16"/>
                <w:szCs w:val="16"/>
                <w:color w:val="auto"/>
              </w:rPr>
              <w:t>Furniture, fixtures, and equipment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139,943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126,130</w:t>
            </w:r>
          </w:p>
        </w:tc>
      </w:tr>
      <w:tr>
        <w:trPr>
          <w:trHeight w:val="246"/>
        </w:trPr>
        <w:tc>
          <w:tcPr>
            <w:tcW w:w="7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Leasehold improvements</w:t>
            </w:r>
          </w:p>
        </w:tc>
        <w:tc>
          <w:tcPr>
            <w:tcW w:w="180" w:type="dxa"/>
            <w:vAlign w:val="bottom"/>
            <w:tcBorders>
              <w:bottom w:val="single" w:sz="8" w:color="DBDBDB"/>
            </w:tcBorders>
            <w:shd w:val="clear" w:color="auto" w:fill="DBDBDB"/>
          </w:tcPr>
          <w:p>
            <w:pPr>
              <w:spacing w:after="0"/>
              <w:rPr>
                <w:sz w:val="21"/>
                <w:szCs w:val="21"/>
                <w:color w:val="auto"/>
              </w:rPr>
            </w:pP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180,639</w:t>
            </w:r>
          </w:p>
        </w:tc>
        <w:tc>
          <w:tcPr>
            <w:tcW w:w="12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DBDBDB"/>
            </w:tcBorders>
            <w:shd w:val="clear" w:color="auto" w:fill="DBDBDB"/>
          </w:tcPr>
          <w:p>
            <w:pPr>
              <w:spacing w:after="0"/>
              <w:rPr>
                <w:sz w:val="21"/>
                <w:szCs w:val="21"/>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153,341</w:t>
            </w:r>
          </w:p>
        </w:tc>
      </w:tr>
      <w:tr>
        <w:trPr>
          <w:trHeight w:val="233"/>
        </w:trPr>
        <w:tc>
          <w:tcPr>
            <w:tcW w:w="7920" w:type="dxa"/>
            <w:vAlign w:val="bottom"/>
          </w:tcPr>
          <w:p>
            <w:pPr>
              <w:ind w:left="20"/>
              <w:spacing w:after="0"/>
              <w:rPr>
                <w:sz w:val="20"/>
                <w:szCs w:val="20"/>
                <w:color w:val="auto"/>
              </w:rPr>
            </w:pPr>
            <w:r>
              <w:rPr>
                <w:rFonts w:ascii="Arial" w:cs="Arial" w:eastAsia="Arial" w:hAnsi="Arial"/>
                <w:sz w:val="16"/>
                <w:szCs w:val="16"/>
                <w:color w:val="auto"/>
              </w:rPr>
              <w:t>Transportation equipment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2,672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2,281</w:t>
            </w:r>
          </w:p>
        </w:tc>
      </w:tr>
      <w:tr>
        <w:trPr>
          <w:trHeight w:val="246"/>
        </w:trPr>
        <w:tc>
          <w:tcPr>
            <w:tcW w:w="7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Construction-in-progress</w:t>
            </w:r>
          </w:p>
        </w:tc>
        <w:tc>
          <w:tcPr>
            <w:tcW w:w="180" w:type="dxa"/>
            <w:vAlign w:val="bottom"/>
            <w:tcBorders>
              <w:bottom w:val="single" w:sz="8" w:color="auto"/>
            </w:tcBorders>
            <w:shd w:val="clear" w:color="auto" w:fill="DBDBDB"/>
          </w:tcPr>
          <w:p>
            <w:pPr>
              <w:spacing w:after="0"/>
              <w:rPr>
                <w:sz w:val="21"/>
                <w:szCs w:val="21"/>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26,081</w:t>
            </w:r>
          </w:p>
        </w:tc>
        <w:tc>
          <w:tcPr>
            <w:tcW w:w="12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35,386</w:t>
            </w:r>
          </w:p>
        </w:tc>
      </w:tr>
      <w:tr>
        <w:trPr>
          <w:trHeight w:val="223"/>
        </w:trPr>
        <w:tc>
          <w:tcPr>
            <w:tcW w:w="7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365,860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333,507</w:t>
            </w:r>
          </w:p>
        </w:tc>
      </w:tr>
      <w:tr>
        <w:trPr>
          <w:trHeight w:val="33"/>
        </w:trPr>
        <w:tc>
          <w:tcPr>
            <w:tcW w:w="7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7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Less accumulated depreciation</w:t>
            </w:r>
          </w:p>
        </w:tc>
        <w:tc>
          <w:tcPr>
            <w:tcW w:w="180" w:type="dxa"/>
            <w:vAlign w:val="bottom"/>
            <w:tcBorders>
              <w:bottom w:val="single" w:sz="8" w:color="auto"/>
            </w:tcBorders>
            <w:shd w:val="clear" w:color="auto" w:fill="DBDBDB"/>
          </w:tcPr>
          <w:p>
            <w:pPr>
              <w:spacing w:after="0"/>
              <w:rPr>
                <w:sz w:val="20"/>
                <w:szCs w:val="20"/>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(115,417)</w:t>
            </w:r>
          </w:p>
        </w:tc>
        <w:tc>
          <w:tcPr>
            <w:tcW w:w="120" w:type="dxa"/>
            <w:vAlign w:val="bottom"/>
            <w:tcBorders>
              <w:bottom w:val="single" w:sz="8" w:color="DBDBDB"/>
            </w:tcBorders>
            <w:shd w:val="clear" w:color="auto" w:fill="DBDBDB"/>
          </w:tcPr>
          <w:p>
            <w:pPr>
              <w:spacing w:after="0"/>
              <w:rPr>
                <w:sz w:val="20"/>
                <w:szCs w:val="20"/>
                <w:color w:val="auto"/>
              </w:rPr>
            </w:pPr>
          </w:p>
        </w:tc>
        <w:tc>
          <w:tcPr>
            <w:tcW w:w="480" w:type="dxa"/>
            <w:vAlign w:val="bottom"/>
            <w:tcBorders>
              <w:bottom w:val="single" w:sz="8" w:color="auto"/>
            </w:tcBorders>
            <w:shd w:val="clear" w:color="auto" w:fill="DBDBDB"/>
          </w:tcPr>
          <w:p>
            <w:pPr>
              <w:spacing w:after="0"/>
              <w:rPr>
                <w:sz w:val="20"/>
                <w:szCs w:val="20"/>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(106,471)</w:t>
            </w:r>
          </w:p>
        </w:tc>
      </w:tr>
      <w:tr>
        <w:trPr>
          <w:trHeight w:val="236"/>
        </w:trPr>
        <w:tc>
          <w:tcPr>
            <w:tcW w:w="79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250,443</w:t>
            </w:r>
          </w:p>
        </w:tc>
        <w:tc>
          <w:tcPr>
            <w:tcW w:w="60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227,036</w:t>
            </w:r>
          </w:p>
        </w:tc>
      </w:tr>
      <w:tr>
        <w:trPr>
          <w:trHeight w:val="27"/>
        </w:trPr>
        <w:tc>
          <w:tcPr>
            <w:tcW w:w="79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3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Depreciation expense was $5.2 million and $10.2 million for the quarter and two quarters ended June 25, 2023, respectively, and $4.5 million and $8.9 million for the quarter and two quarters ended June 26, 2022, respectively, and is included in depreciation and amortization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6.</w:t>
        <w:tab/>
        <w:t>GOODWILL &amp; INTANGIBLE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reporting unit for goodwill which is evaluated for impairment annually in the fourth quarter of each fiscal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Intangibles, net consisted of the following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tcPr>
          <w:p>
            <w:pPr>
              <w:jc w:val="right"/>
              <w:ind w:right="79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21"/>
        </w:trPr>
        <w:tc>
          <w:tcPr>
            <w:tcW w:w="2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r>
        <w:trPr>
          <w:trHeight w:val="270"/>
        </w:trPr>
        <w:tc>
          <w:tcPr>
            <w:tcW w:w="2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00" w:type="dxa"/>
            <w:vAlign w:val="bottom"/>
          </w:tcPr>
          <w:p>
            <w:pPr>
              <w:jc w:val="right"/>
              <w:ind w:right="399"/>
              <w:spacing w:after="0"/>
              <w:rPr>
                <w:sz w:val="20"/>
                <w:szCs w:val="20"/>
                <w:color w:val="auto"/>
              </w:rPr>
            </w:pPr>
            <w:r>
              <w:rPr>
                <w:rFonts w:ascii="Arial" w:cs="Arial" w:eastAsia="Arial" w:hAnsi="Arial"/>
                <w:sz w:val="16"/>
                <w:szCs w:val="16"/>
                <w:b w:val="1"/>
                <w:bCs w:val="1"/>
                <w:color w:val="auto"/>
              </w:rPr>
              <w:t>Gross Carrying Amount</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80" w:type="dxa"/>
            <w:vAlign w:val="bottom"/>
          </w:tcPr>
          <w:p>
            <w:pPr>
              <w:jc w:val="right"/>
              <w:ind w:right="319"/>
              <w:spacing w:after="0"/>
              <w:rPr>
                <w:sz w:val="20"/>
                <w:szCs w:val="20"/>
                <w:color w:val="auto"/>
              </w:rPr>
            </w:pPr>
            <w:r>
              <w:rPr>
                <w:rFonts w:ascii="Arial" w:cs="Arial" w:eastAsia="Arial" w:hAnsi="Arial"/>
                <w:sz w:val="16"/>
                <w:szCs w:val="16"/>
                <w:b w:val="1"/>
                <w:bCs w:val="1"/>
                <w:color w:val="auto"/>
              </w:rPr>
              <w:t>Accumulated Amortization</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6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Carrying Amount</w:t>
            </w:r>
          </w:p>
        </w:tc>
      </w:tr>
      <w:tr>
        <w:trPr>
          <w:trHeight w:val="21"/>
        </w:trPr>
        <w:tc>
          <w:tcPr>
            <w:tcW w:w="2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r>
        <w:trPr>
          <w:trHeight w:val="250"/>
        </w:trPr>
        <w:tc>
          <w:tcPr>
            <w:tcW w:w="2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Pr>
          <w:p>
            <w:pPr>
              <w:spacing w:after="0"/>
              <w:rPr>
                <w:sz w:val="21"/>
                <w:szCs w:val="21"/>
                <w:color w:val="auto"/>
              </w:rPr>
            </w:pPr>
          </w:p>
        </w:tc>
      </w:tr>
      <w:tr>
        <w:trPr>
          <w:trHeight w:val="237"/>
        </w:trPr>
        <w:tc>
          <w:tcPr>
            <w:tcW w:w="2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300" w:type="dxa"/>
            <w:vAlign w:val="bottom"/>
            <w:tcBorders>
              <w:bottom w:val="single" w:sz="8" w:color="DBDBDB"/>
            </w:tcBorders>
            <w:shd w:val="clear" w:color="auto" w:fill="DBDBDB"/>
          </w:tcPr>
          <w:p>
            <w:pPr>
              <w:spacing w:after="0"/>
              <w:rPr>
                <w:sz w:val="20"/>
                <w:szCs w:val="20"/>
                <w:color w:val="auto"/>
              </w:rPr>
            </w:pPr>
          </w:p>
        </w:tc>
        <w:tc>
          <w:tcPr>
            <w:tcW w:w="250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DBDBDB"/>
            </w:tcBorders>
            <w:shd w:val="clear" w:color="auto" w:fill="DBDBDB"/>
          </w:tcPr>
          <w:p>
            <w:pPr>
              <w:spacing w:after="0"/>
              <w:rPr>
                <w:sz w:val="20"/>
                <w:szCs w:val="20"/>
                <w:color w:val="auto"/>
              </w:rPr>
            </w:pPr>
          </w:p>
        </w:tc>
        <w:tc>
          <w:tcPr>
            <w:tcW w:w="258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360" w:type="dxa"/>
            <w:vAlign w:val="bottom"/>
            <w:tcBorders>
              <w:bottom w:val="single" w:sz="8" w:color="DBDBDB"/>
            </w:tcBorders>
            <w:shd w:val="clear" w:color="auto" w:fill="DBDBDB"/>
          </w:tcPr>
          <w:p>
            <w:pPr>
              <w:spacing w:after="0"/>
              <w:rPr>
                <w:sz w:val="20"/>
                <w:szCs w:val="20"/>
                <w:color w:val="auto"/>
              </w:rPr>
            </w:pPr>
          </w:p>
        </w:tc>
        <w:tc>
          <w:tcPr>
            <w:tcW w:w="2460" w:type="dxa"/>
            <w:vAlign w:val="bottom"/>
            <w:tcBorders>
              <w:bottom w:val="single" w:sz="8" w:color="DBDBDB"/>
            </w:tcBorders>
            <w:shd w:val="clear" w:color="auto" w:fill="DBDBDB"/>
          </w:tcPr>
          <w:p>
            <w:pPr>
              <w:spacing w:after="0"/>
              <w:rPr>
                <w:sz w:val="20"/>
                <w:szCs w:val="20"/>
                <w:color w:val="auto"/>
              </w:rPr>
            </w:pPr>
          </w:p>
        </w:tc>
      </w:tr>
      <w:tr>
        <w:trPr>
          <w:trHeight w:val="233"/>
        </w:trPr>
        <w:tc>
          <w:tcPr>
            <w:tcW w:w="256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500" w:type="dxa"/>
            <w:vAlign w:val="bottom"/>
          </w:tcPr>
          <w:p>
            <w:pPr>
              <w:jc w:val="right"/>
              <w:spacing w:after="0"/>
              <w:rPr>
                <w:sz w:val="20"/>
                <w:szCs w:val="20"/>
                <w:color w:val="auto"/>
              </w:rPr>
            </w:pPr>
            <w:r>
              <w:rPr>
                <w:rFonts w:ascii="Arial" w:cs="Arial" w:eastAsia="Arial" w:hAnsi="Arial"/>
                <w:sz w:val="16"/>
                <w:szCs w:val="16"/>
                <w:color w:val="auto"/>
              </w:rPr>
              <w:t>223,925</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5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6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53"/>
        </w:trPr>
        <w:tc>
          <w:tcPr>
            <w:tcW w:w="25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Intangibles subject to amortization:</w:t>
            </w:r>
          </w:p>
        </w:tc>
        <w:tc>
          <w:tcPr>
            <w:tcW w:w="300" w:type="dxa"/>
            <w:vAlign w:val="bottom"/>
            <w:shd w:val="clear" w:color="auto" w:fill="DBDBDB"/>
          </w:tcPr>
          <w:p>
            <w:pPr>
              <w:spacing w:after="0"/>
              <w:rPr>
                <w:sz w:val="21"/>
                <w:szCs w:val="21"/>
                <w:color w:val="auto"/>
              </w:rPr>
            </w:pPr>
          </w:p>
        </w:tc>
        <w:tc>
          <w:tcPr>
            <w:tcW w:w="25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25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2460" w:type="dxa"/>
            <w:vAlign w:val="bottom"/>
            <w:shd w:val="clear" w:color="auto" w:fill="DBDBDB"/>
          </w:tcPr>
          <w:p>
            <w:pPr>
              <w:spacing w:after="0"/>
              <w:rPr>
                <w:sz w:val="21"/>
                <w:szCs w:val="21"/>
                <w:color w:val="auto"/>
              </w:rPr>
            </w:pPr>
          </w:p>
        </w:tc>
      </w:tr>
      <w:tr>
        <w:trPr>
          <w:trHeight w:val="237"/>
        </w:trPr>
        <w:tc>
          <w:tcPr>
            <w:tcW w:w="2560" w:type="dxa"/>
            <w:vAlign w:val="bottom"/>
          </w:tcPr>
          <w:p>
            <w:pPr>
              <w:ind w:left="140"/>
              <w:spacing w:after="0"/>
              <w:rPr>
                <w:sz w:val="20"/>
                <w:szCs w:val="20"/>
                <w:color w:val="auto"/>
              </w:rPr>
            </w:pPr>
            <w:r>
              <w:rPr>
                <w:rFonts w:ascii="Arial" w:cs="Arial" w:eastAsia="Arial" w:hAnsi="Arial"/>
                <w:sz w:val="16"/>
                <w:szCs w:val="16"/>
                <w:color w:val="auto"/>
              </w:rPr>
              <w:t>Recipes</w:t>
            </w:r>
          </w:p>
        </w:tc>
        <w:tc>
          <w:tcPr>
            <w:tcW w:w="3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56,117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(25,761)</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30,356</w:t>
            </w:r>
          </w:p>
        </w:tc>
      </w:tr>
      <w:tr>
        <w:trPr>
          <w:trHeight w:val="281"/>
        </w:trPr>
        <w:tc>
          <w:tcPr>
            <w:tcW w:w="2560" w:type="dxa"/>
            <w:vAlign w:val="bottom"/>
            <w:tcBorders>
              <w:bottom w:val="single" w:sz="8" w:color="DBDBDB"/>
            </w:tcBorders>
            <w:shd w:val="clear" w:color="auto" w:fill="DBDBDB"/>
          </w:tcPr>
          <w:p>
            <w:pPr>
              <w:spacing w:after="0"/>
              <w:rPr>
                <w:sz w:val="24"/>
                <w:szCs w:val="24"/>
                <w:color w:val="auto"/>
              </w:rPr>
            </w:pPr>
          </w:p>
        </w:tc>
        <w:tc>
          <w:tcPr>
            <w:tcW w:w="300" w:type="dxa"/>
            <w:vAlign w:val="bottom"/>
            <w:tcBorders>
              <w:bottom w:val="single" w:sz="8" w:color="DBDBDB"/>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280,042</w:t>
            </w:r>
          </w:p>
        </w:tc>
        <w:tc>
          <w:tcPr>
            <w:tcW w:w="360" w:type="dxa"/>
            <w:vAlign w:val="bottom"/>
            <w:tcBorders>
              <w:bottom w:val="single" w:sz="8" w:color="DBDBDB"/>
            </w:tcBorders>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(25,761)</w:t>
            </w:r>
          </w:p>
        </w:tc>
        <w:tc>
          <w:tcPr>
            <w:tcW w:w="460" w:type="dxa"/>
            <w:vAlign w:val="bottom"/>
            <w:tcBorders>
              <w:bottom w:val="single" w:sz="8" w:color="DBDBDB"/>
            </w:tcBorders>
            <w:gridSpan w:val="2"/>
            <w:shd w:val="clear" w:color="auto" w:fill="DBDBDB"/>
          </w:tcPr>
          <w:p>
            <w:pPr>
              <w:jc w:val="right"/>
              <w:ind w:right="240"/>
              <w:spacing w:after="0"/>
              <w:rPr>
                <w:sz w:val="20"/>
                <w:szCs w:val="20"/>
                <w:color w:val="auto"/>
              </w:rPr>
            </w:pPr>
            <w:r>
              <w:rPr>
                <w:rFonts w:ascii="Arial" w:cs="Arial" w:eastAsia="Arial" w:hAnsi="Arial"/>
                <w:sz w:val="16"/>
                <w:szCs w:val="16"/>
                <w:color w:val="auto"/>
              </w:rPr>
              <w:t>$</w:t>
            </w:r>
          </w:p>
        </w:tc>
        <w:tc>
          <w:tcPr>
            <w:tcW w:w="2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254,281</w:t>
            </w:r>
          </w:p>
        </w:tc>
      </w:tr>
      <w:tr>
        <w:trPr>
          <w:trHeight w:val="20"/>
        </w:trPr>
        <w:tc>
          <w:tcPr>
            <w:tcW w:w="256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540" w:type="dxa"/>
            <w:vAlign w:val="bottom"/>
            <w:gridSpan w:val="4"/>
          </w:tcPr>
          <w:p>
            <w:pPr>
              <w:jc w:val="right"/>
              <w:ind w:right="1359"/>
              <w:spacing w:after="0"/>
              <w:rPr>
                <w:sz w:val="20"/>
                <w:szCs w:val="20"/>
                <w:color w:val="auto"/>
              </w:rPr>
            </w:pPr>
            <w:r>
              <w:rPr>
                <w:rFonts w:ascii="Arial" w:cs="Arial" w:eastAsia="Arial" w:hAnsi="Arial"/>
                <w:sz w:val="16"/>
                <w:szCs w:val="16"/>
                <w:b w:val="1"/>
                <w:bCs w:val="1"/>
                <w:color w:val="auto"/>
              </w:rPr>
              <w:t>December 25, 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1"/>
        </w:trPr>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70"/>
        </w:trPr>
        <w:tc>
          <w:tcPr>
            <w:tcW w:w="2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jc w:val="right"/>
              <w:ind w:right="59"/>
              <w:spacing w:after="0"/>
              <w:rPr>
                <w:sz w:val="20"/>
                <w:szCs w:val="20"/>
                <w:color w:val="auto"/>
              </w:rPr>
            </w:pPr>
            <w:r>
              <w:rPr>
                <w:rFonts w:ascii="Arial" w:cs="Arial" w:eastAsia="Arial" w:hAnsi="Arial"/>
                <w:sz w:val="16"/>
                <w:szCs w:val="16"/>
                <w:b w:val="1"/>
                <w:bCs w:val="1"/>
                <w:color w:val="auto"/>
              </w:rPr>
              <w:t>Gross Carrying Amount</w:t>
            </w:r>
          </w:p>
        </w:tc>
        <w:tc>
          <w:tcPr>
            <w:tcW w:w="100" w:type="dxa"/>
            <w:vAlign w:val="bottom"/>
          </w:tcPr>
          <w:p>
            <w:pPr>
              <w:spacing w:after="0"/>
              <w:rPr>
                <w:sz w:val="23"/>
                <w:szCs w:val="23"/>
                <w:color w:val="auto"/>
              </w:rPr>
            </w:pPr>
          </w:p>
        </w:tc>
        <w:tc>
          <w:tcPr>
            <w:tcW w:w="212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 Amortization</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00" w:type="dxa"/>
            <w:vAlign w:val="bottom"/>
          </w:tcPr>
          <w:p>
            <w:pPr>
              <w:ind w:left="80"/>
              <w:spacing w:after="0"/>
              <w:rPr>
                <w:sz w:val="20"/>
                <w:szCs w:val="20"/>
                <w:color w:val="auto"/>
              </w:rPr>
            </w:pPr>
            <w:r>
              <w:rPr>
                <w:rFonts w:ascii="Arial" w:cs="Arial" w:eastAsia="Arial" w:hAnsi="Arial"/>
                <w:sz w:val="16"/>
                <w:szCs w:val="16"/>
                <w:b w:val="1"/>
                <w:bCs w:val="1"/>
                <w:color w:val="auto"/>
              </w:rPr>
              <w:t>ASC 842 Adjustment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00" w:type="dxa"/>
            <w:vAlign w:val="bottom"/>
          </w:tcPr>
          <w:p>
            <w:pPr>
              <w:jc w:val="right"/>
              <w:ind w:right="139"/>
              <w:spacing w:after="0"/>
              <w:rPr>
                <w:sz w:val="20"/>
                <w:szCs w:val="20"/>
                <w:color w:val="auto"/>
              </w:rPr>
            </w:pPr>
            <w:r>
              <w:rPr>
                <w:rFonts w:ascii="Arial" w:cs="Arial" w:eastAsia="Arial" w:hAnsi="Arial"/>
                <w:sz w:val="16"/>
                <w:szCs w:val="16"/>
                <w:b w:val="1"/>
                <w:bCs w:val="1"/>
                <w:color w:val="auto"/>
              </w:rPr>
              <w:t>Net Carrying Amount</w:t>
            </w:r>
          </w:p>
        </w:tc>
      </w:tr>
      <w:tr>
        <w:trPr>
          <w:trHeight w:val="21"/>
        </w:trPr>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50"/>
        </w:trPr>
        <w:tc>
          <w:tcPr>
            <w:tcW w:w="2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43"/>
        </w:trPr>
        <w:tc>
          <w:tcPr>
            <w:tcW w:w="2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120" w:type="dxa"/>
            <w:vAlign w:val="bottom"/>
            <w:shd w:val="clear" w:color="auto" w:fill="DBDBDB"/>
          </w:tcPr>
          <w:p>
            <w:pPr>
              <w:spacing w:after="0"/>
              <w:rPr>
                <w:sz w:val="21"/>
                <w:szCs w:val="21"/>
                <w:color w:val="auto"/>
              </w:rPr>
            </w:pPr>
          </w:p>
        </w:tc>
        <w:tc>
          <w:tcPr>
            <w:tcW w:w="20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9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900" w:type="dxa"/>
            <w:vAlign w:val="bottom"/>
            <w:shd w:val="clear" w:color="auto" w:fill="DBDBDB"/>
          </w:tcPr>
          <w:p>
            <w:pPr>
              <w:spacing w:after="0"/>
              <w:rPr>
                <w:sz w:val="21"/>
                <w:szCs w:val="21"/>
                <w:color w:val="auto"/>
              </w:rPr>
            </w:pPr>
          </w:p>
        </w:tc>
      </w:tr>
      <w:tr>
        <w:trPr>
          <w:trHeight w:val="224"/>
        </w:trPr>
        <w:tc>
          <w:tcPr>
            <w:tcW w:w="254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223,925</w:t>
            </w:r>
          </w:p>
        </w:tc>
        <w:tc>
          <w:tcPr>
            <w:tcW w:w="8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900" w:type="dxa"/>
            <w:vAlign w:val="bottom"/>
          </w:tcPr>
          <w:p>
            <w:pPr>
              <w:ind w:left="16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33"/>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2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Intangibles subject to amortization:</w:t>
            </w:r>
          </w:p>
        </w:tc>
        <w:tc>
          <w:tcPr>
            <w:tcW w:w="120" w:type="dxa"/>
            <w:vAlign w:val="bottom"/>
            <w:shd w:val="clear" w:color="auto" w:fill="DBDBDB"/>
          </w:tcPr>
          <w:p>
            <w:pPr>
              <w:spacing w:after="0"/>
              <w:rPr>
                <w:sz w:val="21"/>
                <w:szCs w:val="21"/>
                <w:color w:val="auto"/>
              </w:rPr>
            </w:pPr>
          </w:p>
        </w:tc>
        <w:tc>
          <w:tcPr>
            <w:tcW w:w="20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9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900" w:type="dxa"/>
            <w:vAlign w:val="bottom"/>
            <w:shd w:val="clear" w:color="auto" w:fill="DBDBDB"/>
          </w:tcPr>
          <w:p>
            <w:pPr>
              <w:spacing w:after="0"/>
              <w:rPr>
                <w:sz w:val="21"/>
                <w:szCs w:val="21"/>
                <w:color w:val="auto"/>
              </w:rPr>
            </w:pPr>
          </w:p>
        </w:tc>
      </w:tr>
      <w:tr>
        <w:trPr>
          <w:trHeight w:val="223"/>
        </w:trPr>
        <w:tc>
          <w:tcPr>
            <w:tcW w:w="2540" w:type="dxa"/>
            <w:vAlign w:val="bottom"/>
          </w:tcPr>
          <w:p>
            <w:pPr>
              <w:ind w:left="140"/>
              <w:spacing w:after="0"/>
              <w:rPr>
                <w:sz w:val="20"/>
                <w:szCs w:val="20"/>
                <w:color w:val="auto"/>
              </w:rPr>
            </w:pPr>
            <w:r>
              <w:rPr>
                <w:rFonts w:ascii="Arial" w:cs="Arial" w:eastAsia="Arial" w:hAnsi="Arial"/>
                <w:sz w:val="16"/>
                <w:szCs w:val="16"/>
                <w:color w:val="auto"/>
              </w:rPr>
              <w:t>Recipes</w:t>
            </w: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56,117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(24,317)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ind w:left="1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31,800</w:t>
            </w:r>
          </w:p>
        </w:tc>
      </w:tr>
      <w:tr>
        <w:trPr>
          <w:trHeight w:val="33"/>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25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Covenants not-to-compete</w:t>
            </w:r>
          </w:p>
        </w:tc>
        <w:tc>
          <w:tcPr>
            <w:tcW w:w="120" w:type="dxa"/>
            <w:vAlign w:val="bottom"/>
            <w:shd w:val="clear" w:color="auto" w:fill="DBDBDB"/>
          </w:tcPr>
          <w:p>
            <w:pPr>
              <w:spacing w:after="0"/>
              <w:rPr>
                <w:sz w:val="21"/>
                <w:szCs w:val="21"/>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40,799</w:t>
            </w:r>
          </w:p>
        </w:tc>
        <w:tc>
          <w:tcPr>
            <w:tcW w:w="1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(40,799)</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900" w:type="dxa"/>
            <w:vAlign w:val="bottom"/>
            <w:shd w:val="clear" w:color="auto" w:fill="DBDBDB"/>
          </w:tcPr>
          <w:p>
            <w:pPr>
              <w:ind w:left="1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2540" w:type="dxa"/>
            <w:vAlign w:val="bottom"/>
          </w:tcPr>
          <w:p>
            <w:pPr>
              <w:ind w:left="140"/>
              <w:spacing w:after="0"/>
              <w:rPr>
                <w:sz w:val="20"/>
                <w:szCs w:val="20"/>
                <w:color w:val="auto"/>
              </w:rPr>
            </w:pPr>
            <w:r>
              <w:rPr>
                <w:rFonts w:ascii="Arial" w:cs="Arial" w:eastAsia="Arial" w:hAnsi="Arial"/>
                <w:sz w:val="16"/>
                <w:szCs w:val="16"/>
                <w:color w:val="auto"/>
              </w:rPr>
              <w:t>Favorable rental contracts</w:t>
            </w: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2,991</w:t>
            </w: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78"/>
        </w:trPr>
        <w:tc>
          <w:tcPr>
            <w:tcW w:w="2540" w:type="dxa"/>
            <w:vAlign w:val="bottom"/>
            <w:tcBorders>
              <w:bottom w:val="single" w:sz="8" w:color="DBDBDB"/>
            </w:tcBorders>
            <w:shd w:val="clear" w:color="auto" w:fill="DBDBDB"/>
          </w:tcPr>
          <w:p>
            <w:pPr>
              <w:spacing w:after="0"/>
              <w:rPr>
                <w:sz w:val="23"/>
                <w:szCs w:val="23"/>
                <w:color w:val="auto"/>
              </w:rPr>
            </w:pP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323,832</w:t>
            </w:r>
          </w:p>
        </w:tc>
        <w:tc>
          <w:tcPr>
            <w:tcW w:w="860" w:type="dxa"/>
            <w:vAlign w:val="bottom"/>
            <w:tcBorders>
              <w:bottom w:val="single" w:sz="8" w:color="DBDBDB"/>
            </w:tcBorders>
            <w:gridSpan w:val="2"/>
            <w:shd w:val="clear" w:color="auto" w:fill="DBDBDB"/>
          </w:tcPr>
          <w:p>
            <w:pPr>
              <w:ind w:left="1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(66,965)</w:t>
            </w:r>
          </w:p>
        </w:tc>
        <w:tc>
          <w:tcPr>
            <w:tcW w:w="280" w:type="dxa"/>
            <w:vAlign w:val="bottom"/>
            <w:tcBorders>
              <w:bottom w:val="single" w:sz="8" w:color="DBDBDB"/>
            </w:tcBorders>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(1,142)</w:t>
            </w:r>
          </w:p>
        </w:tc>
        <w:tc>
          <w:tcPr>
            <w:tcW w:w="280" w:type="dxa"/>
            <w:vAlign w:val="bottom"/>
            <w:tcBorders>
              <w:bottom w:val="single" w:sz="8" w:color="DBDBDB"/>
            </w:tcBorders>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255,725</w:t>
            </w:r>
          </w:p>
        </w:tc>
      </w:tr>
      <w:tr>
        <w:trPr>
          <w:trHeight w:val="20"/>
        </w:trPr>
        <w:tc>
          <w:tcPr>
            <w:tcW w:w="25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Amortization expense was $0.7 million and $1.4 million for the quarter and two quarters ended June 25, 2023, respectively, and $0.8 million and $1.6 million for the quarter and two quarters ended June 26, 2022, respectively, and is included in depreciation and amortization in the condensed consolidated statements of operations.</w:t>
      </w:r>
    </w:p>
    <w:p>
      <w:pPr>
        <w:spacing w:after="0" w:line="21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The estimated aggregate amortization expense related to intangible assets held at June 25, 2023 for the remainder of this year and the succeeding five years and thereafter is as follows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jc w:val="right"/>
              <w:ind w:right="379"/>
              <w:spacing w:after="0"/>
              <w:rPr>
                <w:sz w:val="20"/>
                <w:szCs w:val="20"/>
                <w:color w:val="auto"/>
              </w:rPr>
            </w:pPr>
            <w:r>
              <w:rPr>
                <w:rFonts w:ascii="Arial" w:cs="Arial" w:eastAsia="Arial" w:hAnsi="Arial"/>
                <w:sz w:val="16"/>
                <w:szCs w:val="16"/>
                <w:b w:val="1"/>
                <w:bCs w:val="1"/>
                <w:color w:val="auto"/>
              </w:rPr>
              <w:t>Estimated Amortization</w:t>
            </w:r>
          </w:p>
        </w:tc>
      </w:tr>
      <w:tr>
        <w:trPr>
          <w:trHeight w:val="21"/>
        </w:trPr>
        <w:tc>
          <w:tcPr>
            <w:tcW w:w="85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237"/>
        </w:trPr>
        <w:tc>
          <w:tcPr>
            <w:tcW w:w="8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2023 (excluding the two quarters ended June 25, 2023)</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1,445</w:t>
            </w:r>
          </w:p>
        </w:tc>
      </w:tr>
      <w:tr>
        <w:trPr>
          <w:trHeight w:val="223"/>
        </w:trPr>
        <w:tc>
          <w:tcPr>
            <w:tcW w:w="8520" w:type="dxa"/>
            <w:vAlign w:val="bottom"/>
          </w:tcPr>
          <w:p>
            <w:pPr>
              <w:ind w:left="20"/>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2,813</w:t>
            </w: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43"/>
        </w:trPr>
        <w:tc>
          <w:tcPr>
            <w:tcW w:w="8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2025</w:t>
            </w:r>
          </w:p>
        </w:tc>
        <w:tc>
          <w:tcPr>
            <w:tcW w:w="280" w:type="dxa"/>
            <w:vAlign w:val="bottom"/>
            <w:shd w:val="clear" w:color="auto" w:fill="DBDBDB"/>
          </w:tcPr>
          <w:p>
            <w:pPr>
              <w:spacing w:after="0"/>
              <w:rPr>
                <w:sz w:val="21"/>
                <w:szCs w:val="21"/>
                <w:color w:val="auto"/>
              </w:rPr>
            </w:pPr>
          </w:p>
        </w:tc>
        <w:tc>
          <w:tcPr>
            <w:tcW w:w="2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2,707</w:t>
            </w:r>
          </w:p>
        </w:tc>
      </w:tr>
      <w:tr>
        <w:trPr>
          <w:trHeight w:val="233"/>
        </w:trPr>
        <w:tc>
          <w:tcPr>
            <w:tcW w:w="8520" w:type="dxa"/>
            <w:vAlign w:val="bottom"/>
          </w:tcPr>
          <w:p>
            <w:pPr>
              <w:ind w:left="20"/>
              <w:spacing w:after="0"/>
              <w:rPr>
                <w:sz w:val="20"/>
                <w:szCs w:val="20"/>
                <w:color w:val="auto"/>
              </w:rPr>
            </w:pPr>
            <w:r>
              <w:rPr>
                <w:rFonts w:ascii="Arial" w:cs="Arial" w:eastAsia="Arial" w:hAnsi="Arial"/>
                <w:sz w:val="16"/>
                <w:szCs w:val="16"/>
                <w:color w:val="auto"/>
              </w:rPr>
              <w:t>2026</w:t>
            </w:r>
          </w:p>
        </w:tc>
        <w:tc>
          <w:tcPr>
            <w:tcW w:w="28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2,707</w:t>
            </w:r>
          </w:p>
        </w:tc>
      </w:tr>
      <w:tr>
        <w:trPr>
          <w:trHeight w:val="246"/>
        </w:trPr>
        <w:tc>
          <w:tcPr>
            <w:tcW w:w="8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2027</w:t>
            </w:r>
          </w:p>
        </w:tc>
        <w:tc>
          <w:tcPr>
            <w:tcW w:w="280" w:type="dxa"/>
            <w:vAlign w:val="bottom"/>
            <w:tcBorders>
              <w:bottom w:val="single" w:sz="8" w:color="DBDBDB"/>
            </w:tcBorders>
            <w:shd w:val="clear" w:color="auto" w:fill="DBDBDB"/>
          </w:tcPr>
          <w:p>
            <w:pPr>
              <w:spacing w:after="0"/>
              <w:rPr>
                <w:sz w:val="21"/>
                <w:szCs w:val="21"/>
                <w:color w:val="auto"/>
              </w:rPr>
            </w:pPr>
          </w:p>
        </w:tc>
        <w:tc>
          <w:tcPr>
            <w:tcW w:w="24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2,707</w:t>
            </w:r>
          </w:p>
        </w:tc>
      </w:tr>
      <w:tr>
        <w:trPr>
          <w:trHeight w:val="233"/>
        </w:trPr>
        <w:tc>
          <w:tcPr>
            <w:tcW w:w="8520" w:type="dxa"/>
            <w:vAlign w:val="bottom"/>
          </w:tcPr>
          <w:p>
            <w:pPr>
              <w:ind w:left="20"/>
              <w:spacing w:after="0"/>
              <w:rPr>
                <w:sz w:val="20"/>
                <w:szCs w:val="20"/>
                <w:color w:val="auto"/>
              </w:rPr>
            </w:pPr>
            <w:r>
              <w:rPr>
                <w:rFonts w:ascii="Arial" w:cs="Arial" w:eastAsia="Arial" w:hAnsi="Arial"/>
                <w:sz w:val="16"/>
                <w:szCs w:val="16"/>
                <w:color w:val="auto"/>
              </w:rPr>
              <w:t>2028</w:t>
            </w:r>
          </w:p>
        </w:tc>
        <w:tc>
          <w:tcPr>
            <w:tcW w:w="28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2,707</w:t>
            </w:r>
          </w:p>
        </w:tc>
      </w:tr>
      <w:tr>
        <w:trPr>
          <w:trHeight w:val="260"/>
        </w:trPr>
        <w:tc>
          <w:tcPr>
            <w:tcW w:w="8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2029 and thereafter</w:t>
            </w:r>
          </w:p>
        </w:tc>
        <w:tc>
          <w:tcPr>
            <w:tcW w:w="280" w:type="dxa"/>
            <w:vAlign w:val="bottom"/>
            <w:tcBorders>
              <w:bottom w:val="single" w:sz="8" w:color="auto"/>
            </w:tcBorders>
            <w:shd w:val="clear" w:color="auto" w:fill="DBDBDB"/>
          </w:tcPr>
          <w:p>
            <w:pPr>
              <w:spacing w:after="0"/>
              <w:rPr>
                <w:sz w:val="22"/>
                <w:szCs w:val="22"/>
                <w:color w:val="auto"/>
              </w:rPr>
            </w:pPr>
          </w:p>
        </w:tc>
        <w:tc>
          <w:tcPr>
            <w:tcW w:w="2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15,270</w:t>
            </w:r>
          </w:p>
        </w:tc>
      </w:tr>
      <w:tr>
        <w:trPr>
          <w:trHeight w:val="237"/>
        </w:trPr>
        <w:tc>
          <w:tcPr>
            <w:tcW w:w="85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30,356</w:t>
            </w:r>
          </w:p>
        </w:tc>
      </w:tr>
      <w:tr>
        <w:trPr>
          <w:trHeight w:val="27"/>
        </w:trPr>
        <w:tc>
          <w:tcPr>
            <w:tcW w:w="8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7.</w:t>
        <w:tab/>
        <w:t>FAIR VALUE OF FINANCIAL INSTRUMENTS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Assets and Liabilities Measured at Fair Value on a Recurring Basis</w:t>
      </w:r>
    </w:p>
    <w:p>
      <w:pPr>
        <w:spacing w:after="0" w:line="27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carrying value of the Company's cash and cash equivalents, restricted cash, accounts receivable, accounts payable and all other current assets and liabilities approximate fair values due to the short-term nature of these financial instruments.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a deferred compensation plan with related assets held in a rabbi trust.</w:t>
      </w:r>
    </w:p>
    <w:p>
      <w:pPr>
        <w:spacing w:after="0" w:line="242"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b w:val="1"/>
          <w:bCs w:val="1"/>
          <w:color w:val="414042"/>
        </w:rPr>
        <w:t xml:space="preserve">Deferred Compensation Plan - </w:t>
      </w:r>
      <w:r>
        <w:rPr>
          <w:rFonts w:ascii="Arial" w:cs="Arial" w:eastAsia="Arial" w:hAnsi="Arial"/>
          <w:sz w:val="18"/>
          <w:szCs w:val="18"/>
          <w:color w:val="000000"/>
        </w:rPr>
        <w:t>The Company maintains a rabbi trust to fund obligations under a deferred compensation plan. Amounts in</w:t>
      </w:r>
      <w:r>
        <w:rPr>
          <w:rFonts w:ascii="Arial" w:cs="Arial" w:eastAsia="Arial" w:hAnsi="Arial"/>
          <w:sz w:val="18"/>
          <w:szCs w:val="18"/>
          <w:b w:val="1"/>
          <w:bCs w:val="1"/>
          <w:color w:val="414042"/>
        </w:rPr>
        <w:t xml:space="preserve"> </w:t>
      </w:r>
      <w:r>
        <w:rPr>
          <w:rFonts w:ascii="Arial" w:cs="Arial" w:eastAsia="Arial" w:hAnsi="Arial"/>
          <w:sz w:val="18"/>
          <w:szCs w:val="18"/>
          <w:color w:val="000000"/>
        </w:rPr>
        <w:t>the rabbi trust are invested in mutual funds, which are designated as trading securities carried at fair value. The fair value measurement of these trading securities is considered Level 1 of the fair value hierarchy as they are measured using quoted market prices.</w:t>
      </w:r>
    </w:p>
    <w:p>
      <w:pPr>
        <w:spacing w:after="0" w:line="20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As of June 25, 2023 and December 25, 2022, the fair value of the mutual fund investments and deferred compensation obligations were as follows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June 25, 2023</w:t>
            </w:r>
          </w:p>
        </w:tc>
        <w:tc>
          <w:tcPr>
            <w:tcW w:w="80" w:type="dxa"/>
            <w:vAlign w:val="bottom"/>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25, 2022</w:t>
            </w:r>
          </w:p>
        </w:tc>
      </w:tr>
      <w:tr>
        <w:trPr>
          <w:trHeight w:val="254"/>
        </w:trPr>
        <w:tc>
          <w:tcPr>
            <w:tcW w:w="7900" w:type="dxa"/>
            <w:vAlign w:val="bottom"/>
            <w:tcBorders>
              <w:bottom w:val="single" w:sz="8" w:color="DBDBDB"/>
            </w:tcBorders>
            <w:shd w:val="clear" w:color="auto" w:fill="DBDBDB"/>
          </w:tcPr>
          <w:p>
            <w:pPr>
              <w:spacing w:after="0"/>
              <w:rPr>
                <w:sz w:val="22"/>
                <w:szCs w:val="22"/>
                <w:color w:val="auto"/>
              </w:rPr>
            </w:pPr>
          </w:p>
        </w:tc>
        <w:tc>
          <w:tcPr>
            <w:tcW w:w="200" w:type="dxa"/>
            <w:vAlign w:val="bottom"/>
            <w:tcBorders>
              <w:bottom w:val="single" w:sz="8" w:color="DBDBDB"/>
            </w:tcBorders>
            <w:shd w:val="clear" w:color="auto" w:fill="DBDBDB"/>
          </w:tcPr>
          <w:p>
            <w:pPr>
              <w:spacing w:after="0"/>
              <w:rPr>
                <w:sz w:val="22"/>
                <w:szCs w:val="22"/>
                <w:color w:val="auto"/>
              </w:rPr>
            </w:pPr>
          </w:p>
        </w:tc>
        <w:tc>
          <w:tcPr>
            <w:tcW w:w="1420" w:type="dxa"/>
            <w:vAlign w:val="bottom"/>
            <w:tcBorders>
              <w:bottom w:val="single" w:sz="8" w:color="DBDBDB"/>
            </w:tcBorders>
            <w:shd w:val="clear" w:color="auto" w:fill="DBDBDB"/>
          </w:tcPr>
          <w:p>
            <w:pPr>
              <w:jc w:val="right"/>
              <w:ind w:right="459"/>
              <w:spacing w:after="0"/>
              <w:rPr>
                <w:sz w:val="20"/>
                <w:szCs w:val="20"/>
                <w:color w:val="auto"/>
              </w:rPr>
            </w:pPr>
            <w:r>
              <w:rPr>
                <w:rFonts w:ascii="Arial" w:cs="Arial" w:eastAsia="Arial" w:hAnsi="Arial"/>
                <w:sz w:val="16"/>
                <w:szCs w:val="16"/>
                <w:b w:val="1"/>
                <w:bCs w:val="1"/>
                <w:color w:val="auto"/>
              </w:rPr>
              <w:t>Level 1</w:t>
            </w:r>
          </w:p>
        </w:tc>
        <w:tc>
          <w:tcPr>
            <w:tcW w:w="80" w:type="dxa"/>
            <w:vAlign w:val="bottom"/>
            <w:tcBorders>
              <w:bottom w:val="single" w:sz="8" w:color="DBDBDB"/>
            </w:tcBorders>
            <w:shd w:val="clear" w:color="auto" w:fill="DBDBDB"/>
          </w:tcPr>
          <w:p>
            <w:pPr>
              <w:spacing w:after="0"/>
              <w:rPr>
                <w:sz w:val="22"/>
                <w:szCs w:val="22"/>
                <w:color w:val="auto"/>
              </w:rPr>
            </w:pPr>
          </w:p>
        </w:tc>
        <w:tc>
          <w:tcPr>
            <w:tcW w:w="320" w:type="dxa"/>
            <w:vAlign w:val="bottom"/>
            <w:tcBorders>
              <w:bottom w:val="single" w:sz="8" w:color="DBDBDB"/>
            </w:tcBorders>
            <w:shd w:val="clear" w:color="auto" w:fill="DBDBDB"/>
          </w:tcPr>
          <w:p>
            <w:pPr>
              <w:spacing w:after="0"/>
              <w:rPr>
                <w:sz w:val="22"/>
                <w:szCs w:val="22"/>
                <w:color w:val="auto"/>
              </w:rPr>
            </w:pPr>
          </w:p>
        </w:tc>
        <w:tc>
          <w:tcPr>
            <w:tcW w:w="1300" w:type="dxa"/>
            <w:vAlign w:val="bottom"/>
            <w:tcBorders>
              <w:bottom w:val="single" w:sz="8" w:color="DBDBDB"/>
            </w:tcBorders>
            <w:shd w:val="clear" w:color="auto" w:fill="DBDBDB"/>
          </w:tcPr>
          <w:p>
            <w:pPr>
              <w:jc w:val="right"/>
              <w:ind w:right="459"/>
              <w:spacing w:after="0"/>
              <w:rPr>
                <w:sz w:val="20"/>
                <w:szCs w:val="20"/>
                <w:color w:val="auto"/>
              </w:rPr>
            </w:pPr>
            <w:r>
              <w:rPr>
                <w:rFonts w:ascii="Arial" w:cs="Arial" w:eastAsia="Arial" w:hAnsi="Arial"/>
                <w:sz w:val="16"/>
                <w:szCs w:val="16"/>
                <w:b w:val="1"/>
                <w:bCs w:val="1"/>
                <w:color w:val="auto"/>
              </w:rPr>
              <w:t>Level 1</w:t>
            </w:r>
          </w:p>
        </w:tc>
      </w:tr>
      <w:tr>
        <w:trPr>
          <w:trHeight w:val="196"/>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 xml:space="preserve">Assets </w:t>
            </w:r>
            <w:r>
              <w:rPr>
                <w:rFonts w:ascii="Arial" w:cs="Arial" w:eastAsia="Arial" w:hAnsi="Arial"/>
                <w:sz w:val="16"/>
                <w:szCs w:val="16"/>
                <w:color w:val="auto"/>
              </w:rPr>
              <w:t>- Investments designated for deferred compensation plan</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37"/>
        </w:trPr>
        <w:tc>
          <w:tcPr>
            <w:tcW w:w="79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Cash/money accounts</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995</w:t>
            </w:r>
          </w:p>
        </w:tc>
        <w:tc>
          <w:tcPr>
            <w:tcW w:w="400" w:type="dxa"/>
            <w:vAlign w:val="bottom"/>
            <w:tcBorders>
              <w:bottom w:val="single" w:sz="8" w:color="DBDBDB"/>
            </w:tcBorders>
            <w:gridSpan w:val="2"/>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1,470</w:t>
            </w:r>
          </w:p>
        </w:tc>
      </w:tr>
      <w:tr>
        <w:trPr>
          <w:trHeight w:val="237"/>
        </w:trPr>
        <w:tc>
          <w:tcPr>
            <w:tcW w:w="7900" w:type="dxa"/>
            <w:vAlign w:val="bottom"/>
          </w:tcPr>
          <w:p>
            <w:pPr>
              <w:ind w:left="140"/>
              <w:spacing w:after="0"/>
              <w:rPr>
                <w:sz w:val="20"/>
                <w:szCs w:val="20"/>
                <w:color w:val="auto"/>
              </w:rPr>
            </w:pPr>
            <w:r>
              <w:rPr>
                <w:rFonts w:ascii="Arial" w:cs="Arial" w:eastAsia="Arial" w:hAnsi="Arial"/>
                <w:sz w:val="16"/>
                <w:szCs w:val="16"/>
                <w:color w:val="auto"/>
              </w:rPr>
              <w:t>Mutual funds</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2,241</w:t>
            </w:r>
          </w:p>
        </w:tc>
      </w:tr>
      <w:tr>
        <w:trPr>
          <w:trHeight w:val="263"/>
        </w:trPr>
        <w:tc>
          <w:tcPr>
            <w:tcW w:w="7900" w:type="dxa"/>
            <w:vAlign w:val="bottom"/>
            <w:shd w:val="clear" w:color="auto" w:fill="DBDBDB"/>
          </w:tcPr>
          <w:p>
            <w:pPr>
              <w:ind w:left="460"/>
              <w:spacing w:after="0"/>
              <w:rPr>
                <w:sz w:val="20"/>
                <w:szCs w:val="20"/>
                <w:color w:val="auto"/>
              </w:rPr>
            </w:pPr>
            <w:r>
              <w:rPr>
                <w:rFonts w:ascii="Arial" w:cs="Arial" w:eastAsia="Arial" w:hAnsi="Arial"/>
                <w:sz w:val="16"/>
                <w:szCs w:val="16"/>
                <w:color w:val="auto"/>
              </w:rPr>
              <w:t>Total assets</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3,620</w:t>
            </w:r>
          </w:p>
        </w:tc>
        <w:tc>
          <w:tcPr>
            <w:tcW w:w="400" w:type="dxa"/>
            <w:vAlign w:val="bottom"/>
            <w:gridSpan w:val="2"/>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3,711</w:t>
            </w:r>
          </w:p>
        </w:tc>
      </w:tr>
      <w:tr>
        <w:trPr>
          <w:trHeight w:val="20"/>
        </w:trPr>
        <w:tc>
          <w:tcPr>
            <w:tcW w:w="79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As of June 25, 2023 and December 25, 2022, we had no Level 2 or Level 3 assets.</w:t>
      </w:r>
    </w:p>
    <w:p>
      <w:pPr>
        <w:spacing w:after="0" w:line="144"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deferred compensation investments and obligations are included in other assets, accrued expenses and other long-term liabilities in the consolidated balance sheets. Changes in the fair value of securities held in the rabbi trust are recognized as trading gains and losses and included in other income in the consolidated statements of operations and offsetting increases or decreases in the deferred compensation obligation are recorded in other long-term liabilities in the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8. Debt for additional information relating to the fair value of the Company's outstanding debt instruments.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Assets and Liabilities Measured at Fair Value on a Non-Recurring Basis</w:t>
      </w:r>
    </w:p>
    <w:p>
      <w:pPr>
        <w:spacing w:after="0" w:line="271"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Assets and liabilities that are measured at fair value on a non-recurring basis include property and equipment, net, operating lease assets, equity-method investment, goodwill and indefinite-lived intangible assets. These assets are measured at fair value whenever events or changes in circumstances indicate that the carrying amount of an asset may not be recoverable. There were no impairment charges recognized during the quarter and two quarters ended June 25, 2023 and June 26,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8.</w:t>
        <w:tab/>
        <w:t>DEBT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June 25, 2023</w:t>
            </w:r>
          </w:p>
        </w:tc>
        <w:tc>
          <w:tcPr>
            <w:tcW w:w="1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25, 2022</w:t>
            </w:r>
          </w:p>
        </w:tc>
      </w:tr>
      <w:tr>
        <w:trPr>
          <w:trHeight w:val="21"/>
        </w:trPr>
        <w:tc>
          <w:tcPr>
            <w:tcW w:w="79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2023 Term Loan</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300,000</w:t>
            </w:r>
          </w:p>
        </w:tc>
        <w:tc>
          <w:tcPr>
            <w:tcW w:w="640" w:type="dxa"/>
            <w:vAlign w:val="bottom"/>
            <w:gridSpan w:val="2"/>
            <w:shd w:val="clear" w:color="auto" w:fill="DBDBDB"/>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7920" w:type="dxa"/>
            <w:vAlign w:val="bottom"/>
          </w:tcPr>
          <w:p>
            <w:pPr>
              <w:ind w:left="20"/>
              <w:spacing w:after="0"/>
              <w:rPr>
                <w:sz w:val="20"/>
                <w:szCs w:val="20"/>
                <w:color w:val="auto"/>
              </w:rPr>
            </w:pPr>
            <w:r>
              <w:rPr>
                <w:rFonts w:ascii="Arial" w:cs="Arial" w:eastAsia="Arial" w:hAnsi="Arial"/>
                <w:sz w:val="16"/>
                <w:szCs w:val="16"/>
                <w:color w:val="auto"/>
              </w:rPr>
              <w:t>2014 Term B-3 Loans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322,428</w:t>
            </w:r>
          </w:p>
        </w:tc>
      </w:tr>
      <w:tr>
        <w:trPr>
          <w:trHeight w:val="33"/>
        </w:trPr>
        <w:tc>
          <w:tcPr>
            <w:tcW w:w="7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2023 Revolver Facility</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7920" w:type="dxa"/>
            <w:vAlign w:val="bottom"/>
          </w:tcPr>
          <w:p>
            <w:pPr>
              <w:ind w:left="20"/>
              <w:spacing w:after="0"/>
              <w:rPr>
                <w:sz w:val="20"/>
                <w:szCs w:val="20"/>
                <w:color w:val="auto"/>
              </w:rPr>
            </w:pPr>
            <w:r>
              <w:rPr>
                <w:rFonts w:ascii="Arial" w:cs="Arial" w:eastAsia="Arial" w:hAnsi="Arial"/>
                <w:sz w:val="16"/>
                <w:szCs w:val="16"/>
                <w:color w:val="auto"/>
              </w:rPr>
              <w:t>Unamortized discount and debt issuance costs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(3,332)</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(3,848)</w:t>
            </w:r>
          </w:p>
        </w:tc>
      </w:tr>
      <w:tr>
        <w:trPr>
          <w:trHeight w:val="237"/>
        </w:trPr>
        <w:tc>
          <w:tcPr>
            <w:tcW w:w="7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debt, net</w:t>
            </w:r>
          </w:p>
        </w:tc>
        <w:tc>
          <w:tcPr>
            <w:tcW w:w="180" w:type="dxa"/>
            <w:vAlign w:val="bottom"/>
            <w:tcBorders>
              <w:bottom w:val="single" w:sz="8" w:color="DBDBDB"/>
            </w:tcBorders>
            <w:shd w:val="clear" w:color="auto" w:fill="DBDBDB"/>
          </w:tcPr>
          <w:p>
            <w:pPr>
              <w:spacing w:after="0"/>
              <w:rPr>
                <w:sz w:val="20"/>
                <w:szCs w:val="20"/>
                <w:color w:val="auto"/>
              </w:rPr>
            </w:pP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306,668</w:t>
            </w:r>
          </w:p>
        </w:tc>
        <w:tc>
          <w:tcPr>
            <w:tcW w:w="120" w:type="dxa"/>
            <w:vAlign w:val="bottom"/>
            <w:tcBorders>
              <w:bottom w:val="single" w:sz="8" w:color="DBDBDB"/>
            </w:tcBorders>
            <w:shd w:val="clear" w:color="auto" w:fill="DBDBDB"/>
          </w:tcPr>
          <w:p>
            <w:pPr>
              <w:spacing w:after="0"/>
              <w:rPr>
                <w:sz w:val="20"/>
                <w:szCs w:val="20"/>
                <w:color w:val="auto"/>
              </w:rPr>
            </w:pPr>
          </w:p>
        </w:tc>
        <w:tc>
          <w:tcPr>
            <w:tcW w:w="520" w:type="dxa"/>
            <w:vAlign w:val="bottom"/>
            <w:tcBorders>
              <w:bottom w:val="single" w:sz="8" w:color="DBDBDB"/>
            </w:tcBorders>
            <w:shd w:val="clear" w:color="auto" w:fill="DBDBDB"/>
          </w:tcPr>
          <w:p>
            <w:pPr>
              <w:spacing w:after="0"/>
              <w:rPr>
                <w:sz w:val="20"/>
                <w:szCs w:val="20"/>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318,580</w:t>
            </w:r>
          </w:p>
        </w:tc>
      </w:tr>
      <w:tr>
        <w:trPr>
          <w:trHeight w:val="233"/>
        </w:trPr>
        <w:tc>
          <w:tcPr>
            <w:tcW w:w="7920" w:type="dxa"/>
            <w:vAlign w:val="bottom"/>
          </w:tcPr>
          <w:p>
            <w:pPr>
              <w:ind w:left="20"/>
              <w:spacing w:after="0"/>
              <w:rPr>
                <w:sz w:val="20"/>
                <w:szCs w:val="20"/>
                <w:color w:val="auto"/>
              </w:rPr>
            </w:pPr>
            <w:r>
              <w:rPr>
                <w:rFonts w:ascii="Arial" w:cs="Arial" w:eastAsia="Arial" w:hAnsi="Arial"/>
                <w:sz w:val="16"/>
                <w:szCs w:val="16"/>
                <w:color w:val="auto"/>
              </w:rPr>
              <w:t>Less: Short-term debt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0"/>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Current portion of long-term debt</w:t>
            </w:r>
          </w:p>
        </w:tc>
        <w:tc>
          <w:tcPr>
            <w:tcW w:w="180" w:type="dxa"/>
            <w:vAlign w:val="bottom"/>
            <w:tcBorders>
              <w:bottom w:val="single" w:sz="8" w:color="auto"/>
            </w:tcBorders>
            <w:shd w:val="clear" w:color="auto" w:fill="DBDBDB"/>
          </w:tcPr>
          <w:p>
            <w:pPr>
              <w:spacing w:after="0"/>
              <w:rPr>
                <w:sz w:val="22"/>
                <w:szCs w:val="22"/>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(7,500)</w:t>
            </w:r>
          </w:p>
        </w:tc>
        <w:tc>
          <w:tcPr>
            <w:tcW w:w="120" w:type="dxa"/>
            <w:vAlign w:val="bottom"/>
            <w:shd w:val="clear" w:color="auto" w:fill="DBDBDB"/>
          </w:tcPr>
          <w:p>
            <w:pPr>
              <w:spacing w:after="0"/>
              <w:rPr>
                <w:sz w:val="22"/>
                <w:szCs w:val="22"/>
                <w:color w:val="auto"/>
              </w:rPr>
            </w:pPr>
          </w:p>
        </w:tc>
        <w:tc>
          <w:tcPr>
            <w:tcW w:w="520" w:type="dxa"/>
            <w:vAlign w:val="bottom"/>
            <w:tcBorders>
              <w:bottom w:val="single" w:sz="8" w:color="auto"/>
            </w:tcBorders>
            <w:shd w:val="clear" w:color="auto" w:fill="DBDBDB"/>
          </w:tcPr>
          <w:p>
            <w:pPr>
              <w:spacing w:after="0"/>
              <w:rPr>
                <w:sz w:val="22"/>
                <w:szCs w:val="22"/>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(4,155)</w:t>
            </w:r>
          </w:p>
        </w:tc>
      </w:tr>
      <w:tr>
        <w:trPr>
          <w:trHeight w:val="243"/>
        </w:trPr>
        <w:tc>
          <w:tcPr>
            <w:tcW w:w="792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289,168</w:t>
            </w:r>
          </w:p>
        </w:tc>
        <w:tc>
          <w:tcPr>
            <w:tcW w:w="64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314,425</w:t>
            </w:r>
          </w:p>
        </w:tc>
      </w:tr>
      <w:tr>
        <w:trPr>
          <w:trHeight w:val="21"/>
        </w:trPr>
        <w:tc>
          <w:tcPr>
            <w:tcW w:w="7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2023 Credit Agreement</w:t>
      </w:r>
    </w:p>
    <w:p>
      <w:pPr>
        <w:spacing w:after="0" w:line="2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February 2, 2023 (the "Closing Date"), PHD Intermediate LLC (“Holdings”), Portillo’s Holdings LLC (the “Borrower”), the other Guarantors party thereto from time to time, each lender party thereto from time to time and Fifth Third Bank, National Association, as Administrative Agent, L/C Issuer and Swing Line Lender entered into a credit agreement (“2023 Credit Agreement”) which provides for a term A loan (the "2023 Term Loan") in an initial aggregate principal amount of $300.0 million and revolving credit commitments in an initial aggregate principal amount of $ 100.0 million (the “2023 Revolver Facility”). The 2023 Term Loan and 2023 Revolver Facility are scheduled to mature on February 2, 2028.</w:t>
      </w: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2023 Term Loan and the 2023 Revolver Facility will accrue interest at the forward-looking secured overnight financing rate (“SOFR”) plus an applicable rate determined upon the consolidated total net rent adjusted leverage ratio, subject to a floor of 0.00% (plus a credit spread adjustment of 0.10% per annum for 1-month interest periods and 0.15% for 3-month interest periods).</w:t>
      </w:r>
    </w:p>
    <w:p>
      <w:pPr>
        <w:spacing w:after="0" w:line="21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As of June 25, 2023, the interest rate on both the 2023 Term Loan and 2023 Revolver Facility was 8.00%. Pursuant to the 2023 Credit Agreement, as of June 25, 2023, the commitment fees to maintain the 2023 Revolver Facility were 0.250%, letter of credit fees were 2.75%, and letter of credit fronting fees were 0.125%. Commitment fees, letter of credit fees, and letter of credit fronting fees are recorded as interest expense in the condensed consolidated statements of operations. As of June 25, 2023, the effective interest rate was 8.16%.</w:t>
      </w:r>
    </w:p>
    <w:p>
      <w:pPr>
        <w:spacing w:after="0" w:line="21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2023 Term Loan will amortize in equal quarterly installments in aggregate annual amounts equal to $ 7.5 million for the first two (2) years following the Closing Date, (b) $15.0 million for the third (3rd) and fourth (4th) years following the Closing Date, and (c) $30.0 million for the fifth (5th) year following the Closing Date, commencing on the last day of the first full fiscal quarter ended after the Closing Date, with the balance payable on the final maturity date.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As of June 25, 2023, outstanding borrowings under the 2023 Credit Agreement totaled $310.0 million, comprising $300.0 million under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2023 Term Loan and $10.0 million under the 2023 Revolver Facility. Letters of credit issued under the 2023 Revolver Facility totaled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$4.3 million. As a result, as of June 25, 2023, the Company had $85.7 million available under the 2023 Revolver Facility. On July 31,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a $5.0 million payment on the 2023 Revolver Facility (see Note 16. Subsequent Events for additional details).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2014 Credit Agreement</w:t>
      </w:r>
    </w:p>
    <w:p>
      <w:pPr>
        <w:spacing w:after="0" w:line="2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Holdings, the Borrower and certain of its subsidiaries entered into a credit agreement ("2014 Credit Agreement"), dated as of August 1, 2014 and as amended October 25, 2016, May 18, 2018 and December 6, 2019, with UBS AG, Stamford Branch, as the administrative agent and collateral agent, and other lenders from time to time party thereto (the “2014 Lenders”). The 2014 Lenders extended credit in the form of (i) first lien initial term loans in an initial aggregate principal amount of $335.0 million and (ii) a revolving credit facility in an original principal amount equal to $30.0 million, including a letter of credit sub-facility with a $7.5 million sublimit (the “2014 Revolving Facility” and the loans thereunder, the “2014 Revolving Loans”).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December 6, 2019, the Borrower entered a third amendment to the 2014 Credit Agreement (the “Third Amendment to 2014 Credit Agreement”) whereby the aggregate principal amount of the term loans as of the effective date of the Third Amendment to 2014 Credit Agreement was $ 332.4 million (the “2014 Term B-3 Loans”), and the 2014 Revolving Facility was increased to $50.0 million. The maturity date with respect to the 2014 Term B-3 Loans was extended to September 6, 2024, and the maturity date with respect to the 2014 Revolving Loans was extended to June 6, 2024.</w:t>
      </w:r>
    </w:p>
    <w:p>
      <w:pPr>
        <w:spacing w:after="0" w:line="21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In connection with the Third Amendment to 2014 Credit Agreement, the interest rates spread for the 2014 Term B-3 Loans increased by 100 basis points to 5.50% for the adjusted London interbank offered rate ("Eurocurrency Rate") loans. As of June 26, 2022, the interest rate on the 2014 Term B-3 Loans was 6.56%. Beginning with December 31, 2019, the Company is required to pay on the last business day of each calendar quarter, March 31, June 30, September 30, and December 31, an aggregate principal amount of $0.8 million.</w:t>
      </w:r>
    </w:p>
    <w:p>
      <w:pPr>
        <w:spacing w:after="0" w:line="2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December 25, 2022, the Company had no borrowings under the 2014 Revolving Facility. As of June 26, 2022, the interest rate on the 2014 Revolving Facility was 3.25%, subject to change based on a consolidated first lien net leverage ratio as defined in the 2014 Credit Agreement. As of June 26, 2022, the commitment fees, pursuant to the 2014 Credit Agreement, to maintain the 2014 Revolving Facility were 0.250%. Also pursuant to the 2014 Credit Agreement, as of June 26, 2022, letter of credit fronting fees were 0.125%. Commitment fees and letter of credit fronting fees are recorded as interest expense in the condensed consolidated statements of operations. As of June 26, 2022, the effective interest rate was 7.38%.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$4.2 million of letters of credit issued against the 2014 Revolving Facility as of December 25, 2022.</w:t>
      </w:r>
    </w:p>
    <w:p>
      <w:pPr>
        <w:spacing w:after="0" w:line="25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On February 2, 2023, the Company used proceeds from the 2023 Term Loan and 2023 Revolver Facility, along with cash on hand, to pay off the 2014 Credit Agreement in full in the amount of $321.8 million. The 2023 Revolver Facility under the 2023 Credit Agreement replaces the $50.0 million 2014 Revolving Facility under the 2014 Credit Agreement.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Discount and Debt Issuance Costs</w:t>
      </w:r>
    </w:p>
    <w:p>
      <w:pPr>
        <w:spacing w:after="0" w:line="27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Pursuant to the 2023 Credit Agreement, the Company capitalized deferred financing costs and issuance discount of $3.6 million which will be amortized over the term of the 2023 Credit Agreement.</w:t>
      </w:r>
    </w:p>
    <w:p>
      <w:pPr>
        <w:spacing w:after="0" w:line="20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connection with the repayment of the 2014 Credit Agreement as described above, deferred financing costs and original issuance discount of $3.5 million were recorded as a loss on debt extinguishment during the two quarters ended June 25, 2023 in the condensed consolidated statement of operations.</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amortized an immaterial amount and $0.3 million of deferred financing costs during the quarter and two quarters ended June 25, 2023, respectively, and $0.5 million and $0.9 million during the quarter and two quarters ended June 26, 2022, respectively, which is included in interest expense in the condensed consolidated statements of operations. In addition, the Company also amortized $0.2 million and $0.3 million in original issue discount related to the long-term debt during the quarter and two quarters ended June 25, 2023, respectively, and $0.1 million and $0.3 million, respectively, in the quarter and two quarters ended June 26, 2022 which is included in interest expense in the condensed consolidated statements of operations.</w:t>
      </w:r>
    </w:p>
    <w:p>
      <w:pPr>
        <w:spacing w:after="0" w:line="21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Total interest costs incurred were $6.5 million and $14.0 million for the quarter and two quarters ended June 25, 2023, respectively, and $6.1 million and $12.2 million for the quarter and two quarters ended June 26, 2022, respectively.</w:t>
      </w:r>
    </w:p>
    <w:p>
      <w:pPr>
        <w:spacing w:after="0" w:line="20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of June 25, 2023 and December 25, 2022, the fair value of long-term debt approximates the carrying value as it is variable rate debt. The fair value measurement of this debt is considered Level 2 of the fair value hierarchy as inputs to interest are observable, unadjusted quoted prices in active markets for similar assets or liabilities.</w:t>
      </w:r>
    </w:p>
    <w:p>
      <w:pPr>
        <w:spacing w:after="0" w:line="21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The 2023 Credit Agreement is guaranteed by all domestic subsidiaries of the Borrower (subject to customary exceptions) and secured by liens on substantially all of the assets of Holdings, the Borrower and the subsidiary guarantors (subject to customary exceptions).</w:t>
      </w:r>
    </w:p>
    <w:p>
      <w:pPr>
        <w:spacing w:after="0" w:line="201"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color w:val="auto"/>
        </w:rPr>
        <w:t>The 2023 Credit Agreement also includes certain financial covenants with respect to cash interest coverage and total net rent adjusted leverage. As of June 25, 2023, the Company was in compliance with all covenants in the 2023 Credit Agreement.</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9.</w:t>
        <w:tab/>
        <w:t>LEASES</w:t>
      </w:r>
    </w:p>
    <w:p>
      <w:pPr>
        <w:spacing w:after="0" w:line="27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We qualify as an emerging growth company pursuant to the provisions of the Jumpstart our Business Startups ("JOBS") Act. As such, we adopted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along with related clarifications and improvements, using a modified retrospective approach, with first presentation of the application of ASC 842 in our Annual Report on Form 10-K for the fiscal year ended December 25, 2022. Quarterly interim financial statements for 2023 are presented under ASC 842. Quarterly interim financial statements were not required in 2022 under prior lease accounting guidance, therefore comparative amounts are not presented for those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lease right-of-use assets and liabilities is as follows (in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20" w:type="dxa"/>
            <w:vAlign w:val="bottom"/>
            <w:tcBorders>
              <w:bottom w:val="single" w:sz="8" w:color="DBDBDB"/>
            </w:tcBorders>
          </w:tcPr>
          <w:p>
            <w:pPr>
              <w:ind w:left="20"/>
              <w:spacing w:after="0"/>
              <w:rPr>
                <w:sz w:val="20"/>
                <w:szCs w:val="20"/>
                <w:color w:val="auto"/>
              </w:rPr>
            </w:pPr>
            <w:r>
              <w:rPr>
                <w:rFonts w:ascii="Arial" w:cs="Arial" w:eastAsia="Arial" w:hAnsi="Arial"/>
                <w:sz w:val="16"/>
                <w:szCs w:val="16"/>
                <w:b w:val="1"/>
                <w:bCs w:val="1"/>
                <w:color w:val="auto"/>
              </w:rPr>
              <w:t>Operating leases</w:t>
            </w:r>
          </w:p>
        </w:tc>
        <w:tc>
          <w:tcPr>
            <w:tcW w:w="5040" w:type="dxa"/>
            <w:vAlign w:val="bottom"/>
            <w:tcBorders>
              <w:bottom w:val="single" w:sz="8" w:color="DBDBDB"/>
            </w:tcBorders>
          </w:tcPr>
          <w:p>
            <w:pPr>
              <w:ind w:left="140"/>
              <w:spacing w:after="0"/>
              <w:rPr>
                <w:sz w:val="20"/>
                <w:szCs w:val="20"/>
                <w:color w:val="auto"/>
              </w:rPr>
            </w:pPr>
            <w:r>
              <w:rPr>
                <w:rFonts w:ascii="Arial" w:cs="Arial" w:eastAsia="Arial" w:hAnsi="Arial"/>
                <w:sz w:val="16"/>
                <w:szCs w:val="16"/>
                <w:b w:val="1"/>
                <w:bCs w:val="1"/>
                <w:color w:val="auto"/>
              </w:rPr>
              <w:t>Classification</w:t>
            </w:r>
          </w:p>
        </w:tc>
        <w:tc>
          <w:tcPr>
            <w:tcW w:w="2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June 25, 2023</w:t>
            </w:r>
          </w:p>
        </w:tc>
        <w:tc>
          <w:tcPr>
            <w:tcW w:w="120" w:type="dxa"/>
            <w:vAlign w:val="bottom"/>
            <w:tcBorders>
              <w:bottom w:val="single" w:sz="8" w:color="DBDBDB"/>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December 25, 2022</w:t>
            </w:r>
          </w:p>
        </w:tc>
      </w:tr>
      <w:tr>
        <w:trPr>
          <w:trHeight w:val="234"/>
        </w:trPr>
        <w:tc>
          <w:tcPr>
            <w:tcW w:w="2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Right-of-use assets</w:t>
            </w:r>
          </w:p>
        </w:tc>
        <w:tc>
          <w:tcPr>
            <w:tcW w:w="50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Operating lease assets</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179,449</w:t>
            </w:r>
          </w:p>
        </w:tc>
        <w:tc>
          <w:tcPr>
            <w:tcW w:w="30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166,808</w:t>
            </w:r>
          </w:p>
        </w:tc>
      </w:tr>
      <w:tr>
        <w:trPr>
          <w:trHeight w:val="223"/>
        </w:trPr>
        <w:tc>
          <w:tcPr>
            <w:tcW w:w="2120" w:type="dxa"/>
            <w:vAlign w:val="bottom"/>
            <w:tcBorders>
              <w:top w:val="single" w:sz="8" w:color="DBDBDB"/>
            </w:tcBorders>
          </w:tcPr>
          <w:p>
            <w:pPr>
              <w:spacing w:after="0"/>
              <w:rPr>
                <w:sz w:val="19"/>
                <w:szCs w:val="19"/>
                <w:color w:val="auto"/>
              </w:rPr>
            </w:pPr>
          </w:p>
        </w:tc>
        <w:tc>
          <w:tcPr>
            <w:tcW w:w="5040" w:type="dxa"/>
            <w:vAlign w:val="bottom"/>
            <w:tcBorders>
              <w:top w:val="single" w:sz="8" w:color="DBDBDB"/>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179,449</w:t>
            </w:r>
          </w:p>
        </w:tc>
        <w:tc>
          <w:tcPr>
            <w:tcW w:w="120" w:type="dxa"/>
            <w:vAlign w:val="bottom"/>
            <w:tcBorders>
              <w:top w:val="single" w:sz="8" w:color="DBDBDB"/>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166,808</w:t>
            </w:r>
          </w:p>
        </w:tc>
      </w:tr>
      <w:tr>
        <w:trPr>
          <w:trHeight w:val="33"/>
        </w:trPr>
        <w:tc>
          <w:tcPr>
            <w:tcW w:w="21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2120" w:type="dxa"/>
            <w:vAlign w:val="bottom"/>
            <w:tcBorders>
              <w:bottom w:val="single" w:sz="8" w:color="DBDBDB"/>
            </w:tcBorders>
          </w:tcPr>
          <w:p>
            <w:pPr>
              <w:spacing w:after="0" w:line="20" w:lineRule="exact"/>
              <w:rPr>
                <w:sz w:val="1"/>
                <w:szCs w:val="1"/>
                <w:color w:val="auto"/>
              </w:rPr>
            </w:pPr>
          </w:p>
        </w:tc>
        <w:tc>
          <w:tcPr>
            <w:tcW w:w="504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7"/>
        </w:trPr>
        <w:tc>
          <w:tcPr>
            <w:tcW w:w="2120" w:type="dxa"/>
            <w:vAlign w:val="bottom"/>
            <w:shd w:val="clear" w:color="auto" w:fill="DBDBDB"/>
          </w:tcPr>
          <w:p>
            <w:pPr>
              <w:spacing w:after="0"/>
              <w:rPr>
                <w:sz w:val="20"/>
                <w:szCs w:val="20"/>
                <w:color w:val="auto"/>
              </w:rPr>
            </w:pPr>
          </w:p>
        </w:tc>
        <w:tc>
          <w:tcPr>
            <w:tcW w:w="504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7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800" w:type="dxa"/>
            <w:vAlign w:val="bottom"/>
            <w:shd w:val="clear" w:color="auto" w:fill="DBDBDB"/>
          </w:tcPr>
          <w:p>
            <w:pPr>
              <w:spacing w:after="0"/>
              <w:rPr>
                <w:sz w:val="20"/>
                <w:szCs w:val="20"/>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16"/>
                <w:szCs w:val="16"/>
                <w:color w:val="auto"/>
              </w:rPr>
              <w:t>Current lease liabilities</w:t>
            </w:r>
          </w:p>
        </w:tc>
        <w:tc>
          <w:tcPr>
            <w:tcW w:w="5040" w:type="dxa"/>
            <w:vAlign w:val="bottom"/>
          </w:tcPr>
          <w:p>
            <w:pPr>
              <w:ind w:left="140"/>
              <w:spacing w:after="0"/>
              <w:rPr>
                <w:sz w:val="20"/>
                <w:szCs w:val="20"/>
                <w:color w:val="auto"/>
              </w:rPr>
            </w:pPr>
            <w:r>
              <w:rPr>
                <w:rFonts w:ascii="Arial" w:cs="Arial" w:eastAsia="Arial" w:hAnsi="Arial"/>
                <w:sz w:val="16"/>
                <w:szCs w:val="16"/>
                <w:color w:val="auto"/>
              </w:rPr>
              <w:t>Short-term operating lease liability</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5,053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4,849</w:t>
            </w:r>
          </w:p>
        </w:tc>
      </w:tr>
      <w:tr>
        <w:trPr>
          <w:trHeight w:val="246"/>
        </w:trPr>
        <w:tc>
          <w:tcPr>
            <w:tcW w:w="2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Non-current lease liabilities</w:t>
            </w:r>
          </w:p>
        </w:tc>
        <w:tc>
          <w:tcPr>
            <w:tcW w:w="50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Long-term operating lease liability</w:t>
            </w:r>
          </w:p>
        </w:tc>
        <w:tc>
          <w:tcPr>
            <w:tcW w:w="280" w:type="dxa"/>
            <w:vAlign w:val="bottom"/>
            <w:tcBorders>
              <w:bottom w:val="single" w:sz="8" w:color="auto"/>
            </w:tcBorders>
            <w:shd w:val="clear" w:color="auto" w:fill="DBDBDB"/>
          </w:tcPr>
          <w:p>
            <w:pPr>
              <w:spacing w:after="0"/>
              <w:rPr>
                <w:sz w:val="21"/>
                <w:szCs w:val="21"/>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217,989</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200,166</w:t>
            </w:r>
          </w:p>
        </w:tc>
      </w:tr>
      <w:tr>
        <w:trPr>
          <w:trHeight w:val="224"/>
        </w:trPr>
        <w:tc>
          <w:tcPr>
            <w:tcW w:w="2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223,042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205,015</w:t>
            </w:r>
          </w:p>
        </w:tc>
      </w:tr>
      <w:tr>
        <w:trPr>
          <w:trHeight w:val="33"/>
        </w:trPr>
        <w:tc>
          <w:tcPr>
            <w:tcW w:w="21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
        </w:trPr>
        <w:tc>
          <w:tcPr>
            <w:tcW w:w="21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ind w:right="339"/>
              <w:spacing w:after="0"/>
              <w:rPr>
                <w:sz w:val="20"/>
                <w:szCs w:val="20"/>
                <w:color w:val="auto"/>
              </w:rPr>
            </w:pPr>
            <w:r>
              <w:rPr>
                <w:rFonts w:ascii="Arial" w:cs="Arial" w:eastAsia="Arial" w:hAnsi="Arial"/>
                <w:sz w:val="16"/>
                <w:szCs w:val="16"/>
                <w:b w:val="1"/>
                <w:bCs w:val="1"/>
                <w:color w:val="auto"/>
              </w:rPr>
              <w:t>Quarter Ended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ind w:right="119"/>
              <w:spacing w:after="0"/>
              <w:rPr>
                <w:sz w:val="20"/>
                <w:szCs w:val="20"/>
                <w:color w:val="auto"/>
              </w:rPr>
            </w:pPr>
            <w:r>
              <w:rPr>
                <w:rFonts w:ascii="Arial" w:cs="Arial" w:eastAsia="Arial" w:hAnsi="Arial"/>
                <w:sz w:val="16"/>
                <w:szCs w:val="16"/>
                <w:b w:val="1"/>
                <w:bCs w:val="1"/>
                <w:color w:val="auto"/>
              </w:rPr>
              <w:t>Two Quarters Ended</w:t>
            </w:r>
          </w:p>
        </w:tc>
        <w:tc>
          <w:tcPr>
            <w:tcW w:w="0" w:type="dxa"/>
            <w:vAlign w:val="bottom"/>
          </w:tcPr>
          <w:p>
            <w:pPr>
              <w:spacing w:after="0"/>
              <w:rPr>
                <w:sz w:val="1"/>
                <w:szCs w:val="1"/>
                <w:color w:val="auto"/>
              </w:rPr>
            </w:pPr>
          </w:p>
        </w:tc>
      </w:tr>
      <w:tr>
        <w:trPr>
          <w:trHeight w:val="260"/>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Operating leases</w:t>
            </w:r>
          </w:p>
        </w:tc>
        <w:tc>
          <w:tcPr>
            <w:tcW w:w="4200" w:type="dxa"/>
            <w:vAlign w:val="bottom"/>
          </w:tcPr>
          <w:p>
            <w:pPr>
              <w:ind w:left="660"/>
              <w:spacing w:after="0"/>
              <w:rPr>
                <w:sz w:val="20"/>
                <w:szCs w:val="20"/>
                <w:color w:val="auto"/>
              </w:rPr>
            </w:pPr>
            <w:r>
              <w:rPr>
                <w:rFonts w:ascii="Arial" w:cs="Arial" w:eastAsia="Arial" w:hAnsi="Arial"/>
                <w:sz w:val="16"/>
                <w:szCs w:val="16"/>
                <w:b w:val="1"/>
                <w:bCs w:val="1"/>
                <w:color w:val="auto"/>
              </w:rPr>
              <w:t>Classification</w:t>
            </w:r>
          </w:p>
        </w:tc>
        <w:tc>
          <w:tcPr>
            <w:tcW w:w="2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June 25, 2023</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June 25, 2023</w:t>
            </w:r>
          </w:p>
        </w:tc>
        <w:tc>
          <w:tcPr>
            <w:tcW w:w="0" w:type="dxa"/>
            <w:vAlign w:val="bottom"/>
          </w:tcPr>
          <w:p>
            <w:pPr>
              <w:spacing w:after="0"/>
              <w:rPr>
                <w:sz w:val="1"/>
                <w:szCs w:val="1"/>
                <w:color w:val="auto"/>
              </w:rPr>
            </w:pPr>
          </w:p>
        </w:tc>
      </w:tr>
      <w:tr>
        <w:trPr>
          <w:trHeight w:val="203"/>
        </w:trPr>
        <w:tc>
          <w:tcPr>
            <w:tcW w:w="2940" w:type="dxa"/>
            <w:vAlign w:val="bottom"/>
            <w:shd w:val="clear" w:color="auto" w:fill="DBDBDB"/>
          </w:tcPr>
          <w:p>
            <w:pPr>
              <w:spacing w:after="0"/>
              <w:rPr>
                <w:sz w:val="17"/>
                <w:szCs w:val="17"/>
                <w:color w:val="auto"/>
              </w:rPr>
            </w:pPr>
          </w:p>
        </w:tc>
        <w:tc>
          <w:tcPr>
            <w:tcW w:w="4200" w:type="dxa"/>
            <w:vAlign w:val="bottom"/>
            <w:shd w:val="clear" w:color="auto" w:fill="DBDBDB"/>
          </w:tcPr>
          <w:p>
            <w:pPr>
              <w:ind w:left="660"/>
              <w:spacing w:after="0"/>
              <w:rPr>
                <w:sz w:val="20"/>
                <w:szCs w:val="20"/>
                <w:color w:val="auto"/>
              </w:rPr>
            </w:pPr>
            <w:r>
              <w:rPr>
                <w:rFonts w:ascii="Arial" w:cs="Arial" w:eastAsia="Arial" w:hAnsi="Arial"/>
                <w:sz w:val="16"/>
                <w:szCs w:val="16"/>
                <w:color w:val="auto"/>
              </w:rPr>
              <w:t>Occupancy</w:t>
            </w:r>
          </w:p>
        </w:tc>
        <w:tc>
          <w:tcPr>
            <w:tcW w:w="280" w:type="dxa"/>
            <w:vAlign w:val="bottom"/>
            <w:shd w:val="clear" w:color="auto" w:fill="DBDBDB"/>
          </w:tcPr>
          <w:p>
            <w:pPr>
              <w:spacing w:after="0"/>
              <w:rPr>
                <w:sz w:val="17"/>
                <w:szCs w:val="17"/>
                <w:color w:val="auto"/>
              </w:rPr>
            </w:pPr>
          </w:p>
        </w:tc>
        <w:tc>
          <w:tcPr>
            <w:tcW w:w="17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DBDBDB"/>
          </w:tcPr>
          <w:p>
            <w:pPr>
              <w:spacing w:after="0"/>
              <w:rPr>
                <w:sz w:val="16"/>
                <w:szCs w:val="16"/>
                <w:color w:val="auto"/>
              </w:rPr>
            </w:pPr>
          </w:p>
        </w:tc>
        <w:tc>
          <w:tcPr>
            <w:tcW w:w="4200" w:type="dxa"/>
            <w:vAlign w:val="bottom"/>
            <w:shd w:val="clear" w:color="auto" w:fill="DBDBDB"/>
          </w:tcPr>
          <w:p>
            <w:pPr>
              <w:ind w:left="660"/>
              <w:spacing w:after="0"/>
              <w:rPr>
                <w:sz w:val="20"/>
                <w:szCs w:val="20"/>
                <w:color w:val="auto"/>
              </w:rPr>
            </w:pPr>
            <w:r>
              <w:rPr>
                <w:rFonts w:ascii="Arial" w:cs="Arial" w:eastAsia="Arial" w:hAnsi="Arial"/>
                <w:sz w:val="16"/>
                <w:szCs w:val="16"/>
                <w:color w:val="auto"/>
              </w:rPr>
              <w:t>Other operating expenses</w:t>
            </w:r>
          </w:p>
        </w:tc>
        <w:tc>
          <w:tcPr>
            <w:tcW w:w="280" w:type="dxa"/>
            <w:vAlign w:val="bottom"/>
            <w:shd w:val="clear" w:color="auto" w:fill="DBDBDB"/>
          </w:tcPr>
          <w:p>
            <w:pPr>
              <w:spacing w:after="0"/>
              <w:rPr>
                <w:sz w:val="16"/>
                <w:szCs w:val="16"/>
                <w:color w:val="auto"/>
              </w:rPr>
            </w:pPr>
          </w:p>
        </w:tc>
        <w:tc>
          <w:tcPr>
            <w:tcW w:w="17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8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DBDBDB"/>
          </w:tcPr>
          <w:p>
            <w:pPr>
              <w:spacing w:after="0"/>
              <w:rPr>
                <w:sz w:val="17"/>
                <w:szCs w:val="17"/>
                <w:color w:val="auto"/>
              </w:rPr>
            </w:pPr>
          </w:p>
        </w:tc>
        <w:tc>
          <w:tcPr>
            <w:tcW w:w="4200" w:type="dxa"/>
            <w:vAlign w:val="bottom"/>
            <w:shd w:val="clear" w:color="auto" w:fill="DBDBDB"/>
          </w:tcPr>
          <w:p>
            <w:pPr>
              <w:ind w:left="660"/>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shd w:val="clear" w:color="auto" w:fill="DBDBDB"/>
          </w:tcPr>
          <w:p>
            <w:pPr>
              <w:spacing w:after="0"/>
              <w:rPr>
                <w:sz w:val="17"/>
                <w:szCs w:val="17"/>
                <w:color w:val="auto"/>
              </w:rPr>
            </w:pPr>
          </w:p>
        </w:tc>
        <w:tc>
          <w:tcPr>
            <w:tcW w:w="17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Operating lease cost</w:t>
            </w:r>
          </w:p>
        </w:tc>
        <w:tc>
          <w:tcPr>
            <w:tcW w:w="4200" w:type="dxa"/>
            <w:vAlign w:val="bottom"/>
            <w:shd w:val="clear" w:color="auto" w:fill="DBDBDB"/>
          </w:tcPr>
          <w:p>
            <w:pPr>
              <w:ind w:left="660"/>
              <w:spacing w:after="0"/>
              <w:rPr>
                <w:sz w:val="20"/>
                <w:szCs w:val="20"/>
                <w:color w:val="auto"/>
              </w:rPr>
            </w:pPr>
            <w:r>
              <w:rPr>
                <w:rFonts w:ascii="Arial" w:cs="Arial" w:eastAsia="Arial" w:hAnsi="Arial"/>
                <w:sz w:val="16"/>
                <w:szCs w:val="16"/>
                <w:color w:val="auto"/>
              </w:rPr>
              <w:t>Pre-opening expenses</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7,007</w:t>
            </w:r>
          </w:p>
        </w:tc>
        <w:tc>
          <w:tcPr>
            <w:tcW w:w="28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13,835</w:t>
            </w:r>
          </w:p>
        </w:tc>
        <w:tc>
          <w:tcPr>
            <w:tcW w:w="0" w:type="dxa"/>
            <w:vAlign w:val="bottom"/>
          </w:tcPr>
          <w:p>
            <w:pPr>
              <w:spacing w:after="0"/>
              <w:rPr>
                <w:sz w:val="1"/>
                <w:szCs w:val="1"/>
                <w:color w:val="auto"/>
              </w:rPr>
            </w:pPr>
          </w:p>
        </w:tc>
      </w:tr>
      <w:tr>
        <w:trPr>
          <w:trHeight w:val="219"/>
        </w:trPr>
        <w:tc>
          <w:tcPr>
            <w:tcW w:w="2940" w:type="dxa"/>
            <w:vAlign w:val="bottom"/>
          </w:tcPr>
          <w:p>
            <w:pPr>
              <w:spacing w:after="0"/>
              <w:rPr>
                <w:sz w:val="19"/>
                <w:szCs w:val="19"/>
                <w:color w:val="auto"/>
              </w:rPr>
            </w:pPr>
          </w:p>
        </w:tc>
        <w:tc>
          <w:tcPr>
            <w:tcW w:w="4200" w:type="dxa"/>
            <w:vAlign w:val="bottom"/>
          </w:tcPr>
          <w:p>
            <w:pPr>
              <w:ind w:left="660"/>
              <w:spacing w:after="0"/>
              <w:rPr>
                <w:sz w:val="20"/>
                <w:szCs w:val="20"/>
                <w:color w:val="auto"/>
              </w:rPr>
            </w:pPr>
            <w:r>
              <w:rPr>
                <w:rFonts w:ascii="Arial" w:cs="Arial" w:eastAsia="Arial" w:hAnsi="Arial"/>
                <w:sz w:val="16"/>
                <w:szCs w:val="16"/>
                <w:color w:val="auto"/>
              </w:rPr>
              <w:t>Occupancy</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20"/>
              <w:spacing w:after="0"/>
              <w:rPr>
                <w:sz w:val="20"/>
                <w:szCs w:val="20"/>
                <w:color w:val="auto"/>
              </w:rPr>
            </w:pPr>
            <w:r>
              <w:rPr>
                <w:rFonts w:ascii="Arial" w:cs="Arial" w:eastAsia="Arial" w:hAnsi="Arial"/>
                <w:sz w:val="16"/>
                <w:szCs w:val="16"/>
                <w:color w:val="auto"/>
              </w:rPr>
              <w:t>Short-term operating lease cost</w:t>
            </w:r>
          </w:p>
        </w:tc>
        <w:tc>
          <w:tcPr>
            <w:tcW w:w="4200" w:type="dxa"/>
            <w:vAlign w:val="bottom"/>
          </w:tcPr>
          <w:p>
            <w:pPr>
              <w:ind w:left="660"/>
              <w:spacing w:after="0"/>
              <w:rPr>
                <w:sz w:val="20"/>
                <w:szCs w:val="20"/>
                <w:color w:val="auto"/>
              </w:rPr>
            </w:pPr>
            <w:r>
              <w:rPr>
                <w:rFonts w:ascii="Arial" w:cs="Arial" w:eastAsia="Arial" w:hAnsi="Arial"/>
                <w:sz w:val="16"/>
                <w:szCs w:val="16"/>
                <w:color w:val="auto"/>
              </w:rPr>
              <w:t>Other operating expenses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6"/>
        </w:trPr>
        <w:tc>
          <w:tcPr>
            <w:tcW w:w="2940" w:type="dxa"/>
            <w:vAlign w:val="bottom"/>
            <w:shd w:val="clear" w:color="auto" w:fill="DBDBDB"/>
          </w:tcPr>
          <w:p>
            <w:pPr>
              <w:spacing w:after="0"/>
              <w:rPr>
                <w:sz w:val="18"/>
                <w:szCs w:val="18"/>
                <w:color w:val="auto"/>
              </w:rPr>
            </w:pPr>
          </w:p>
        </w:tc>
        <w:tc>
          <w:tcPr>
            <w:tcW w:w="4200" w:type="dxa"/>
            <w:vAlign w:val="bottom"/>
            <w:shd w:val="clear" w:color="auto" w:fill="DBDBDB"/>
          </w:tcPr>
          <w:p>
            <w:pPr>
              <w:ind w:left="660"/>
              <w:spacing w:after="0"/>
              <w:rPr>
                <w:sz w:val="20"/>
                <w:szCs w:val="20"/>
                <w:color w:val="auto"/>
              </w:rPr>
            </w:pPr>
            <w:r>
              <w:rPr>
                <w:rFonts w:ascii="Arial" w:cs="Arial" w:eastAsia="Arial" w:hAnsi="Arial"/>
                <w:sz w:val="16"/>
                <w:szCs w:val="16"/>
                <w:color w:val="auto"/>
              </w:rPr>
              <w:t>Occupancy</w:t>
            </w:r>
          </w:p>
        </w:tc>
        <w:tc>
          <w:tcPr>
            <w:tcW w:w="280" w:type="dxa"/>
            <w:vAlign w:val="bottom"/>
            <w:shd w:val="clear" w:color="auto" w:fill="DBDBDB"/>
          </w:tcPr>
          <w:p>
            <w:pPr>
              <w:spacing w:after="0"/>
              <w:rPr>
                <w:sz w:val="18"/>
                <w:szCs w:val="18"/>
                <w:color w:val="auto"/>
              </w:rPr>
            </w:pPr>
          </w:p>
        </w:tc>
        <w:tc>
          <w:tcPr>
            <w:tcW w:w="17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DBDBDB"/>
          </w:tcPr>
          <w:p>
            <w:pPr>
              <w:spacing w:after="0"/>
              <w:rPr>
                <w:sz w:val="17"/>
                <w:szCs w:val="17"/>
                <w:color w:val="auto"/>
              </w:rPr>
            </w:pPr>
          </w:p>
        </w:tc>
        <w:tc>
          <w:tcPr>
            <w:tcW w:w="4200" w:type="dxa"/>
            <w:vAlign w:val="bottom"/>
            <w:shd w:val="clear" w:color="auto" w:fill="DBDBDB"/>
          </w:tcPr>
          <w:p>
            <w:pPr>
              <w:ind w:left="660"/>
              <w:spacing w:after="0"/>
              <w:rPr>
                <w:sz w:val="20"/>
                <w:szCs w:val="20"/>
                <w:color w:val="auto"/>
              </w:rPr>
            </w:pPr>
            <w:r>
              <w:rPr>
                <w:rFonts w:ascii="Arial" w:cs="Arial" w:eastAsia="Arial" w:hAnsi="Arial"/>
                <w:sz w:val="16"/>
                <w:szCs w:val="16"/>
                <w:color w:val="auto"/>
              </w:rPr>
              <w:t>Other operating expenses</w:t>
            </w:r>
          </w:p>
        </w:tc>
        <w:tc>
          <w:tcPr>
            <w:tcW w:w="280" w:type="dxa"/>
            <w:vAlign w:val="bottom"/>
            <w:shd w:val="clear" w:color="auto" w:fill="DBDBDB"/>
          </w:tcPr>
          <w:p>
            <w:pPr>
              <w:spacing w:after="0"/>
              <w:rPr>
                <w:sz w:val="17"/>
                <w:szCs w:val="17"/>
                <w:color w:val="auto"/>
              </w:rPr>
            </w:pPr>
          </w:p>
        </w:tc>
        <w:tc>
          <w:tcPr>
            <w:tcW w:w="17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1,028</w:t>
            </w:r>
          </w:p>
        </w:tc>
        <w:tc>
          <w:tcPr>
            <w:tcW w:w="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20"/>
        </w:trPr>
        <w:tc>
          <w:tcPr>
            <w:tcW w:w="2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Variable lease cost</w:t>
            </w:r>
          </w:p>
        </w:tc>
        <w:tc>
          <w:tcPr>
            <w:tcW w:w="4200" w:type="dxa"/>
            <w:vAlign w:val="bottom"/>
            <w:shd w:val="clear" w:color="auto" w:fill="DBDBDB"/>
          </w:tcPr>
          <w:p>
            <w:pPr>
              <w:ind w:left="660"/>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tcBorders>
              <w:bottom w:val="single" w:sz="8" w:color="auto"/>
            </w:tcBorders>
            <w:shd w:val="clear" w:color="auto" w:fill="DBDBDB"/>
          </w:tcPr>
          <w:p>
            <w:pPr>
              <w:spacing w:after="0"/>
              <w:rPr>
                <w:sz w:val="19"/>
                <w:szCs w:val="19"/>
                <w:color w:val="auto"/>
              </w:rPr>
            </w:pPr>
          </w:p>
        </w:tc>
        <w:tc>
          <w:tcPr>
            <w:tcW w:w="1700" w:type="dxa"/>
            <w:vAlign w:val="bottom"/>
            <w:tcBorders>
              <w:bottom w:val="single" w:sz="8" w:color="auto"/>
            </w:tcBorders>
            <w:vMerge w:val="continue"/>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820" w:type="dxa"/>
            <w:vAlign w:val="bottom"/>
            <w:tcBorders>
              <w:bottom w:val="single" w:sz="8" w:color="auto"/>
            </w:tcBorders>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8,215</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16,189</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7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8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lease terms and discount rates for operating leases is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20"/>
              <w:spacing w:after="0"/>
              <w:rPr>
                <w:sz w:val="20"/>
                <w:szCs w:val="20"/>
                <w:color w:val="auto"/>
              </w:rPr>
            </w:pPr>
            <w:r>
              <w:rPr>
                <w:rFonts w:ascii="Arial" w:cs="Arial" w:eastAsia="Arial" w:hAnsi="Arial"/>
                <w:sz w:val="16"/>
                <w:szCs w:val="16"/>
                <w:b w:val="1"/>
                <w:bCs w:val="1"/>
                <w:color w:val="auto"/>
              </w:rPr>
              <w:t>Operating leases</w:t>
            </w:r>
          </w:p>
        </w:tc>
        <w:tc>
          <w:tcPr>
            <w:tcW w:w="2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20"/>
                <w:szCs w:val="20"/>
                <w:color w:val="auto"/>
              </w:rPr>
            </w:pPr>
          </w:p>
        </w:tc>
        <w:tc>
          <w:tcPr>
            <w:tcW w:w="21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December 25, 2022</w:t>
            </w:r>
          </w:p>
        </w:tc>
      </w:tr>
      <w:tr>
        <w:trPr>
          <w:trHeight w:val="234"/>
        </w:trPr>
        <w:tc>
          <w:tcPr>
            <w:tcW w:w="6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2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25.4</w:t>
            </w:r>
          </w:p>
        </w:tc>
        <w:tc>
          <w:tcPr>
            <w:tcW w:w="22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25.0</w:t>
            </w:r>
          </w:p>
        </w:tc>
      </w:tr>
      <w:tr>
        <w:trPr>
          <w:trHeight w:val="223"/>
        </w:trPr>
        <w:tc>
          <w:tcPr>
            <w:tcW w:w="698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2060" w:type="dxa"/>
            <w:vAlign w:val="bottom"/>
          </w:tcPr>
          <w:p>
            <w:pPr>
              <w:jc w:val="right"/>
              <w:spacing w:after="0"/>
              <w:rPr>
                <w:sz w:val="20"/>
                <w:szCs w:val="20"/>
                <w:color w:val="auto"/>
              </w:rPr>
            </w:pPr>
            <w:r>
              <w:rPr>
                <w:rFonts w:ascii="Arial" w:cs="Arial" w:eastAsia="Arial" w:hAnsi="Arial"/>
                <w:sz w:val="16"/>
                <w:szCs w:val="16"/>
                <w:color w:val="auto"/>
              </w:rPr>
              <w:t>9.8 %</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9.8 %</w:t>
            </w:r>
          </w:p>
        </w:tc>
      </w:tr>
    </w:tbl>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is as follows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b w:val="1"/>
                <w:bCs w:val="1"/>
                <w:color w:val="auto"/>
              </w:rPr>
              <w:t>Quarter Ended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b w:val="1"/>
                <w:bCs w:val="1"/>
                <w:color w:val="auto"/>
              </w:rPr>
              <w:t>Two Quarters Ended</w:t>
            </w:r>
          </w:p>
        </w:tc>
      </w:tr>
      <w:tr>
        <w:trPr>
          <w:trHeight w:val="247"/>
        </w:trPr>
        <w:tc>
          <w:tcPr>
            <w:tcW w:w="7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June 25, 2023</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June 25, 2023</w:t>
            </w:r>
          </w:p>
        </w:tc>
      </w:tr>
      <w:tr>
        <w:trPr>
          <w:trHeight w:val="240"/>
        </w:trPr>
        <w:tc>
          <w:tcPr>
            <w:tcW w:w="7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8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840" w:type="dxa"/>
            <w:vAlign w:val="bottom"/>
            <w:shd w:val="clear" w:color="auto" w:fill="DBDBDB"/>
          </w:tcPr>
          <w:p>
            <w:pPr>
              <w:spacing w:after="0"/>
              <w:rPr>
                <w:sz w:val="20"/>
                <w:szCs w:val="20"/>
                <w:color w:val="auto"/>
              </w:rPr>
            </w:pPr>
          </w:p>
        </w:tc>
      </w:tr>
      <w:tr>
        <w:trPr>
          <w:trHeight w:val="224"/>
        </w:trPr>
        <w:tc>
          <w:tcPr>
            <w:tcW w:w="7140" w:type="dxa"/>
            <w:vAlign w:val="bottom"/>
          </w:tcPr>
          <w:p>
            <w:pPr>
              <w:ind w:left="140"/>
              <w:spacing w:after="0"/>
              <w:rPr>
                <w:sz w:val="20"/>
                <w:szCs w:val="20"/>
                <w:color w:val="auto"/>
              </w:rPr>
            </w:pPr>
            <w:r>
              <w:rPr>
                <w:rFonts w:ascii="Arial" w:cs="Arial" w:eastAsia="Arial" w:hAnsi="Arial"/>
                <w:sz w:val="16"/>
                <w:szCs w:val="16"/>
                <w:color w:val="auto"/>
              </w:rPr>
              <w:t>Operating cash flows for operating leases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5,808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11,581</w:t>
            </w:r>
          </w:p>
        </w:tc>
      </w:tr>
      <w:tr>
        <w:trPr>
          <w:trHeight w:val="33"/>
        </w:trPr>
        <w:tc>
          <w:tcPr>
            <w:tcW w:w="7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Operating lease assets obtained in exchange for lease liabilities:</w:t>
            </w:r>
          </w:p>
        </w:tc>
        <w:tc>
          <w:tcPr>
            <w:tcW w:w="280" w:type="dxa"/>
            <w:vAlign w:val="bottom"/>
            <w:shd w:val="clear" w:color="auto" w:fill="DBDBDB"/>
          </w:tcPr>
          <w:p>
            <w:pPr>
              <w:spacing w:after="0"/>
              <w:rPr>
                <w:sz w:val="21"/>
                <w:szCs w:val="21"/>
                <w:color w:val="auto"/>
              </w:rPr>
            </w:pPr>
          </w:p>
        </w:tc>
        <w:tc>
          <w:tcPr>
            <w:tcW w:w="17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840" w:type="dxa"/>
            <w:vAlign w:val="bottom"/>
            <w:shd w:val="clear" w:color="auto" w:fill="DBDBDB"/>
          </w:tcPr>
          <w:p>
            <w:pPr>
              <w:spacing w:after="0"/>
              <w:rPr>
                <w:sz w:val="21"/>
                <w:szCs w:val="21"/>
                <w:color w:val="auto"/>
              </w:rPr>
            </w:pPr>
          </w:p>
        </w:tc>
      </w:tr>
      <w:tr>
        <w:trPr>
          <w:trHeight w:val="224"/>
        </w:trPr>
        <w:tc>
          <w:tcPr>
            <w:tcW w:w="714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7,834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15,097</w:t>
            </w: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As of June 25, 2023, the maturity analysis of the lease liabilities consisted of the following (in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9220" w:type="dxa"/>
            <w:vAlign w:val="bottom"/>
            <w:gridSpan w:val="2"/>
          </w:tcPr>
          <w:p>
            <w:pPr>
              <w:spacing w:after="0"/>
              <w:rPr>
                <w:sz w:val="20"/>
                <w:szCs w:val="20"/>
                <w:color w:val="auto"/>
              </w:rPr>
            </w:pPr>
            <w:r>
              <w:rPr>
                <w:rFonts w:ascii="Arial" w:cs="Arial" w:eastAsia="Arial" w:hAnsi="Arial"/>
                <w:sz w:val="16"/>
                <w:szCs w:val="16"/>
                <w:b w:val="1"/>
                <w:bCs w:val="1"/>
                <w:color w:val="auto"/>
              </w:rPr>
              <w:t>Year Ending</w:t>
            </w:r>
          </w:p>
        </w:tc>
        <w:tc>
          <w:tcPr>
            <w:tcW w:w="220" w:type="dxa"/>
            <w:vAlign w:val="bottom"/>
          </w:tcPr>
          <w:p>
            <w:pPr>
              <w:spacing w:after="0"/>
              <w:rPr>
                <w:sz w:val="16"/>
                <w:szCs w:val="16"/>
                <w:color w:val="auto"/>
              </w:rPr>
            </w:pPr>
          </w:p>
        </w:tc>
        <w:tc>
          <w:tcPr>
            <w:tcW w:w="1780" w:type="dxa"/>
            <w:vAlign w:val="bottom"/>
          </w:tcPr>
          <w:p>
            <w:pPr>
              <w:jc w:val="right"/>
              <w:ind w:right="239"/>
              <w:spacing w:after="0"/>
              <w:rPr>
                <w:sz w:val="20"/>
                <w:szCs w:val="20"/>
                <w:color w:val="auto"/>
              </w:rPr>
            </w:pPr>
            <w:r>
              <w:rPr>
                <w:rFonts w:ascii="Arial" w:cs="Arial" w:eastAsia="Arial" w:hAnsi="Arial"/>
                <w:sz w:val="16"/>
                <w:szCs w:val="16"/>
                <w:b w:val="1"/>
                <w:bCs w:val="1"/>
                <w:color w:val="auto"/>
              </w:rPr>
              <w:t>Operating Leases</w:t>
            </w: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Borders>
              <w:bottom w:val="single" w:sz="8" w:color="DBDBDB"/>
            </w:tcBorders>
            <w:shd w:val="clear" w:color="auto" w:fill="DBDBDB"/>
          </w:tcPr>
          <w:p>
            <w:pPr>
              <w:spacing w:after="0"/>
              <w:rPr>
                <w:sz w:val="20"/>
                <w:szCs w:val="20"/>
                <w:color w:val="auto"/>
              </w:rPr>
            </w:pPr>
          </w:p>
        </w:tc>
        <w:tc>
          <w:tcPr>
            <w:tcW w:w="922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6"/>
                <w:szCs w:val="16"/>
                <w:color w:val="auto"/>
              </w:rPr>
              <w:t>2023 (excluding the two quarters ended June 25, 2023)</w:t>
            </w:r>
          </w:p>
        </w:tc>
        <w:tc>
          <w:tcPr>
            <w:tcW w:w="220" w:type="dxa"/>
            <w:vAlign w:val="bottom"/>
            <w:tcBorders>
              <w:bottom w:val="single" w:sz="8" w:color="DBDBDB"/>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11,987</w:t>
            </w:r>
          </w:p>
        </w:tc>
      </w:tr>
      <w:tr>
        <w:trPr>
          <w:trHeight w:val="233"/>
        </w:trPr>
        <w:tc>
          <w:tcPr>
            <w:tcW w:w="960" w:type="dxa"/>
            <w:vAlign w:val="bottom"/>
            <w:gridSpan w:val="2"/>
          </w:tcPr>
          <w:p>
            <w:pPr>
              <w:ind w:left="20"/>
              <w:spacing w:after="0"/>
              <w:rPr>
                <w:sz w:val="20"/>
                <w:szCs w:val="20"/>
                <w:color w:val="auto"/>
              </w:rPr>
            </w:pPr>
            <w:r>
              <w:rPr>
                <w:rFonts w:ascii="Arial" w:cs="Arial" w:eastAsia="Arial" w:hAnsi="Arial"/>
                <w:sz w:val="16"/>
                <w:szCs w:val="16"/>
                <w:color w:val="auto"/>
              </w:rPr>
              <w:t>2024</w:t>
            </w:r>
          </w:p>
        </w:tc>
        <w:tc>
          <w:tcPr>
            <w:tcW w:w="8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24,548</w:t>
            </w:r>
          </w:p>
        </w:tc>
      </w:tr>
      <w:tr>
        <w:trPr>
          <w:trHeight w:val="246"/>
        </w:trPr>
        <w:tc>
          <w:tcPr>
            <w:tcW w:w="9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2025</w:t>
            </w:r>
          </w:p>
        </w:tc>
        <w:tc>
          <w:tcPr>
            <w:tcW w:w="82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1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24,558</w:t>
            </w:r>
          </w:p>
        </w:tc>
      </w:tr>
      <w:tr>
        <w:trPr>
          <w:trHeight w:val="233"/>
        </w:trPr>
        <w:tc>
          <w:tcPr>
            <w:tcW w:w="960" w:type="dxa"/>
            <w:vAlign w:val="bottom"/>
            <w:gridSpan w:val="2"/>
          </w:tcPr>
          <w:p>
            <w:pPr>
              <w:ind w:left="20"/>
              <w:spacing w:after="0"/>
              <w:rPr>
                <w:sz w:val="20"/>
                <w:szCs w:val="20"/>
                <w:color w:val="auto"/>
              </w:rPr>
            </w:pPr>
            <w:r>
              <w:rPr>
                <w:rFonts w:ascii="Arial" w:cs="Arial" w:eastAsia="Arial" w:hAnsi="Arial"/>
                <w:sz w:val="16"/>
                <w:szCs w:val="16"/>
                <w:color w:val="auto"/>
              </w:rPr>
              <w:t>2026</w:t>
            </w:r>
          </w:p>
        </w:tc>
        <w:tc>
          <w:tcPr>
            <w:tcW w:w="8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24,638</w:t>
            </w:r>
          </w:p>
        </w:tc>
      </w:tr>
      <w:tr>
        <w:trPr>
          <w:trHeight w:val="253"/>
        </w:trPr>
        <w:tc>
          <w:tcPr>
            <w:tcW w:w="9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2027</w:t>
            </w:r>
          </w:p>
        </w:tc>
        <w:tc>
          <w:tcPr>
            <w:tcW w:w="82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23,933</w:t>
            </w:r>
          </w:p>
        </w:tc>
      </w:tr>
      <w:tr>
        <w:trPr>
          <w:trHeight w:val="250"/>
        </w:trPr>
        <w:tc>
          <w:tcPr>
            <w:tcW w:w="20" w:type="dxa"/>
            <w:vAlign w:val="bottom"/>
            <w:tcBorders>
              <w:bottom w:val="single" w:sz="8" w:color="DBDBDB"/>
            </w:tcBorders>
          </w:tcPr>
          <w:p>
            <w:pPr>
              <w:spacing w:after="0"/>
              <w:rPr>
                <w:sz w:val="21"/>
                <w:szCs w:val="21"/>
                <w:color w:val="auto"/>
              </w:rPr>
            </w:pPr>
          </w:p>
        </w:tc>
        <w:tc>
          <w:tcPr>
            <w:tcW w:w="9220" w:type="dxa"/>
            <w:vAlign w:val="bottom"/>
            <w:tcBorders>
              <w:bottom w:val="single" w:sz="8" w:color="DBDBDB"/>
            </w:tcBorders>
            <w:gridSpan w:val="2"/>
          </w:tcPr>
          <w:p>
            <w:pPr>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583,994</w:t>
            </w:r>
          </w:p>
        </w:tc>
      </w:tr>
      <w:tr>
        <w:trPr>
          <w:trHeight w:val="243"/>
        </w:trPr>
        <w:tc>
          <w:tcPr>
            <w:tcW w:w="20" w:type="dxa"/>
            <w:vAlign w:val="bottom"/>
            <w:shd w:val="clear" w:color="auto" w:fill="DBDBDB"/>
          </w:tcPr>
          <w:p>
            <w:pPr>
              <w:spacing w:after="0"/>
              <w:rPr>
                <w:sz w:val="21"/>
                <w:szCs w:val="21"/>
                <w:color w:val="auto"/>
              </w:rPr>
            </w:pPr>
          </w:p>
        </w:tc>
        <w:tc>
          <w:tcPr>
            <w:tcW w:w="922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Total lease payments</w:t>
            </w:r>
          </w:p>
        </w:tc>
        <w:tc>
          <w:tcPr>
            <w:tcW w:w="220" w:type="dxa"/>
            <w:vAlign w:val="bottom"/>
            <w:shd w:val="clear" w:color="auto" w:fill="DBDBDB"/>
          </w:tcPr>
          <w:p>
            <w:pPr>
              <w:spacing w:after="0"/>
              <w:rPr>
                <w:sz w:val="21"/>
                <w:szCs w:val="21"/>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693,658</w:t>
            </w:r>
          </w:p>
        </w:tc>
      </w:tr>
      <w:tr>
        <w:trPr>
          <w:trHeight w:val="250"/>
        </w:trPr>
        <w:tc>
          <w:tcPr>
            <w:tcW w:w="20" w:type="dxa"/>
            <w:vAlign w:val="bottom"/>
            <w:tcBorders>
              <w:bottom w:val="single" w:sz="8" w:color="DBDBDB"/>
            </w:tcBorders>
          </w:tcPr>
          <w:p>
            <w:pPr>
              <w:spacing w:after="0"/>
              <w:rPr>
                <w:sz w:val="21"/>
                <w:szCs w:val="21"/>
                <w:color w:val="auto"/>
              </w:rPr>
            </w:pPr>
          </w:p>
        </w:tc>
        <w:tc>
          <w:tcPr>
            <w:tcW w:w="9220" w:type="dxa"/>
            <w:vAlign w:val="bottom"/>
            <w:tcBorders>
              <w:bottom w:val="single" w:sz="8" w:color="DBDBDB"/>
            </w:tcBorders>
            <w:gridSpan w:val="2"/>
          </w:tcPr>
          <w:p>
            <w:pPr>
              <w:spacing w:after="0"/>
              <w:rPr>
                <w:sz w:val="20"/>
                <w:szCs w:val="20"/>
                <w:color w:val="auto"/>
              </w:rPr>
            </w:pPr>
            <w:r>
              <w:rPr>
                <w:rFonts w:ascii="Arial" w:cs="Arial" w:eastAsia="Arial" w:hAnsi="Arial"/>
                <w:sz w:val="16"/>
                <w:szCs w:val="16"/>
                <w:color w:val="auto"/>
              </w:rPr>
              <w:t>Less: imputed interest</w:t>
            </w: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(470,616)</w:t>
            </w:r>
          </w:p>
        </w:tc>
      </w:tr>
      <w:tr>
        <w:trPr>
          <w:trHeight w:val="268"/>
        </w:trPr>
        <w:tc>
          <w:tcPr>
            <w:tcW w:w="20" w:type="dxa"/>
            <w:vAlign w:val="bottom"/>
            <w:tcBorders>
              <w:bottom w:val="single" w:sz="8" w:color="DBDBDB"/>
            </w:tcBorders>
            <w:shd w:val="clear" w:color="auto" w:fill="DBDBDB"/>
          </w:tcPr>
          <w:p>
            <w:pPr>
              <w:spacing w:after="0"/>
              <w:rPr>
                <w:sz w:val="22"/>
                <w:szCs w:val="22"/>
                <w:color w:val="auto"/>
              </w:rPr>
            </w:pPr>
          </w:p>
        </w:tc>
        <w:tc>
          <w:tcPr>
            <w:tcW w:w="922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6"/>
                <w:szCs w:val="16"/>
                <w:color w:val="auto"/>
              </w:rPr>
              <w:t>Total operating lease liabilities</w:t>
            </w:r>
          </w:p>
        </w:tc>
        <w:tc>
          <w:tcPr>
            <w:tcW w:w="22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223,042</w:t>
            </w: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tcBorders>
          </w:tcPr>
          <w:p>
            <w:pPr>
              <w:spacing w:after="0" w:line="20" w:lineRule="exact"/>
              <w:rPr>
                <w:sz w:val="1"/>
                <w:szCs w:val="1"/>
                <w:color w:val="auto"/>
              </w:rPr>
            </w:pPr>
          </w:p>
        </w:tc>
        <w:tc>
          <w:tcPr>
            <w:tcW w:w="82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780" w:type="dxa"/>
            <w:vAlign w:val="bottom"/>
            <w:tcBorders>
              <w:top w:val="single" w:sz="8" w:color="DBDBDB"/>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As of June 25, 2023, operating lease payments include $398.7 million related to options to extend lease terms that are reasonably certain of being exercised and exclude $53.1 million of minimum payments for leases signed but not yet commenced.</w:t>
      </w:r>
    </w:p>
    <w:p>
      <w:pPr>
        <w:spacing w:after="0" w:line="183"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10.</w:t>
        <w:tab/>
        <w:t>NON-CONTROLLING INTERESTS</w:t>
      </w:r>
    </w:p>
    <w:p>
      <w:pPr>
        <w:spacing w:after="0" w:line="27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are the sole managing member of Portillo's OpCo, and as a result, consolidate the financial results of Portillo's OpCo. We report a non-controlling interest representing the LLC Units in Portillo's OpCo held by pre -IPO LLC Members. Changes in our ownership interest in Portillo's OpCo while we retain our controlling interest in Portillo's OpCo will be accounted for as equity transactions. As such, future redemptions or direct exchanges of LLC Units in Portillo's OpCo by the pre-IPO LLC members will result in a change in ownership and reduce the amount recorded as non-controlling interest and increase additional paid-in capital.</w:t>
      </w:r>
    </w:p>
    <w:p>
      <w:pPr>
        <w:spacing w:after="0" w:line="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the first and second quarters of 2023, in connection with the Q1 Secondary Offering and Overallotment Option described in Note 1. Description Of Business, 6,350,717 of LLC Units and corresponding shares of Class B common stock were redeemed, respectively, by the pre-IPO LLC Members for newly-issued shares of Class A common stock. We received a total of 6,350,717 newly-issued LLC Units, increasing our total ownership interest in Portillo's OpCo.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LLC interest ownership by Portillo's Inc. and pre-IPO LLC members: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3360" w:type="dxa"/>
            <w:vAlign w:val="bottom"/>
            <w:tcBorders>
              <w:bottom w:val="single" w:sz="8" w:color="auto"/>
            </w:tcBorders>
            <w:gridSpan w:val="3"/>
          </w:tcPr>
          <w:p>
            <w:pPr>
              <w:jc w:val="right"/>
              <w:ind w:right="105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20"/>
                <w:szCs w:val="20"/>
                <w:color w:val="auto"/>
              </w:rPr>
            </w:pPr>
          </w:p>
        </w:tc>
        <w:tc>
          <w:tcPr>
            <w:tcW w:w="336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6"/>
                <w:szCs w:val="16"/>
                <w:b w:val="1"/>
                <w:bCs w:val="1"/>
                <w:color w:val="auto"/>
              </w:rPr>
              <w:t>December 25, 2022</w:t>
            </w:r>
          </w:p>
        </w:tc>
      </w:tr>
      <w:tr>
        <w:trPr>
          <w:trHeight w:val="233"/>
        </w:trPr>
        <w:tc>
          <w:tcPr>
            <w:tcW w:w="4420" w:type="dxa"/>
            <w:vAlign w:val="bottom"/>
          </w:tcPr>
          <w:p>
            <w:pPr>
              <w:spacing w:after="0"/>
              <w:rPr>
                <w:sz w:val="20"/>
                <w:szCs w:val="20"/>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LLC Units</w:t>
            </w:r>
          </w:p>
        </w:tc>
        <w:tc>
          <w:tcPr>
            <w:tcW w:w="100" w:type="dxa"/>
            <w:vAlign w:val="bottom"/>
          </w:tcPr>
          <w:p>
            <w:pPr>
              <w:spacing w:after="0"/>
              <w:rPr>
                <w:sz w:val="20"/>
                <w:szCs w:val="20"/>
                <w:color w:val="auto"/>
              </w:rPr>
            </w:pPr>
          </w:p>
        </w:tc>
        <w:tc>
          <w:tcPr>
            <w:tcW w:w="1700" w:type="dxa"/>
            <w:vAlign w:val="bottom"/>
          </w:tcPr>
          <w:p>
            <w:pPr>
              <w:jc w:val="right"/>
              <w:ind w:right="239"/>
              <w:spacing w:after="0"/>
              <w:rPr>
                <w:sz w:val="20"/>
                <w:szCs w:val="20"/>
                <w:color w:val="auto"/>
              </w:rPr>
            </w:pPr>
            <w:r>
              <w:rPr>
                <w:rFonts w:ascii="Arial" w:cs="Arial" w:eastAsia="Arial" w:hAnsi="Arial"/>
                <w:sz w:val="16"/>
                <w:szCs w:val="16"/>
                <w:b w:val="1"/>
                <w:bCs w:val="1"/>
                <w:color w:val="auto"/>
              </w:rPr>
              <w:t>Ownership %</w:t>
            </w:r>
          </w:p>
        </w:tc>
        <w:tc>
          <w:tcPr>
            <w:tcW w:w="100" w:type="dxa"/>
            <w:vAlign w:val="bottom"/>
          </w:tcPr>
          <w:p>
            <w:pPr>
              <w:spacing w:after="0"/>
              <w:rPr>
                <w:sz w:val="20"/>
                <w:szCs w:val="20"/>
                <w:color w:val="auto"/>
              </w:rPr>
            </w:pPr>
          </w:p>
        </w:tc>
        <w:tc>
          <w:tcPr>
            <w:tcW w:w="1560" w:type="dxa"/>
            <w:vAlign w:val="bottom"/>
          </w:tcPr>
          <w:p>
            <w:pPr>
              <w:jc w:val="right"/>
              <w:ind w:right="319"/>
              <w:spacing w:after="0"/>
              <w:rPr>
                <w:sz w:val="20"/>
                <w:szCs w:val="20"/>
                <w:color w:val="auto"/>
              </w:rPr>
            </w:pPr>
            <w:r>
              <w:rPr>
                <w:rFonts w:ascii="Arial" w:cs="Arial" w:eastAsia="Arial" w:hAnsi="Arial"/>
                <w:sz w:val="16"/>
                <w:szCs w:val="16"/>
                <w:b w:val="1"/>
                <w:bCs w:val="1"/>
                <w:color w:val="auto"/>
              </w:rPr>
              <w:t>LLC Units</w:t>
            </w:r>
          </w:p>
        </w:tc>
        <w:tc>
          <w:tcPr>
            <w:tcW w:w="100" w:type="dxa"/>
            <w:vAlign w:val="bottom"/>
          </w:tcPr>
          <w:p>
            <w:pPr>
              <w:spacing w:after="0"/>
              <w:rPr>
                <w:sz w:val="20"/>
                <w:szCs w:val="20"/>
                <w:color w:val="auto"/>
              </w:rPr>
            </w:pP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Ownership %</w:t>
            </w:r>
          </w:p>
        </w:tc>
      </w:tr>
      <w:tr>
        <w:trPr>
          <w:trHeight w:val="21"/>
        </w:trPr>
        <w:tc>
          <w:tcPr>
            <w:tcW w:w="4420" w:type="dxa"/>
            <w:vAlign w:val="bottom"/>
            <w:tcBorders>
              <w:bottom w:val="single" w:sz="8" w:color="DBDBDB"/>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7"/>
        </w:trPr>
        <w:tc>
          <w:tcPr>
            <w:tcW w:w="4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Portillo's Inc.</w:t>
            </w: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55,073,993</w:t>
            </w:r>
          </w:p>
        </w:tc>
        <w:tc>
          <w:tcPr>
            <w:tcW w:w="18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75.9 %</w:t>
            </w:r>
          </w:p>
        </w:tc>
        <w:tc>
          <w:tcPr>
            <w:tcW w:w="16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48,420,723</w:t>
            </w:r>
          </w:p>
        </w:tc>
        <w:tc>
          <w:tcPr>
            <w:tcW w:w="18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67.0 %</w:t>
            </w:r>
          </w:p>
        </w:tc>
      </w:tr>
      <w:tr>
        <w:trPr>
          <w:trHeight w:val="250"/>
        </w:trPr>
        <w:tc>
          <w:tcPr>
            <w:tcW w:w="44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pre-IPO LLC Members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17,472,926</w:t>
            </w:r>
          </w:p>
        </w:tc>
        <w:tc>
          <w:tcPr>
            <w:tcW w:w="100" w:type="dxa"/>
            <w:vAlign w:val="bottom"/>
            <w:tcBorders>
              <w:bottom w:val="single" w:sz="8" w:color="DBDBDB"/>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24.1 %</w:t>
            </w:r>
          </w:p>
        </w:tc>
        <w:tc>
          <w:tcPr>
            <w:tcW w:w="100" w:type="dxa"/>
            <w:vAlign w:val="bottom"/>
            <w:tcBorders>
              <w:bottom w:val="single" w:sz="8" w:color="DBDBDB"/>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23,837,162</w:t>
            </w:r>
          </w:p>
        </w:tc>
        <w:tc>
          <w:tcPr>
            <w:tcW w:w="100" w:type="dxa"/>
            <w:vAlign w:val="bottom"/>
            <w:tcBorders>
              <w:bottom w:val="single" w:sz="8" w:color="DBDBDB"/>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33.0 %</w:t>
            </w:r>
          </w:p>
        </w:tc>
      </w:tr>
      <w:tr>
        <w:trPr>
          <w:trHeight w:val="263"/>
        </w:trPr>
        <w:tc>
          <w:tcPr>
            <w:tcW w:w="4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72,546,919</w:t>
            </w:r>
          </w:p>
        </w:tc>
        <w:tc>
          <w:tcPr>
            <w:tcW w:w="18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16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72,257,885</w:t>
            </w:r>
          </w:p>
        </w:tc>
        <w:tc>
          <w:tcPr>
            <w:tcW w:w="18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442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weighted average ownership percentages for the applicable reporting periods are used to attribute net income to Portillo's Inc. and the pre-IPO LLC Members. The pre-IPO LLC Members' weighted average ownership percentage for the quarter and two quarters ended June 25, 2023 was 24.2% and 27.8%, respectively. The pre-IPO LLC Members' weighted average ownership percentage for both the quarter and two quarters ended June 26, 2022 was 49.8%.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effects of changes in ownership in Portillo's OpCo on the Company’s equity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00" w:type="dxa"/>
            <w:vAlign w:val="bottom"/>
            <w:gridSpan w:val="4"/>
          </w:tcPr>
          <w:p>
            <w:pPr>
              <w:jc w:val="right"/>
              <w:ind w:right="918"/>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8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Two Quarters Ended</w:t>
            </w:r>
          </w:p>
        </w:tc>
        <w:tc>
          <w:tcPr>
            <w:tcW w:w="0" w:type="dxa"/>
            <w:vAlign w:val="bottom"/>
          </w:tcPr>
          <w:p>
            <w:pPr>
              <w:spacing w:after="0"/>
              <w:rPr>
                <w:sz w:val="1"/>
                <w:szCs w:val="1"/>
                <w:color w:val="auto"/>
              </w:rPr>
            </w:pPr>
          </w:p>
        </w:tc>
      </w:tr>
      <w:tr>
        <w:trPr>
          <w:trHeight w:val="274"/>
        </w:trPr>
        <w:tc>
          <w:tcPr>
            <w:tcW w:w="46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June 25, 2023</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June 26, 2022</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June 25, 2023</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26, 2022</w:t>
            </w:r>
          </w:p>
        </w:tc>
        <w:tc>
          <w:tcPr>
            <w:tcW w:w="0" w:type="dxa"/>
            <w:vAlign w:val="bottom"/>
          </w:tcPr>
          <w:p>
            <w:pPr>
              <w:spacing w:after="0"/>
              <w:rPr>
                <w:sz w:val="1"/>
                <w:szCs w:val="1"/>
                <w:color w:val="auto"/>
              </w:rPr>
            </w:pPr>
          </w:p>
        </w:tc>
      </w:tr>
      <w:tr>
        <w:trPr>
          <w:trHeight w:val="240"/>
        </w:trPr>
        <w:tc>
          <w:tcPr>
            <w:tcW w:w="4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attributable to Portillo's Inc.</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6,788</w:t>
            </w:r>
          </w:p>
        </w:tc>
        <w:tc>
          <w:tcPr>
            <w:tcW w:w="2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5,111</w:t>
            </w:r>
          </w:p>
        </w:tc>
        <w:tc>
          <w:tcPr>
            <w:tcW w:w="30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6,274</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5,305</w:t>
            </w:r>
          </w:p>
        </w:tc>
        <w:tc>
          <w:tcPr>
            <w:tcW w:w="0" w:type="dxa"/>
            <w:vAlign w:val="bottom"/>
          </w:tcPr>
          <w:p>
            <w:pPr>
              <w:spacing w:after="0"/>
              <w:rPr>
                <w:sz w:val="1"/>
                <w:szCs w:val="1"/>
                <w:color w:val="auto"/>
              </w:rPr>
            </w:pPr>
          </w:p>
        </w:tc>
      </w:tr>
      <w:tr>
        <w:trPr>
          <w:trHeight w:val="224"/>
        </w:trPr>
        <w:tc>
          <w:tcPr>
            <w:tcW w:w="4600" w:type="dxa"/>
            <w:vAlign w:val="bottom"/>
          </w:tcPr>
          <w:p>
            <w:pPr>
              <w:ind w:left="140"/>
              <w:spacing w:after="0"/>
              <w:rPr>
                <w:sz w:val="20"/>
                <w:szCs w:val="20"/>
                <w:color w:val="auto"/>
              </w:rPr>
            </w:pPr>
            <w:r>
              <w:rPr>
                <w:rFonts w:ascii="Arial" w:cs="Arial" w:eastAsia="Arial" w:hAnsi="Arial"/>
                <w:sz w:val="16"/>
                <w:szCs w:val="16"/>
                <w:color w:val="auto"/>
              </w:rPr>
              <w:t>Activity under equity-based compensation plans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1,447</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Non-controlling interest adjustment</w:t>
            </w:r>
          </w:p>
        </w:tc>
        <w:tc>
          <w:tcPr>
            <w:tcW w:w="160" w:type="dxa"/>
            <w:vAlign w:val="bottom"/>
            <w:shd w:val="clear" w:color="auto" w:fill="DBDBDB"/>
          </w:tcPr>
          <w:p>
            <w:pPr>
              <w:spacing w:after="0"/>
              <w:rPr>
                <w:sz w:val="21"/>
                <w:szCs w:val="21"/>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4,109</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722</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47,845</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23"/>
        </w:trPr>
        <w:tc>
          <w:tcPr>
            <w:tcW w:w="4600" w:type="dxa"/>
            <w:vAlign w:val="bottom"/>
          </w:tcPr>
          <w:p>
            <w:pPr>
              <w:ind w:left="140"/>
              <w:spacing w:after="0"/>
              <w:rPr>
                <w:sz w:val="20"/>
                <w:szCs w:val="20"/>
                <w:color w:val="auto"/>
              </w:rPr>
            </w:pPr>
            <w:r>
              <w:rPr>
                <w:rFonts w:ascii="Arial" w:cs="Arial" w:eastAsia="Arial" w:hAnsi="Arial"/>
                <w:sz w:val="16"/>
                <w:szCs w:val="16"/>
                <w:color w:val="auto"/>
              </w:rPr>
              <w:t>Redemption of LLC Units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6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Establishment of liabilities under Tax Receivable Agreement</w:t>
            </w:r>
          </w:p>
        </w:tc>
        <w:tc>
          <w:tcPr>
            <w:tcW w:w="16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and related changes to deferred tax assets associated with</w:t>
            </w:r>
          </w:p>
        </w:tc>
        <w:tc>
          <w:tcPr>
            <w:tcW w:w="16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4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4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6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increases in tax basis</w:t>
            </w:r>
          </w:p>
        </w:tc>
        <w:tc>
          <w:tcPr>
            <w:tcW w:w="160" w:type="dxa"/>
            <w:vAlign w:val="bottom"/>
            <w:tcBorders>
              <w:bottom w:val="single" w:sz="8" w:color="auto"/>
            </w:tcBorders>
            <w:shd w:val="clear" w:color="auto" w:fill="DBDBDB"/>
          </w:tcPr>
          <w:p>
            <w:pPr>
              <w:spacing w:after="0"/>
              <w:rPr>
                <w:sz w:val="19"/>
                <w:szCs w:val="19"/>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(1,189)</w:t>
            </w:r>
          </w:p>
        </w:tc>
        <w:tc>
          <w:tcPr>
            <w:tcW w:w="10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(13,682)</w:t>
            </w:r>
          </w:p>
        </w:tc>
        <w:tc>
          <w:tcPr>
            <w:tcW w:w="8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600" w:type="dxa"/>
            <w:vAlign w:val="bottom"/>
          </w:tcPr>
          <w:p>
            <w:pPr>
              <w:ind w:left="20"/>
              <w:spacing w:after="0"/>
              <w:rPr>
                <w:sz w:val="20"/>
                <w:szCs w:val="20"/>
                <w:color w:val="auto"/>
              </w:rPr>
            </w:pPr>
            <w:r>
              <w:rPr>
                <w:rFonts w:ascii="Arial" w:cs="Arial" w:eastAsia="Arial" w:hAnsi="Arial"/>
                <w:sz w:val="16"/>
                <w:szCs w:val="16"/>
                <w:color w:val="auto"/>
              </w:rPr>
              <w:t>Total effect of changes in ownership interest on equity</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10,280</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7,280</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41,661</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7,474</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attributable to Portillo's Inc.</w:t>
            </w:r>
          </w:p>
        </w:tc>
        <w:tc>
          <w:tcPr>
            <w:tcW w:w="16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6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11.</w:t>
      </w:r>
      <w:r>
        <w:rPr>
          <w:sz w:val="20"/>
          <w:szCs w:val="20"/>
          <w:color w:val="auto"/>
        </w:rPr>
        <w:tab/>
      </w:r>
      <w:r>
        <w:rPr>
          <w:rFonts w:ascii="Arial" w:cs="Arial" w:eastAsia="Arial" w:hAnsi="Arial"/>
          <w:sz w:val="24"/>
          <w:szCs w:val="24"/>
          <w:b w:val="1"/>
          <w:bCs w:val="1"/>
          <w:color w:val="414042"/>
        </w:rPr>
        <w:t>EQUITY-BASED COMPENSATION</w:t>
      </w:r>
    </w:p>
    <w:p>
      <w:pPr>
        <w:spacing w:after="0" w:line="14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Equity-based compensation expense is calculated based on equity awards ultimately expected to vest and is reduced for estimated forfeitures. Forfeitures are revised, if necessary, in subsequent periods if actual forfeitures differ from those estimates and an adjustment to equity-based compensation expense will be recognized at that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Equity-based compensation expense included in the Company’s consolidated statements of operations is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4"/>
          </w:tcPr>
          <w:p>
            <w:pPr>
              <w:jc w:val="right"/>
              <w:ind w:right="979"/>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Two Quarters Ended</w:t>
            </w:r>
          </w:p>
        </w:tc>
      </w:tr>
      <w:tr>
        <w:trPr>
          <w:trHeight w:val="247"/>
        </w:trPr>
        <w:tc>
          <w:tcPr>
            <w:tcW w:w="4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26, 2022</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June 25, 2023</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26, 2022</w:t>
            </w:r>
          </w:p>
        </w:tc>
      </w:tr>
      <w:tr>
        <w:trPr>
          <w:trHeight w:val="234"/>
        </w:trPr>
        <w:tc>
          <w:tcPr>
            <w:tcW w:w="4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Labor</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440</w:t>
            </w:r>
          </w:p>
        </w:tc>
        <w:tc>
          <w:tcPr>
            <w:tcW w:w="280" w:type="dxa"/>
            <w:vAlign w:val="bottom"/>
            <w:tcBorders>
              <w:bottom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340</w:t>
            </w:r>
          </w:p>
        </w:tc>
        <w:tc>
          <w:tcPr>
            <w:tcW w:w="300" w:type="dxa"/>
            <w:vAlign w:val="bottom"/>
            <w:tcBorders>
              <w:bottom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785</w:t>
            </w:r>
          </w:p>
        </w:tc>
        <w:tc>
          <w:tcPr>
            <w:tcW w:w="280" w:type="dxa"/>
            <w:vAlign w:val="bottom"/>
            <w:tcBorders>
              <w:bottom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689</w:t>
            </w:r>
          </w:p>
        </w:tc>
      </w:tr>
      <w:tr>
        <w:trPr>
          <w:trHeight w:val="236"/>
        </w:trPr>
        <w:tc>
          <w:tcPr>
            <w:tcW w:w="460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6,935</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6,960</w:t>
            </w:r>
          </w:p>
        </w:tc>
      </w:tr>
      <w:tr>
        <w:trPr>
          <w:trHeight w:val="273"/>
        </w:trPr>
        <w:tc>
          <w:tcPr>
            <w:tcW w:w="4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equity-based compensation expense</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4,184</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3,865</w:t>
            </w:r>
          </w:p>
        </w:tc>
        <w:tc>
          <w:tcPr>
            <w:tcW w:w="30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7,720</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7,649</w:t>
            </w:r>
          </w:p>
        </w:tc>
      </w:tr>
      <w:tr>
        <w:trPr>
          <w:trHeight w:val="20"/>
        </w:trPr>
        <w:tc>
          <w:tcPr>
            <w:tcW w:w="46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quarter ended June 25, 2023, we granted 236,096 and 56,488 restricted stock units (“RSUs”) under the Portillo's Inc. 2021 Equity Incentive Plan (the "2021 Plan") to certain employees and directors, respectively. During the two quarters ended June 25, 2023, we granted 236,812 and 56,488 RSUs under the 2021 Plan to certain employees and directors, respectively. The weighted average fair value of these awards was determined using the Company's closing stock price on the applicable grant dates, which was $20.51. The RSUs granted to employees will vest one-third on each of the first three anniversaries of the date of grant subject to continued service on such date. The RSUs granted to non-employee directors will vest at the end of this fiscal year.</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Employee Stock Purchase Plan</w:t>
      </w:r>
    </w:p>
    <w:p>
      <w:pPr>
        <w:spacing w:after="0" w:line="27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During the quarter and two quarters ended June 25, 2023, the Company issued 9,051 and 15,014 shares, respectively, under the Employee Stock Purchase Plan ("ESPP"). At June 25, 2023, 227,248 shares remained available for issuance under the ESPP. The expense incurred under the ESPP was immaterial for the quarter and two quarters ended June 25, 2023 and is included within general and administrative expenses and labor in the condensed consolidated statements of operations.</w:t>
      </w:r>
    </w:p>
    <w:p>
      <w:pPr>
        <w:spacing w:after="0" w:line="199"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12.</w:t>
      </w:r>
      <w:r>
        <w:rPr>
          <w:sz w:val="20"/>
          <w:szCs w:val="20"/>
          <w:color w:val="auto"/>
        </w:rPr>
        <w:tab/>
      </w:r>
      <w:r>
        <w:rPr>
          <w:rFonts w:ascii="Arial" w:cs="Arial" w:eastAsia="Arial" w:hAnsi="Arial"/>
          <w:sz w:val="24"/>
          <w:szCs w:val="24"/>
          <w:b w:val="1"/>
          <w:bCs w:val="1"/>
          <w:color w:val="414042"/>
        </w:rPr>
        <w:t>INCOME TAXES</w:t>
      </w:r>
    </w:p>
    <w:p>
      <w:pPr>
        <w:spacing w:after="0" w:line="27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are the sole managing member of Portillo's OpCo, and as a result, consolidate the financial results of Portillo's OpCo. Portillo's OpCo is treated as a partnership for U.S. federal and most applicable state and local income tax purposes. As a partnership, Portillo's OpCo is not subject to U.S. federal and state and local income taxes in the majority of states in which it operates. Any taxable income or loss generated by Portillo's OpCo is passed through to and included in the taxable income or loss of its members, including us, based upon the respective member's ownership percentage in Portillo's OpCo. We are subject to U.S. federal income taxes, in addition to state and local income taxes with respect to our allocable share of any taxable income or loss of Portillo's OpCo, as well as any stand-alone income or loss generated by Portillo's Inc.</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Income Tax Expense</w:t>
      </w:r>
    </w:p>
    <w:p>
      <w:pPr>
        <w:spacing w:after="0" w:line="2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effective income tax rate for the quarter and two quarters ended June 25, 2023 was 13.5% and 10.2%, and 17.9% and 18.1% for the quarter and two quarters ended June 26, 2022, respectively. The decrease in our effective income tax rate for the quarter and two quarters ended June 25, 2023 compared to the quarter and two quarters ended June 26, 2022 was primarily driven by the recording of net operating loss carryforwards, partially offset by an increase in the Company's ownership interest in Portillo's OpCo, which increases its share of taxable income (loss) of Portillo's OpCo. The Company’s annual effective tax rate differs from the statutory rate of 21% primarily because the Company is not liable for federal or state income taxes on the portion of OpCo’s earnings that are attributable to non-controlling interests, deferred tax adjustments and impacts from equity-based award activity.</w:t>
      </w:r>
    </w:p>
    <w:p>
      <w:pPr>
        <w:spacing w:after="0" w:line="22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evaluate the realizability of our deferred tax assets on a quarterly basis and establish valuation allowances when it is more likely than not that all or a portion of a deferred tax asset may not be realized. As of June 25, 2023, the Company concluded, based on the weight of all available positive and negative evidence, that all of its deferred tax assets (except for those deferred tax assets relating to the basis difference in its investment in Portillo's OpCo that will never be realizable or only reverse upon the eventual sale of its interest in Portillo's OpCo, which we expect would result in a capital loss which we do not expect to be able to utilize) are more likely than not to be realized.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Offerings</w:t>
      </w:r>
    </w:p>
    <w:p>
      <w:pPr>
        <w:spacing w:after="0" w:line="25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first quarter of 2023, in connection with the Q1 Secondary Offering and Overallotment Option previously discussed in Note 1. Description Of Business, 6,350,717 LLC Units were redeemed by the pre-IPO LLC Members for newly-issued shares of Class A common stock and on April 5, 2023, the Underwriter exercised its overallotment option in part, causing an additional 457,117 LLC Units to be redeemed. As a result, an increase in the tax basis of net assets of Portillo's OpCo subject to the provisions of the Tax Receivable Agreement (the "Tax Receivable Agreement" or "TRA") was recorded. The Company recorded a deferred tax asset of $37.5 million and an additional TRA liability of $51.2 million. As of June 25, 2023, we estimated that our obligation for future payments under the TRA liability totaled $302.0 million. The Company made payments of $0.8 million under the TRA during the two quarters ended June 25, 2023 relating to tax year 2021. There were no amounts paid under the TRA during the quarter ended June 25, 2023 and the quarter and two quarters ended June 26, 2022. We expect a payment of $6.3 million relating to tax year 2022 to be paid within the next 12 months.</w:t>
      </w:r>
    </w:p>
    <w:p>
      <w:pPr>
        <w:spacing w:after="0" w:line="206"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13.</w:t>
        <w:tab/>
        <w:t>EARNINGS PER SHARE</w:t>
      </w:r>
    </w:p>
    <w:p>
      <w:pPr>
        <w:spacing w:after="0" w:line="284"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Basic net earnings per share of Class A common stock is computed by dividing net income attributable to Portillo's Inc. by the weighted-average number of Class A common stock outstanding.</w:t>
      </w:r>
    </w:p>
    <w:p>
      <w:pPr>
        <w:spacing w:after="0" w:line="20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Diluted net earnings per share is computed by dividing net income attributable to Portillo's Inc. by the weighted-average number of dilutive securities,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computations of basic and diluted earnings per share for the quarters and two quarters ended June 25, 2023 and June 26, 2022 are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Two Quarters Ended</w:t>
            </w:r>
          </w:p>
        </w:tc>
      </w:tr>
      <w:tr>
        <w:trPr>
          <w:trHeight w:val="243"/>
        </w:trPr>
        <w:tc>
          <w:tcPr>
            <w:tcW w:w="4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June 26, 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June 25, 2023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June 26, 2022</w:t>
            </w:r>
          </w:p>
        </w:tc>
      </w:tr>
      <w:tr>
        <w:trPr>
          <w:trHeight w:val="21"/>
        </w:trPr>
        <w:tc>
          <w:tcPr>
            <w:tcW w:w="45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4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9,898</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10,756</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8,625</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11,306</w:t>
            </w:r>
          </w:p>
        </w:tc>
      </w:tr>
      <w:tr>
        <w:trPr>
          <w:trHeight w:val="237"/>
        </w:trPr>
        <w:tc>
          <w:tcPr>
            <w:tcW w:w="458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2,351</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6,001</w:t>
            </w:r>
          </w:p>
        </w:tc>
      </w:tr>
      <w:tr>
        <w:trPr>
          <w:trHeight w:val="273"/>
        </w:trPr>
        <w:tc>
          <w:tcPr>
            <w:tcW w:w="4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attributable to Portillo's Inc.</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6,788</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5,111</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6,274</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5,305</w:t>
            </w:r>
          </w:p>
        </w:tc>
      </w:tr>
      <w:tr>
        <w:trPr>
          <w:trHeight w:val="20"/>
        </w:trPr>
        <w:tc>
          <w:tcPr>
            <w:tcW w:w="45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43"/>
        </w:trPr>
        <w:tc>
          <w:tcPr>
            <w:tcW w:w="4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Shares:</w:t>
            </w:r>
          </w:p>
        </w:tc>
        <w:tc>
          <w:tcPr>
            <w:tcW w:w="200" w:type="dxa"/>
            <w:vAlign w:val="bottom"/>
            <w:shd w:val="clear" w:color="auto" w:fill="DBDBDB"/>
          </w:tcPr>
          <w:p>
            <w:pPr>
              <w:spacing w:after="0"/>
              <w:rPr>
                <w:sz w:val="21"/>
                <w:szCs w:val="21"/>
                <w:color w:val="auto"/>
              </w:rPr>
            </w:pPr>
          </w:p>
        </w:tc>
        <w:tc>
          <w:tcPr>
            <w:tcW w:w="14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4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00" w:type="dxa"/>
            <w:vAlign w:val="bottom"/>
            <w:shd w:val="clear" w:color="auto" w:fill="DBDBDB"/>
          </w:tcPr>
          <w:p>
            <w:pPr>
              <w:spacing w:after="0"/>
              <w:rPr>
                <w:sz w:val="21"/>
                <w:szCs w:val="21"/>
                <w:color w:val="auto"/>
              </w:rPr>
            </w:pPr>
          </w:p>
        </w:tc>
      </w:tr>
      <w:tr>
        <w:trPr>
          <w:trHeight w:val="219"/>
        </w:trPr>
        <w:tc>
          <w:tcPr>
            <w:tcW w:w="458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54,965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35,991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52,252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35,899</w:t>
            </w:r>
          </w:p>
        </w:tc>
      </w:tr>
      <w:tr>
        <w:trPr>
          <w:trHeight w:val="253"/>
        </w:trPr>
        <w:tc>
          <w:tcPr>
            <w:tcW w:w="4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Dilutive share awards</w:t>
            </w:r>
          </w:p>
        </w:tc>
        <w:tc>
          <w:tcPr>
            <w:tcW w:w="200" w:type="dxa"/>
            <w:vAlign w:val="bottom"/>
            <w:shd w:val="clear" w:color="auto" w:fill="DBDBDB"/>
          </w:tcPr>
          <w:p>
            <w:pPr>
              <w:spacing w:after="0"/>
              <w:rPr>
                <w:sz w:val="21"/>
                <w:szCs w:val="21"/>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3,585</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3,696</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3,554</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3,940</w:t>
            </w:r>
          </w:p>
        </w:tc>
      </w:tr>
      <w:tr>
        <w:trPr>
          <w:trHeight w:val="219"/>
        </w:trPr>
        <w:tc>
          <w:tcPr>
            <w:tcW w:w="458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58,550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39,687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55,806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39,839</w:t>
            </w:r>
          </w:p>
        </w:tc>
      </w:tr>
      <w:tr>
        <w:trPr>
          <w:trHeight w:val="280"/>
        </w:trPr>
        <w:tc>
          <w:tcPr>
            <w:tcW w:w="4580" w:type="dxa"/>
            <w:vAlign w:val="bottom"/>
            <w:shd w:val="clear" w:color="auto" w:fill="DBDBDB"/>
          </w:tcPr>
          <w:p>
            <w:pPr>
              <w:spacing w:after="0"/>
              <w:rPr>
                <w:sz w:val="24"/>
                <w:szCs w:val="24"/>
                <w:color w:val="auto"/>
              </w:rPr>
            </w:pPr>
          </w:p>
        </w:tc>
        <w:tc>
          <w:tcPr>
            <w:tcW w:w="200" w:type="dxa"/>
            <w:vAlign w:val="bottom"/>
            <w:shd w:val="clear" w:color="auto" w:fill="DBDBDB"/>
          </w:tcPr>
          <w:p>
            <w:pPr>
              <w:spacing w:after="0"/>
              <w:rPr>
                <w:sz w:val="24"/>
                <w:szCs w:val="24"/>
                <w:color w:val="auto"/>
              </w:rPr>
            </w:pPr>
          </w:p>
        </w:tc>
        <w:tc>
          <w:tcPr>
            <w:tcW w:w="140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80" w:type="dxa"/>
            <w:vAlign w:val="bottom"/>
            <w:shd w:val="clear" w:color="auto" w:fill="DBDBDB"/>
          </w:tcPr>
          <w:p>
            <w:pPr>
              <w:spacing w:after="0"/>
              <w:rPr>
                <w:sz w:val="24"/>
                <w:szCs w:val="24"/>
                <w:color w:val="auto"/>
              </w:rPr>
            </w:pPr>
          </w:p>
        </w:tc>
        <w:tc>
          <w:tcPr>
            <w:tcW w:w="140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80" w:type="dxa"/>
            <w:vAlign w:val="bottom"/>
            <w:shd w:val="clear" w:color="auto" w:fill="DBDBDB"/>
          </w:tcPr>
          <w:p>
            <w:pPr>
              <w:spacing w:after="0"/>
              <w:rPr>
                <w:sz w:val="24"/>
                <w:szCs w:val="24"/>
                <w:color w:val="auto"/>
              </w:rPr>
            </w:pPr>
          </w:p>
        </w:tc>
        <w:tc>
          <w:tcPr>
            <w:tcW w:w="1420" w:type="dxa"/>
            <w:vAlign w:val="bottom"/>
            <w:shd w:val="clear" w:color="auto" w:fill="DBDBDB"/>
          </w:tcPr>
          <w:p>
            <w:pPr>
              <w:spacing w:after="0"/>
              <w:rPr>
                <w:sz w:val="24"/>
                <w:szCs w:val="24"/>
                <w:color w:val="auto"/>
              </w:rPr>
            </w:pPr>
          </w:p>
        </w:tc>
        <w:tc>
          <w:tcPr>
            <w:tcW w:w="80" w:type="dxa"/>
            <w:vAlign w:val="bottom"/>
            <w:shd w:val="clear" w:color="auto" w:fill="DBDBDB"/>
          </w:tcPr>
          <w:p>
            <w:pPr>
              <w:spacing w:after="0"/>
              <w:rPr>
                <w:sz w:val="24"/>
                <w:szCs w:val="24"/>
                <w:color w:val="auto"/>
              </w:rPr>
            </w:pPr>
          </w:p>
        </w:tc>
        <w:tc>
          <w:tcPr>
            <w:tcW w:w="200" w:type="dxa"/>
            <w:vAlign w:val="bottom"/>
            <w:shd w:val="clear" w:color="auto" w:fill="DBDBDB"/>
          </w:tcPr>
          <w:p>
            <w:pPr>
              <w:spacing w:after="0"/>
              <w:rPr>
                <w:sz w:val="24"/>
                <w:szCs w:val="24"/>
                <w:color w:val="auto"/>
              </w:rPr>
            </w:pPr>
          </w:p>
        </w:tc>
        <w:tc>
          <w:tcPr>
            <w:tcW w:w="1400" w:type="dxa"/>
            <w:vAlign w:val="bottom"/>
            <w:shd w:val="clear" w:color="auto" w:fill="DBDBDB"/>
          </w:tcPr>
          <w:p>
            <w:pPr>
              <w:spacing w:after="0"/>
              <w:rPr>
                <w:sz w:val="24"/>
                <w:szCs w:val="24"/>
                <w:color w:val="auto"/>
              </w:rPr>
            </w:pPr>
          </w:p>
        </w:tc>
      </w:tr>
      <w:tr>
        <w:trPr>
          <w:trHeight w:val="233"/>
        </w:trPr>
        <w:tc>
          <w:tcPr>
            <w:tcW w:w="4580" w:type="dxa"/>
            <w:vAlign w:val="bottom"/>
          </w:tcPr>
          <w:p>
            <w:pPr>
              <w:ind w:left="20"/>
              <w:spacing w:after="0"/>
              <w:rPr>
                <w:sz w:val="20"/>
                <w:szCs w:val="20"/>
                <w:color w:val="auto"/>
              </w:rPr>
            </w:pPr>
            <w:r>
              <w:rPr>
                <w:rFonts w:ascii="Arial" w:cs="Arial" w:eastAsia="Arial" w:hAnsi="Arial"/>
                <w:sz w:val="16"/>
                <w:szCs w:val="16"/>
                <w:color w:val="auto"/>
              </w:rPr>
              <w:t>Basic net income per share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0.12</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0.14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0.12</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0.15</w:t>
            </w:r>
          </w:p>
        </w:tc>
      </w:tr>
      <w:tr>
        <w:trPr>
          <w:trHeight w:val="233"/>
        </w:trPr>
        <w:tc>
          <w:tcPr>
            <w:tcW w:w="4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Diluted net income per share</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0.12</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0.13</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0.11</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0.13</w:t>
            </w:r>
          </w:p>
        </w:tc>
      </w:tr>
      <w:tr>
        <w:trPr>
          <w:trHeight w:val="33"/>
        </w:trPr>
        <w:tc>
          <w:tcPr>
            <w:tcW w:w="458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4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4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42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400" w:type="dxa"/>
            <w:vAlign w:val="bottom"/>
            <w:shd w:val="clear" w:color="auto" w:fill="DBDBDB"/>
          </w:tcPr>
          <w:p>
            <w:pPr>
              <w:spacing w:after="0"/>
              <w:rPr>
                <w:sz w:val="2"/>
                <w:szCs w:val="2"/>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shares were excluded from the calculation of diluted earnings per share because they would be antidilutive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80" w:type="dxa"/>
            <w:vAlign w:val="bottom"/>
          </w:tcPr>
          <w:p>
            <w:pPr>
              <w:spacing w:after="0"/>
              <w:rPr>
                <w:sz w:val="19"/>
                <w:szCs w:val="19"/>
                <w:color w:val="auto"/>
              </w:rPr>
            </w:pPr>
          </w:p>
        </w:tc>
        <w:tc>
          <w:tcPr>
            <w:tcW w:w="3280" w:type="dxa"/>
            <w:vAlign w:val="bottom"/>
            <w:gridSpan w:val="3"/>
          </w:tcPr>
          <w:p>
            <w:pPr>
              <w:jc w:val="right"/>
              <w:ind w:right="999"/>
              <w:spacing w:after="0"/>
              <w:rPr>
                <w:sz w:val="20"/>
                <w:szCs w:val="20"/>
                <w:color w:val="auto"/>
              </w:rPr>
            </w:pPr>
            <w:r>
              <w:rPr>
                <w:rFonts w:ascii="Arial" w:cs="Arial" w:eastAsia="Arial" w:hAnsi="Arial"/>
                <w:sz w:val="16"/>
                <w:szCs w:val="16"/>
                <w:b w:val="1"/>
                <w:bCs w:val="1"/>
                <w:color w:val="auto"/>
              </w:rPr>
              <w:t>Quarter Ended</w:t>
            </w:r>
          </w:p>
        </w:tc>
        <w:tc>
          <w:tcPr>
            <w:tcW w:w="80" w:type="dxa"/>
            <w:vAlign w:val="bottom"/>
          </w:tcPr>
          <w:p>
            <w:pPr>
              <w:spacing w:after="0"/>
              <w:rPr>
                <w:sz w:val="19"/>
                <w:szCs w:val="19"/>
                <w:color w:val="auto"/>
              </w:rPr>
            </w:pPr>
          </w:p>
        </w:tc>
        <w:tc>
          <w:tcPr>
            <w:tcW w:w="3300" w:type="dxa"/>
            <w:vAlign w:val="bottom"/>
            <w:gridSpan w:val="3"/>
          </w:tcPr>
          <w:p>
            <w:pPr>
              <w:jc w:val="right"/>
              <w:ind w:right="779"/>
              <w:spacing w:after="0"/>
              <w:rPr>
                <w:sz w:val="20"/>
                <w:szCs w:val="20"/>
                <w:color w:val="auto"/>
              </w:rPr>
            </w:pPr>
            <w:r>
              <w:rPr>
                <w:rFonts w:ascii="Arial" w:cs="Arial" w:eastAsia="Arial" w:hAnsi="Arial"/>
                <w:sz w:val="16"/>
                <w:szCs w:val="16"/>
                <w:b w:val="1"/>
                <w:bCs w:val="1"/>
                <w:color w:val="auto"/>
              </w:rPr>
              <w:t>Two Quarters Ended</w:t>
            </w:r>
          </w:p>
        </w:tc>
      </w:tr>
      <w:tr>
        <w:trPr>
          <w:trHeight w:val="260"/>
        </w:trPr>
        <w:tc>
          <w:tcPr>
            <w:tcW w:w="4580" w:type="dxa"/>
            <w:vAlign w:val="bottom"/>
            <w:tcBorders>
              <w:bottom w:val="single" w:sz="8" w:color="DBDBDB"/>
            </w:tcBorders>
          </w:tcPr>
          <w:p>
            <w:pPr>
              <w:spacing w:after="0"/>
              <w:rPr>
                <w:sz w:val="22"/>
                <w:szCs w:val="22"/>
                <w:color w:val="auto"/>
              </w:rPr>
            </w:pPr>
          </w:p>
        </w:tc>
        <w:tc>
          <w:tcPr>
            <w:tcW w:w="1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Borders>
              <w:bottom w:val="single" w:sz="8" w:color="DBDBDB"/>
            </w:tcBorders>
          </w:tcPr>
          <w:p>
            <w:pPr>
              <w:spacing w:after="0"/>
              <w:rPr>
                <w:sz w:val="22"/>
                <w:szCs w:val="22"/>
                <w:color w:val="auto"/>
              </w:rPr>
            </w:pPr>
          </w:p>
        </w:tc>
        <w:tc>
          <w:tcPr>
            <w:tcW w:w="16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June 26, 2022</w:t>
            </w:r>
          </w:p>
        </w:tc>
        <w:tc>
          <w:tcPr>
            <w:tcW w:w="80" w:type="dxa"/>
            <w:vAlign w:val="bottom"/>
            <w:tcBorders>
              <w:bottom w:val="single" w:sz="8" w:color="DBDBDB"/>
            </w:tcBorders>
          </w:tcPr>
          <w:p>
            <w:pPr>
              <w:spacing w:after="0"/>
              <w:rPr>
                <w:sz w:val="22"/>
                <w:szCs w:val="22"/>
                <w:color w:val="auto"/>
              </w:rPr>
            </w:pPr>
          </w:p>
        </w:tc>
        <w:tc>
          <w:tcPr>
            <w:tcW w:w="16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Borders>
              <w:bottom w:val="single" w:sz="8" w:color="DBDBDB"/>
            </w:tcBorders>
          </w:tcPr>
          <w:p>
            <w:pPr>
              <w:spacing w:after="0"/>
              <w:rPr>
                <w:sz w:val="22"/>
                <w:szCs w:val="22"/>
                <w:color w:val="auto"/>
              </w:rPr>
            </w:pPr>
          </w:p>
        </w:tc>
        <w:tc>
          <w:tcPr>
            <w:tcW w:w="16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26, 2022</w:t>
            </w:r>
          </w:p>
        </w:tc>
      </w:tr>
      <w:tr>
        <w:trPr>
          <w:trHeight w:val="240"/>
        </w:trPr>
        <w:tc>
          <w:tcPr>
            <w:tcW w:w="4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Shares subject to performance conditions</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1,807</w:t>
            </w:r>
          </w:p>
        </w:tc>
        <w:tc>
          <w:tcPr>
            <w:tcW w:w="17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1,794</w:t>
            </w:r>
          </w:p>
        </w:tc>
        <w:tc>
          <w:tcPr>
            <w:tcW w:w="16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1,807</w:t>
            </w:r>
          </w:p>
        </w:tc>
        <w:tc>
          <w:tcPr>
            <w:tcW w:w="17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1,794</w:t>
            </w:r>
          </w:p>
        </w:tc>
      </w:tr>
      <w:tr>
        <w:trPr>
          <w:trHeight w:val="250"/>
        </w:trPr>
        <w:tc>
          <w:tcPr>
            <w:tcW w:w="4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Shares that were antidilutive</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DBDBDB"/>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bottom w:val="single" w:sz="8" w:color="DBDBDB"/>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DBDBDB"/>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63"/>
        </w:trPr>
        <w:tc>
          <w:tcPr>
            <w:tcW w:w="4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shares excluded from diluted net income per share</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1,829</w:t>
            </w:r>
          </w:p>
        </w:tc>
        <w:tc>
          <w:tcPr>
            <w:tcW w:w="17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1,822</w:t>
            </w:r>
          </w:p>
        </w:tc>
        <w:tc>
          <w:tcPr>
            <w:tcW w:w="16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1,821</w:t>
            </w:r>
          </w:p>
        </w:tc>
        <w:tc>
          <w:tcPr>
            <w:tcW w:w="17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1,812</w:t>
            </w:r>
          </w:p>
        </w:tc>
      </w:tr>
      <w:tr>
        <w:trPr>
          <w:trHeight w:val="20"/>
        </w:trPr>
        <w:tc>
          <w:tcPr>
            <w:tcW w:w="458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14.</w:t>
        <w:tab/>
        <w:t>CONTINGENCIES</w:t>
      </w:r>
    </w:p>
    <w:p>
      <w:pPr>
        <w:spacing w:after="0" w:line="270"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color w:val="auto"/>
        </w:rPr>
        <w:t>The Company is party to legal proceedings and potential claims arising in the normal conduct of business, including claims related to employment matters, contractual disputes, customer injuries, and property damage. Although the ultimate outcome of these claims and lawsuits cannot be predicted with certainty, management believes that the resulting liability, if any, will not have a material effect on the Company’s condensed consolidated financial statements.</w:t>
      </w:r>
    </w:p>
    <w:p>
      <w:pPr>
        <w:spacing w:after="0" w:line="199"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15.</w:t>
      </w:r>
      <w:r>
        <w:rPr>
          <w:sz w:val="20"/>
          <w:szCs w:val="20"/>
          <w:color w:val="auto"/>
        </w:rPr>
        <w:tab/>
      </w:r>
      <w:r>
        <w:rPr>
          <w:rFonts w:ascii="Arial" w:cs="Arial" w:eastAsia="Arial" w:hAnsi="Arial"/>
          <w:sz w:val="24"/>
          <w:szCs w:val="24"/>
          <w:b w:val="1"/>
          <w:bCs w:val="1"/>
          <w:color w:val="414042"/>
        </w:rPr>
        <w:t>RELATED PARTY TRANSACTIONS</w:t>
      </w:r>
    </w:p>
    <w:p>
      <w:pPr>
        <w:spacing w:after="0" w:line="284"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As of both June 25, 2023 and December 25, 2022, the related parties’ receivables balance consisted of $0.4 million due from C&amp;O, which is included in accounts receivable in the condensed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Olo, Inc.</w:t>
      </w:r>
    </w:p>
    <w:p>
      <w:pPr>
        <w:spacing w:after="0" w:line="257"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Noah Glass, a member of the Company's Board, is the founder and CEO of Olo, Inc. ("Olo"), a platform the Company uses in connection with our mobile ordering application and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color w:val="auto"/>
        </w:rPr>
        <w:t>The Company incurred the following Olo-related costs for the quarter and two quarters ended June 25, 2023 and June 26, 2022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gridSpan w:val="4"/>
          </w:tcPr>
          <w:p>
            <w:pPr>
              <w:jc w:val="right"/>
              <w:ind w:right="979"/>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Two Quarters Ended</w:t>
            </w:r>
          </w:p>
        </w:tc>
      </w:tr>
      <w:tr>
        <w:trPr>
          <w:trHeight w:val="243"/>
        </w:trPr>
        <w:tc>
          <w:tcPr>
            <w:tcW w:w="4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June 26, 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June 25, 2023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June 26, 2022</w:t>
            </w:r>
          </w:p>
        </w:tc>
      </w:tr>
      <w:tr>
        <w:trPr>
          <w:trHeight w:val="21"/>
        </w:trPr>
        <w:tc>
          <w:tcPr>
            <w:tcW w:w="45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4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Food, beverage and packaging costs</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478</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558</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1,063</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883</w:t>
            </w:r>
          </w:p>
        </w:tc>
      </w:tr>
      <w:tr>
        <w:trPr>
          <w:trHeight w:val="250"/>
        </w:trPr>
        <w:tc>
          <w:tcPr>
            <w:tcW w:w="4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operating expenses</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DBDBDB"/>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DBDBDB"/>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80" w:type="dxa"/>
            <w:vAlign w:val="bottom"/>
            <w:tcBorders>
              <w:bottom w:val="single" w:sz="8" w:color="DBDBDB"/>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r>
      <w:tr>
        <w:trPr>
          <w:trHeight w:val="263"/>
        </w:trPr>
        <w:tc>
          <w:tcPr>
            <w:tcW w:w="4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Olo-related costs</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590</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659</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1,289</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1,098</w:t>
            </w:r>
          </w:p>
        </w:tc>
      </w:tr>
      <w:tr>
        <w:trPr>
          <w:trHeight w:val="20"/>
        </w:trPr>
        <w:tc>
          <w:tcPr>
            <w:tcW w:w="45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As of June 25, 2023 and December 25, 2022, $0.1 million and $0.2 million, respectively, were payable to Olo and was included in accounts payable in the condensed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25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are party to a TRA with certain members of Portillo's OpCo that provides for the payment by us of 85% of the amount of tax benefits, if any, that Portillo's Inc. actually realizes or in some cases is deemed to realize as a result of certain transactions. The Company made payments of $0.8 million under the TRA relating to tax year 2021 during the two quarters ended June 25, 2023. There were no amounts paid under the TRA during the quarter ended June 25, 2023 and quarter and two quarters ended June 26,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June 25, 2023</w:t>
            </w:r>
          </w:p>
        </w:tc>
        <w:tc>
          <w:tcPr>
            <w:tcW w:w="80" w:type="dxa"/>
            <w:vAlign w:val="bottom"/>
            <w:tcBorders>
              <w:bottom w:val="single" w:sz="8" w:color="DBDBDB"/>
            </w:tcBorders>
          </w:tcPr>
          <w:p>
            <w:pPr>
              <w:spacing w:after="0"/>
              <w:rPr>
                <w:sz w:val="20"/>
                <w:szCs w:val="20"/>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25, 2022</w:t>
            </w:r>
          </w:p>
        </w:tc>
      </w:tr>
      <w:tr>
        <w:trPr>
          <w:trHeight w:val="243"/>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portion of Tax Receivable Agreement liability</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6,309</w:t>
            </w:r>
          </w:p>
        </w:tc>
        <w:tc>
          <w:tcPr>
            <w:tcW w:w="640" w:type="dxa"/>
            <w:vAlign w:val="bottom"/>
            <w:gridSpan w:val="2"/>
            <w:shd w:val="clear" w:color="auto" w:fill="DBDBDB"/>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813</w:t>
            </w:r>
          </w:p>
        </w:tc>
      </w:tr>
      <w:tr>
        <w:trPr>
          <w:trHeight w:val="223"/>
        </w:trPr>
        <w:tc>
          <w:tcPr>
            <w:tcW w:w="7920" w:type="dxa"/>
            <w:vAlign w:val="bottom"/>
          </w:tcPr>
          <w:p>
            <w:pPr>
              <w:ind w:left="20"/>
              <w:spacing w:after="0"/>
              <w:rPr>
                <w:sz w:val="20"/>
                <w:szCs w:val="20"/>
                <w:color w:val="auto"/>
              </w:rPr>
            </w:pPr>
            <w:r>
              <w:rPr>
                <w:rFonts w:ascii="Arial" w:cs="Arial" w:eastAsia="Arial" w:hAnsi="Arial"/>
                <w:sz w:val="16"/>
                <w:szCs w:val="16"/>
                <w:color w:val="auto"/>
              </w:rPr>
              <w:t>Tax receivable agreement liability</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295,696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252,003</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Offerings</w:t>
      </w:r>
    </w:p>
    <w:p>
      <w:pPr>
        <w:spacing w:after="0" w:line="271"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In connection with the secondary offerings previously discussed in Note 1. Description Of Business, we purchased LLC Units and corresponding shares of Class B common stock and shares of Class A common stock using the proceeds of the secondary offerings at a price equal to the public offering price less the underwriting discounts and commissions from certain pre-IPO LLC Members and shareholders of the Blocker Companies, including from funds affiliated with Berkshire Partners LLC, which is our largest shareholder that beneficially owns approximately 30.8% of the Company as of June 25, 2023.</w:t>
      </w:r>
    </w:p>
    <w:p>
      <w:pPr>
        <w:spacing w:after="0" w:line="201"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16.</w:t>
        <w:tab/>
        <w:t>SUBSEQUENT EVENTS</w:t>
      </w:r>
    </w:p>
    <w:p>
      <w:pPr>
        <w:spacing w:after="0" w:line="2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On July 31, 2023, the Company made a $5.0 million payment on the 2023 Revolver Facility. The outstanding balance of the 2023 Revolver Facility upon payment is $5.0 million. As a result, as of July 31, 2023, the Company had $90.7 million available under the 2023 Revolver Facility.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line="303" w:lineRule="auto"/>
        <w:rPr>
          <w:sz w:val="20"/>
          <w:szCs w:val="20"/>
          <w:color w:val="auto"/>
        </w:rPr>
      </w:pPr>
      <w:r>
        <w:rPr>
          <w:rFonts w:ascii="Arial" w:cs="Arial" w:eastAsia="Arial" w:hAnsi="Arial"/>
          <w:sz w:val="25"/>
          <w:szCs w:val="25"/>
          <w:b w:val="1"/>
          <w:bCs w:val="1"/>
          <w:color w:val="414042"/>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-55245</wp:posOffset>
            </wp:positionV>
            <wp:extent cx="5966460" cy="3257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discussion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“Cautionary Statements Concerning Forward-Looking Statements” in this report and under the heading “Risk Factors” in Part I, Item IA of our Annual Report on Form 10-K for the fiscal year ended December 25, 2022 and Part II, Item 1A of this Form 10-Q. The following discussion should be read in conjunction with our Annual Report on Form 10-K for the fiscal year ended December 25, 2022 and the condensed consolidated financial statements and notes thereto included in Part I, Item 1 of this Form 10-Q. All information presented herein is based on our fiscal calendar. Unless otherwise stated, references to particular years, quarters, months or periods refer to our fiscal years and the associated quarters, months and periods of those fiscal years.</w:t>
      </w:r>
    </w:p>
    <w:p>
      <w:pPr>
        <w:spacing w:after="0" w:line="21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based on our current knowledge of our business and operations, we cannot guarantee future results, levels of activity, performance or achievements. We assume no obligation to provide revisions to any forward-looking statements should circumstances change.</w:t>
      </w:r>
    </w:p>
    <w:p>
      <w:pPr>
        <w:spacing w:after="0" w:line="211"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The following discussion summarizes the significant factors affecting the condensed consolidated operating results, financial condition, liquidity and cash flows of our company as of and for the periods presented below.</w:t>
      </w:r>
    </w:p>
    <w:p>
      <w:pPr>
        <w:spacing w:after="0" w:line="20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have prepared the unaudited condensed consolidated financial statements in accordance with accounting principles generally accepted in the United States of America ("GAAP") for interim financial statements and pursuant to the rules and regulations of the Securities and Exchange Commission (the "SEC").</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Overview</w:t>
      </w:r>
    </w:p>
    <w:p>
      <w:pPr>
        <w:spacing w:after="0" w:line="26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Portillo’s serves iconic Chicago street food through high-energy, multichannel restaurants designed to ignite the senses and create a memorable dining experience. Since our founding in 1963 in a small trailer which Dick Portillo called “The Dog House,” we have grown to become a treasured brand with a passionate (some might say obsessed) nationwide following. We create a consumer experience like no other by combining the best attributes of fast casual and quick service concepts with an exciting energy-filled atmosphere and restaurant model capable of generating tremendous volumes. Nearly all of our restaurants were built with double lane drive-thrus and have been thoughtfully designed with a layout that accommodates a variety of access modes including dine-in, carryout, delivery, and catering in order to quickly and efficiently serve our guests. No matter how our guests order from us, our highly productive kitchens and team members consistently serve high quality food and deliver a memorable guest experience. We believe the combination of our craveable food, multichannel sales model, dedication to operational excellence, and a distinctive culture driven by our team members gives us a competitive advantage.</w:t>
      </w:r>
    </w:p>
    <w:p>
      <w:pPr>
        <w:spacing w:after="0" w:line="221"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As of June 25, 2023, we owned and operated 76 Portillo’s restaurants across ten states, including a restaurant owned by C&amp;O Chicago, L.L.C. ("C&amp;O") of which Portillo’s owns 50% of the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414042"/>
        </w:rPr>
        <w:t>Financial Highlights for the Quarter Ended June 25, 2023 vs. Quarter Ended June 26, 2022:</w:t>
      </w:r>
    </w:p>
    <w:p>
      <w:pPr>
        <w:spacing w:after="0" w:line="25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increased 12.3% or $18.6 million to $169.2 million;</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Same restaurant sales increased 5.9%;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decreased $0.1 million to $17.4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decreased $0.9 million to $9.9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Restaurant-Level Adjusted EBITDA* increased $4.3 million to $42.7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increased $1.6 million to $29.2 million.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Financial Highlights for the Two Quarters Ended June 25, 2023 vs. Two Quarters Ended June 26, 2022:</w:t>
      </w:r>
    </w:p>
    <w:p>
      <w:pPr>
        <w:spacing w:after="0" w:line="253" w:lineRule="exact"/>
        <w:rPr>
          <w:sz w:val="20"/>
          <w:szCs w:val="20"/>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revenue increased 14.1% or $40.1 million to $325.2 million;</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Same restaurant sales increased 7.4%;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Operating income increased $1.6 million to $25.9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income decreased $2.7 million to $8.6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Restaurant-Level Adjusted EBITDA* increased $11.2 million to $77.6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Adjusted EBITDA* increased $3.6 million to $48.9 million.</w:t>
      </w:r>
    </w:p>
    <w:p>
      <w:pPr>
        <w:spacing w:after="0" w:line="242" w:lineRule="exact"/>
        <w:rPr>
          <w:rFonts w:ascii="Arial" w:cs="Arial" w:eastAsia="Arial" w:hAnsi="Arial"/>
          <w:sz w:val="18"/>
          <w:szCs w:val="18"/>
          <w:color w:val="auto"/>
        </w:rPr>
      </w:pPr>
    </w:p>
    <w:p>
      <w:pPr>
        <w:ind w:right="180"/>
        <w:spacing w:after="0" w:line="270" w:lineRule="auto"/>
        <w:rPr>
          <w:rFonts w:ascii="Arial" w:cs="Arial" w:eastAsia="Arial" w:hAnsi="Arial"/>
          <w:sz w:val="18"/>
          <w:szCs w:val="18"/>
          <w:color w:val="auto"/>
        </w:rPr>
      </w:pPr>
      <w:r>
        <w:rPr>
          <w:rFonts w:ascii="Arial" w:cs="Arial" w:eastAsia="Arial" w:hAnsi="Arial"/>
          <w:sz w:val="16"/>
          <w:szCs w:val="16"/>
          <w:color w:val="auto"/>
        </w:rPr>
        <w:t>* Adjusted EBITDA and Restaurant-Level Adjusted EBITDA are non-GAAP measures. Definitions and reconciliations of Adjusted EBITDA to net (loss) income and Restaurant-Level Adjusted EBITDA to operating income the most directly comparable financial measures presented in accordance with GAAP, are set forth under the section "Key Performance Indicators and Non-GAAP Financial Measures".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Recent Developments and Trends</w:t>
      </w:r>
    </w:p>
    <w:p>
      <w:pPr>
        <w:spacing w:after="0" w:line="25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continue to see revenue growth due to our new restaurant openings, as well as same-restaurant sales growth. Total revenue grew 12.3% during the quarter ended June 25, 2023 and 14.1% for the two quarters ended June 25, 2023. Same-restaurant sales grew 5.9% during the quarter ended June 25, 2023, compared to 1.9% same-restaurant sales growth during the same quarter in 2022. Same-restaurant sales grew 7.4% during the two quarters ended June 25, 2023, compared to 4.8% same-restaurant sales growth during the two quarters ended June 26, 2022.</w:t>
      </w:r>
    </w:p>
    <w:p>
      <w:pPr>
        <w:spacing w:after="0" w:line="21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quarter ended June 25, 2023, we opened one new restaurant in Gilbert, Arizona for a total of 76 restaurants, including a restaurant owned by C&amp;O, of which Portillo's owns 50% of the equity. Two restaurants opened in the second through fourth quarters of 2022 and four restaurants opened during the two quarters ended June 25, 2023, positively impacted revenues by approximately $10.4 million and $20.9 million in the quarter and two quarters ended June 25, 2023, respectively. We plan to open eight new restaurants in the third and fourth quarters of 2023.</w:t>
      </w:r>
    </w:p>
    <w:p>
      <w:pPr>
        <w:spacing w:after="0" w:line="21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the quarter and two quarters ended June 25, 2023, we continued to experience commodity inflation, but to a lesser extent than we saw in 2022. Commodity inflation was 5.5% and 7.1% for the quarter and two quarters ended June 25, 2023, respectively, compared to 15.2% and 15.5% for the quarter and two quarters ended June 26, 2022. We expect our overall commodity inflation to ease over the course of the year and are currently estimating commodity inflation in the mid-single digits for the full fiscal year. Labor expenses, as a percentage of revenue, slightly increased during the second quarter of 2023 compared to the same quarter in 2022. For the two quarters ended June 25, 2023, we experienced a decline in labor expenses, as a percentage of revenue, compared to the two quarters ended June 26, 2022 primarily due to increases in our average check, partially offset by additional wage investments. Subsequent to the quarter, we made additional wage investments in our team members. We currently estimate mid-single digit labor inflation for the full fiscal year. During mid-January 2023 and at the beginning of May 2023, we increased certain menu prices to reflect a net approximate 2.0% and 3.0% price increase, respectively, to continue to combat inflationary cost pressures and progress towards our goal to improve Restaurant-Level Adjusted EBITDA margins for fiscal 2023. We will continue to monitor the environment and make additional pricing decisions if necessary.</w:t>
      </w:r>
    </w:p>
    <w:p>
      <w:pPr>
        <w:spacing w:after="0" w:line="22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the quarter ended June 25, 2023, operating income margin and Restaurant-Level Adjusted EBITDA Margin continued to improve since the fourth quarter of 2022. We believe this improvement was the result of our ongoing efforts to deploy strategic pricing actions, elevate guest experiences, and implement operational efficiencies.</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26" w:name="page27"/>
    <w:bookmarkEnd w:id="26"/>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Development Highlights</w:t>
      </w:r>
    </w:p>
    <w:p>
      <w:pPr>
        <w:spacing w:after="0" w:line="253"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During the two quarters ended June 25, 2023, we opened the remaining four restaurants that were planned for 2022. The opening of these restaurants brings the total restaurant count to 76, including a restaurant owned by C&amp;O of which Portillo’s owns 50% of the equity.</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Location</w:t>
            </w:r>
          </w:p>
        </w:tc>
        <w:tc>
          <w:tcPr>
            <w:tcW w:w="6380" w:type="dxa"/>
            <w:vAlign w:val="bottom"/>
          </w:tcPr>
          <w:p>
            <w:pPr>
              <w:ind w:left="3460"/>
              <w:spacing w:after="0"/>
              <w:rPr>
                <w:sz w:val="20"/>
                <w:szCs w:val="20"/>
                <w:color w:val="auto"/>
              </w:rPr>
            </w:pPr>
            <w:r>
              <w:rPr>
                <w:rFonts w:ascii="Arial" w:cs="Arial" w:eastAsia="Arial" w:hAnsi="Arial"/>
                <w:sz w:val="16"/>
                <w:szCs w:val="16"/>
                <w:b w:val="1"/>
                <w:bCs w:val="1"/>
                <w:color w:val="auto"/>
              </w:rPr>
              <w:t>Opening Date</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r>
      <w:tr>
        <w:trPr>
          <w:trHeight w:val="237"/>
        </w:trPr>
        <w:tc>
          <w:tcPr>
            <w:tcW w:w="4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Kissimmee, Florida</w:t>
            </w:r>
          </w:p>
        </w:tc>
        <w:tc>
          <w:tcPr>
            <w:tcW w:w="6380" w:type="dxa"/>
            <w:vAlign w:val="bottom"/>
            <w:shd w:val="clear" w:color="auto" w:fill="DBDBDB"/>
          </w:tcPr>
          <w:p>
            <w:pPr>
              <w:ind w:left="3460"/>
              <w:spacing w:after="0"/>
              <w:rPr>
                <w:sz w:val="20"/>
                <w:szCs w:val="20"/>
                <w:color w:val="auto"/>
              </w:rPr>
            </w:pPr>
            <w:r>
              <w:rPr>
                <w:rFonts w:ascii="Arial" w:cs="Arial" w:eastAsia="Arial" w:hAnsi="Arial"/>
                <w:sz w:val="16"/>
                <w:szCs w:val="16"/>
                <w:color w:val="auto"/>
              </w:rPr>
              <w:t>December 2022</w:t>
            </w:r>
          </w:p>
        </w:tc>
      </w:tr>
      <w:tr>
        <w:trPr>
          <w:trHeight w:val="233"/>
        </w:trPr>
        <w:tc>
          <w:tcPr>
            <w:tcW w:w="4860" w:type="dxa"/>
            <w:vAlign w:val="bottom"/>
          </w:tcPr>
          <w:p>
            <w:pPr>
              <w:ind w:left="20"/>
              <w:spacing w:after="0"/>
              <w:rPr>
                <w:sz w:val="20"/>
                <w:szCs w:val="20"/>
                <w:color w:val="auto"/>
              </w:rPr>
            </w:pPr>
            <w:r>
              <w:rPr>
                <w:rFonts w:ascii="Arial" w:cs="Arial" w:eastAsia="Arial" w:hAnsi="Arial"/>
                <w:sz w:val="16"/>
                <w:szCs w:val="16"/>
                <w:color w:val="auto"/>
              </w:rPr>
              <w:t>The Colony, Texas</w:t>
            </w:r>
          </w:p>
        </w:tc>
        <w:tc>
          <w:tcPr>
            <w:tcW w:w="6380" w:type="dxa"/>
            <w:vAlign w:val="bottom"/>
          </w:tcPr>
          <w:p>
            <w:pPr>
              <w:ind w:left="3460"/>
              <w:spacing w:after="0"/>
              <w:rPr>
                <w:sz w:val="20"/>
                <w:szCs w:val="20"/>
                <w:color w:val="auto"/>
              </w:rPr>
            </w:pPr>
            <w:r>
              <w:rPr>
                <w:rFonts w:ascii="Arial" w:cs="Arial" w:eastAsia="Arial" w:hAnsi="Arial"/>
                <w:sz w:val="16"/>
                <w:szCs w:val="16"/>
                <w:color w:val="auto"/>
              </w:rPr>
              <w:t>January 2023</w:t>
            </w:r>
          </w:p>
        </w:tc>
      </w:tr>
      <w:tr>
        <w:trPr>
          <w:trHeight w:val="246"/>
        </w:trPr>
        <w:tc>
          <w:tcPr>
            <w:tcW w:w="4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Tucson, Arizona</w:t>
            </w:r>
          </w:p>
        </w:tc>
        <w:tc>
          <w:tcPr>
            <w:tcW w:w="6380" w:type="dxa"/>
            <w:vAlign w:val="bottom"/>
            <w:tcBorders>
              <w:bottom w:val="single" w:sz="8" w:color="DBDBDB"/>
            </w:tcBorders>
            <w:shd w:val="clear" w:color="auto" w:fill="DBDBDB"/>
          </w:tcPr>
          <w:p>
            <w:pPr>
              <w:ind w:left="3460"/>
              <w:spacing w:after="0"/>
              <w:rPr>
                <w:sz w:val="20"/>
                <w:szCs w:val="20"/>
                <w:color w:val="auto"/>
              </w:rPr>
            </w:pPr>
            <w:r>
              <w:rPr>
                <w:rFonts w:ascii="Arial" w:cs="Arial" w:eastAsia="Arial" w:hAnsi="Arial"/>
                <w:sz w:val="16"/>
                <w:szCs w:val="16"/>
                <w:color w:val="auto"/>
              </w:rPr>
              <w:t>February 2023</w:t>
            </w:r>
          </w:p>
        </w:tc>
      </w:tr>
      <w:tr>
        <w:trPr>
          <w:trHeight w:val="223"/>
        </w:trPr>
        <w:tc>
          <w:tcPr>
            <w:tcW w:w="4860" w:type="dxa"/>
            <w:vAlign w:val="bottom"/>
          </w:tcPr>
          <w:p>
            <w:pPr>
              <w:ind w:left="20"/>
              <w:spacing w:after="0"/>
              <w:rPr>
                <w:sz w:val="20"/>
                <w:szCs w:val="20"/>
                <w:color w:val="auto"/>
              </w:rPr>
            </w:pPr>
            <w:r>
              <w:rPr>
                <w:rFonts w:ascii="Arial" w:cs="Arial" w:eastAsia="Arial" w:hAnsi="Arial"/>
                <w:sz w:val="16"/>
                <w:szCs w:val="16"/>
                <w:color w:val="auto"/>
              </w:rPr>
              <w:t>Gilbert, Arizona</w:t>
            </w:r>
          </w:p>
        </w:tc>
        <w:tc>
          <w:tcPr>
            <w:tcW w:w="6380" w:type="dxa"/>
            <w:vAlign w:val="bottom"/>
          </w:tcPr>
          <w:p>
            <w:pPr>
              <w:ind w:left="3460"/>
              <w:spacing w:after="0"/>
              <w:rPr>
                <w:sz w:val="20"/>
                <w:szCs w:val="20"/>
                <w:color w:val="auto"/>
              </w:rPr>
            </w:pPr>
            <w:r>
              <w:rPr>
                <w:rFonts w:ascii="Arial" w:cs="Arial" w:eastAsia="Arial" w:hAnsi="Arial"/>
                <w:sz w:val="16"/>
                <w:szCs w:val="16"/>
                <w:color w:val="auto"/>
              </w:rPr>
              <w:t>March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Consolidated Results of Operations</w:t>
      </w:r>
    </w:p>
    <w:p>
      <w:pPr>
        <w:spacing w:after="0" w:line="253"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color w:val="auto"/>
        </w:rPr>
        <w:t>The following table summarizes our results of operations for the quarter and two quarters ended June 25, 2023 and June 26, 2022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Two Quarters Ended</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60"/>
        </w:trPr>
        <w:tc>
          <w:tcPr>
            <w:tcW w:w="356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June 26, 2022</w:t>
            </w:r>
          </w:p>
        </w:tc>
        <w:tc>
          <w:tcPr>
            <w:tcW w:w="8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June 26, 2022</w:t>
            </w:r>
          </w:p>
        </w:tc>
      </w:tr>
      <w:tr>
        <w:trPr>
          <w:trHeight w:val="240"/>
        </w:trPr>
        <w:tc>
          <w:tcPr>
            <w:tcW w:w="35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REVENUES, NET</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169,182</w:t>
            </w:r>
          </w:p>
        </w:tc>
        <w:tc>
          <w:tcPr>
            <w:tcW w:w="10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150,623</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22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325,242</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285,105</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100.0 %</w:t>
            </w:r>
          </w:p>
        </w:tc>
      </w:tr>
      <w:tr>
        <w:trPr>
          <w:trHeight w:val="256"/>
        </w:trPr>
        <w:tc>
          <w:tcPr>
            <w:tcW w:w="3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3"/>
        </w:trPr>
        <w:tc>
          <w:tcPr>
            <w:tcW w:w="35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COST AND EXPENSES:</w:t>
            </w: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6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r>
      <w:tr>
        <w:trPr>
          <w:trHeight w:val="224"/>
        </w:trPr>
        <w:tc>
          <w:tcPr>
            <w:tcW w:w="3560" w:type="dxa"/>
            <w:vAlign w:val="bottom"/>
          </w:tcPr>
          <w:p>
            <w:pPr>
              <w:ind w:left="20"/>
              <w:spacing w:after="0"/>
              <w:rPr>
                <w:sz w:val="20"/>
                <w:szCs w:val="20"/>
                <w:color w:val="auto"/>
              </w:rPr>
            </w:pPr>
            <w:r>
              <w:rPr>
                <w:rFonts w:ascii="Arial" w:cs="Arial" w:eastAsia="Arial" w:hAnsi="Arial"/>
                <w:sz w:val="16"/>
                <w:szCs w:val="16"/>
                <w:color w:val="auto"/>
              </w:rPr>
              <w:t>Restaurant operating expenses:</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3"/>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560" w:type="dxa"/>
            <w:vAlign w:val="bottom"/>
            <w:shd w:val="clear" w:color="auto" w:fill="DBDBDB"/>
          </w:tcPr>
          <w:p>
            <w:pPr>
              <w:ind w:left="220"/>
              <w:spacing w:after="0"/>
              <w:rPr>
                <w:sz w:val="20"/>
                <w:szCs w:val="20"/>
                <w:color w:val="auto"/>
              </w:rPr>
            </w:pPr>
            <w:r>
              <w:rPr>
                <w:rFonts w:ascii="Arial" w:cs="Arial" w:eastAsia="Arial" w:hAnsi="Arial"/>
                <w:sz w:val="16"/>
                <w:szCs w:val="16"/>
                <w:color w:val="auto"/>
              </w:rPr>
              <w:t>Food, beverage and packaging costs</w:t>
            </w: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56,229</w:t>
            </w:r>
          </w:p>
        </w:tc>
        <w:tc>
          <w:tcPr>
            <w:tcW w:w="10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33.2 %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51,774</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34.4 %</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109,856</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33.8 %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98,040</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34.4 %</w:t>
            </w:r>
          </w:p>
        </w:tc>
      </w:tr>
      <w:tr>
        <w:trPr>
          <w:trHeight w:val="224"/>
        </w:trPr>
        <w:tc>
          <w:tcPr>
            <w:tcW w:w="3560" w:type="dxa"/>
            <w:vAlign w:val="bottom"/>
          </w:tcPr>
          <w:p>
            <w:pPr>
              <w:ind w:left="220"/>
              <w:spacing w:after="0"/>
              <w:rPr>
                <w:sz w:val="20"/>
                <w:szCs w:val="20"/>
                <w:color w:val="auto"/>
              </w:rPr>
            </w:pPr>
            <w:r>
              <w:rPr>
                <w:rFonts w:ascii="Arial" w:cs="Arial" w:eastAsia="Arial" w:hAnsi="Arial"/>
                <w:sz w:val="16"/>
                <w:szCs w:val="16"/>
                <w:color w:val="auto"/>
              </w:rPr>
              <w:t>Labor</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43,153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25.5 %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37,906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25.2 %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83,612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75,219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26.4 %</w:t>
            </w:r>
          </w:p>
        </w:tc>
      </w:tr>
      <w:tr>
        <w:trPr>
          <w:trHeight w:val="33"/>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560" w:type="dxa"/>
            <w:vAlign w:val="bottom"/>
            <w:shd w:val="clear" w:color="auto" w:fill="DBDBDB"/>
          </w:tcPr>
          <w:p>
            <w:pPr>
              <w:ind w:left="220"/>
              <w:spacing w:after="0"/>
              <w:rPr>
                <w:sz w:val="20"/>
                <w:szCs w:val="20"/>
                <w:color w:val="auto"/>
              </w:rPr>
            </w:pPr>
            <w:r>
              <w:rPr>
                <w:rFonts w:ascii="Arial" w:cs="Arial" w:eastAsia="Arial" w:hAnsi="Arial"/>
                <w:sz w:val="16"/>
                <w:szCs w:val="16"/>
                <w:color w:val="auto"/>
              </w:rPr>
              <w:t>Occupancy</w:t>
            </w: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8,237</w:t>
            </w:r>
          </w:p>
        </w:tc>
        <w:tc>
          <w:tcPr>
            <w:tcW w:w="10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4.9 %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7,379</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4.9 %</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16,688</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5.1 %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15,134</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5.3 %</w:t>
            </w:r>
          </w:p>
        </w:tc>
      </w:tr>
      <w:tr>
        <w:trPr>
          <w:trHeight w:val="237"/>
        </w:trPr>
        <w:tc>
          <w:tcPr>
            <w:tcW w:w="35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operating expenses</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18,832</w:t>
            </w: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11.1 %</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15,178</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10.1 %</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37,536</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11.5 %</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30,343</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10.6 %</w:t>
            </w:r>
          </w:p>
        </w:tc>
      </w:tr>
      <w:tr>
        <w:trPr>
          <w:trHeight w:val="236"/>
        </w:trPr>
        <w:tc>
          <w:tcPr>
            <w:tcW w:w="356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6"/>
                <w:szCs w:val="16"/>
                <w:b w:val="1"/>
                <w:bCs w:val="1"/>
                <w:color w:val="auto"/>
              </w:rPr>
              <w:t>Total restaurant operating expenses</w:t>
            </w:r>
          </w:p>
        </w:tc>
        <w:tc>
          <w:tcPr>
            <w:tcW w:w="140" w:type="dxa"/>
            <w:vAlign w:val="bottom"/>
            <w:tcBorders>
              <w:bottom w:val="single" w:sz="8" w:color="DBDBDB"/>
            </w:tcBorders>
            <w:shd w:val="clear" w:color="auto" w:fill="DBDBDB"/>
          </w:tcPr>
          <w:p>
            <w:pPr>
              <w:spacing w:after="0"/>
              <w:rPr>
                <w:sz w:val="20"/>
                <w:szCs w:val="20"/>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126,451</w:t>
            </w:r>
          </w:p>
        </w:tc>
        <w:tc>
          <w:tcPr>
            <w:tcW w:w="10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74.7 %</w:t>
            </w:r>
          </w:p>
        </w:tc>
        <w:tc>
          <w:tcPr>
            <w:tcW w:w="10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112,237</w:t>
            </w:r>
          </w:p>
        </w:tc>
        <w:tc>
          <w:tcPr>
            <w:tcW w:w="10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74.5 %</w:t>
            </w:r>
          </w:p>
        </w:tc>
        <w:tc>
          <w:tcPr>
            <w:tcW w:w="8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247,692</w:t>
            </w:r>
          </w:p>
        </w:tc>
        <w:tc>
          <w:tcPr>
            <w:tcW w:w="10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76.2 %</w:t>
            </w:r>
          </w:p>
        </w:tc>
        <w:tc>
          <w:tcPr>
            <w:tcW w:w="10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218,736</w:t>
            </w:r>
          </w:p>
        </w:tc>
        <w:tc>
          <w:tcPr>
            <w:tcW w:w="10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76.7 %</w:t>
            </w:r>
          </w:p>
        </w:tc>
      </w:tr>
      <w:tr>
        <w:trPr>
          <w:trHeight w:val="233"/>
        </w:trPr>
        <w:tc>
          <w:tcPr>
            <w:tcW w:w="3560" w:type="dxa"/>
            <w:vAlign w:val="bottom"/>
          </w:tcPr>
          <w:p>
            <w:pPr>
              <w:ind w:left="24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19,609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11.6 %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15,439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10.3 %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38,387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11.8 %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31,126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10.9 %</w:t>
            </w:r>
          </w:p>
        </w:tc>
      </w:tr>
      <w:tr>
        <w:trPr>
          <w:trHeight w:val="246"/>
        </w:trPr>
        <w:tc>
          <w:tcPr>
            <w:tcW w:w="35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Pre-opening expenses</w:t>
            </w:r>
          </w:p>
        </w:tc>
        <w:tc>
          <w:tcPr>
            <w:tcW w:w="140" w:type="dxa"/>
            <w:vAlign w:val="bottom"/>
            <w:tcBorders>
              <w:bottom w:val="single" w:sz="8" w:color="DBDBDB"/>
            </w:tcBorders>
            <w:shd w:val="clear" w:color="auto" w:fill="DBDBDB"/>
          </w:tcPr>
          <w:p>
            <w:pPr>
              <w:spacing w:after="0"/>
              <w:rPr>
                <w:sz w:val="21"/>
                <w:szCs w:val="21"/>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275</w:t>
            </w:r>
          </w:p>
        </w:tc>
        <w:tc>
          <w:tcPr>
            <w:tcW w:w="10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423</w:t>
            </w:r>
          </w:p>
        </w:tc>
        <w:tc>
          <w:tcPr>
            <w:tcW w:w="10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0.3 %</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2,619</w:t>
            </w:r>
          </w:p>
        </w:tc>
        <w:tc>
          <w:tcPr>
            <w:tcW w:w="10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979</w:t>
            </w:r>
          </w:p>
        </w:tc>
        <w:tc>
          <w:tcPr>
            <w:tcW w:w="10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0.3 %</w:t>
            </w:r>
          </w:p>
        </w:tc>
      </w:tr>
      <w:tr>
        <w:trPr>
          <w:trHeight w:val="233"/>
        </w:trPr>
        <w:tc>
          <w:tcPr>
            <w:tcW w:w="356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5,941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5,309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11,610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10,514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3.7 %</w:t>
            </w:r>
          </w:p>
        </w:tc>
      </w:tr>
      <w:tr>
        <w:trPr>
          <w:trHeight w:val="216"/>
        </w:trPr>
        <w:tc>
          <w:tcPr>
            <w:tcW w:w="35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Net income attributable to equity method</w:t>
            </w:r>
          </w:p>
        </w:tc>
        <w:tc>
          <w:tcPr>
            <w:tcW w:w="14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r>
      <w:tr>
        <w:trPr>
          <w:trHeight w:val="220"/>
        </w:trPr>
        <w:tc>
          <w:tcPr>
            <w:tcW w:w="35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investment</w:t>
            </w:r>
          </w:p>
        </w:tc>
        <w:tc>
          <w:tcPr>
            <w:tcW w:w="140" w:type="dxa"/>
            <w:vAlign w:val="bottom"/>
            <w:tcBorders>
              <w:bottom w:val="single" w:sz="8" w:color="DBDBDB"/>
            </w:tcBorders>
            <w:shd w:val="clear" w:color="auto" w:fill="DBDBDB"/>
          </w:tcPr>
          <w:p>
            <w:pPr>
              <w:spacing w:after="0"/>
              <w:rPr>
                <w:sz w:val="19"/>
                <w:szCs w:val="19"/>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(381)</w:t>
            </w:r>
          </w:p>
        </w:tc>
        <w:tc>
          <w:tcPr>
            <w:tcW w:w="10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DBDBDB"/>
            </w:tcBorders>
            <w:shd w:val="clear" w:color="auto" w:fill="DBDBDB"/>
          </w:tcPr>
          <w:p>
            <w:pPr>
              <w:spacing w:after="0"/>
              <w:rPr>
                <w:sz w:val="19"/>
                <w:szCs w:val="19"/>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(275)</w:t>
            </w:r>
          </w:p>
        </w:tc>
        <w:tc>
          <w:tcPr>
            <w:tcW w:w="10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(0.2)%</w:t>
            </w:r>
          </w:p>
        </w:tc>
        <w:tc>
          <w:tcPr>
            <w:tcW w:w="8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DBDBDB"/>
            </w:tcBorders>
            <w:shd w:val="clear" w:color="auto" w:fill="DBDBDB"/>
          </w:tcPr>
          <w:p>
            <w:pPr>
              <w:spacing w:after="0"/>
              <w:rPr>
                <w:sz w:val="19"/>
                <w:szCs w:val="19"/>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(588)</w:t>
            </w:r>
          </w:p>
        </w:tc>
        <w:tc>
          <w:tcPr>
            <w:tcW w:w="10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DBDBDB"/>
            </w:tcBorders>
            <w:shd w:val="clear" w:color="auto" w:fill="DBDBDB"/>
          </w:tcPr>
          <w:p>
            <w:pPr>
              <w:spacing w:after="0"/>
              <w:rPr>
                <w:sz w:val="19"/>
                <w:szCs w:val="19"/>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(398)</w:t>
            </w:r>
          </w:p>
        </w:tc>
        <w:tc>
          <w:tcPr>
            <w:tcW w:w="10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35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 (income) loss, net</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43"/>
        </w:trPr>
        <w:tc>
          <w:tcPr>
            <w:tcW w:w="35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17,384</w:t>
            </w:r>
          </w:p>
        </w:tc>
        <w:tc>
          <w:tcPr>
            <w:tcW w:w="10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10.3 %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17,439</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11.6 %</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25,876</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8.0 %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24,253</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8.5 %</w:t>
            </w:r>
          </w:p>
        </w:tc>
      </w:tr>
      <w:tr>
        <w:trPr>
          <w:trHeight w:val="223"/>
        </w:trPr>
        <w:tc>
          <w:tcPr>
            <w:tcW w:w="356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6,523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6,097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13,966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12,196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4.3 %</w:t>
            </w:r>
          </w:p>
        </w:tc>
      </w:tr>
      <w:tr>
        <w:trPr>
          <w:trHeight w:val="33"/>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560" w:type="dxa"/>
            <w:vAlign w:val="bottom"/>
            <w:shd w:val="clear" w:color="auto" w:fill="DBDBDB"/>
          </w:tcPr>
          <w:p>
            <w:pPr>
              <w:ind w:left="220"/>
              <w:spacing w:after="0"/>
              <w:rPr>
                <w:sz w:val="20"/>
                <w:szCs w:val="20"/>
                <w:color w:val="auto"/>
              </w:rPr>
            </w:pPr>
            <w:r>
              <w:rPr>
                <w:rFonts w:ascii="Arial" w:cs="Arial" w:eastAsia="Arial" w:hAnsi="Arial"/>
                <w:sz w:val="16"/>
                <w:szCs w:val="16"/>
                <w:color w:val="auto"/>
              </w:rPr>
              <w:t>Tax Receivable Agreement liability adjustment</w:t>
            </w: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(579)</w:t>
            </w:r>
          </w:p>
        </w:tc>
        <w:tc>
          <w:tcPr>
            <w:tcW w:w="10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(1,754)</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(1,163)</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(1,754)</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(0.6)%</w:t>
            </w:r>
          </w:p>
        </w:tc>
      </w:tr>
      <w:tr>
        <w:trPr>
          <w:trHeight w:val="224"/>
        </w:trPr>
        <w:tc>
          <w:tcPr>
            <w:tcW w:w="3560" w:type="dxa"/>
            <w:vAlign w:val="bottom"/>
          </w:tcPr>
          <w:p>
            <w:pPr>
              <w:ind w:left="240"/>
              <w:spacing w:after="0"/>
              <w:rPr>
                <w:sz w:val="20"/>
                <w:szCs w:val="20"/>
                <w:color w:val="auto"/>
              </w:rPr>
            </w:pPr>
            <w:r>
              <w:rPr>
                <w:rFonts w:ascii="Arial" w:cs="Arial" w:eastAsia="Arial" w:hAnsi="Arial"/>
                <w:sz w:val="16"/>
                <w:szCs w:val="16"/>
                <w:color w:val="auto"/>
              </w:rPr>
              <w:t>Loss on debt extinguishment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3,465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3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5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4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11,440</w:t>
            </w:r>
          </w:p>
        </w:tc>
        <w:tc>
          <w:tcPr>
            <w:tcW w:w="10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6.8 %</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13,096</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8.7 %</w:t>
            </w: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9,608</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13,811</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4.8 %</w:t>
            </w:r>
          </w:p>
        </w:tc>
      </w:tr>
      <w:tr>
        <w:trPr>
          <w:trHeight w:val="236"/>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w:t>
            </w: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2,340</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2,505</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r>
      <w:tr>
        <w:trPr>
          <w:trHeight w:val="237"/>
        </w:trPr>
        <w:tc>
          <w:tcPr>
            <w:tcW w:w="3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NET INCOME</w:t>
            </w:r>
          </w:p>
        </w:tc>
        <w:tc>
          <w:tcPr>
            <w:tcW w:w="140" w:type="dxa"/>
            <w:vAlign w:val="bottom"/>
            <w:tcBorders>
              <w:bottom w:val="single" w:sz="8" w:color="DBDBDB"/>
            </w:tcBorders>
            <w:shd w:val="clear" w:color="auto" w:fill="DBDBDB"/>
          </w:tcPr>
          <w:p>
            <w:pPr>
              <w:spacing w:after="0"/>
              <w:rPr>
                <w:sz w:val="20"/>
                <w:szCs w:val="20"/>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9,898</w:t>
            </w:r>
          </w:p>
        </w:tc>
        <w:tc>
          <w:tcPr>
            <w:tcW w:w="10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5.9 %</w:t>
            </w:r>
          </w:p>
        </w:tc>
        <w:tc>
          <w:tcPr>
            <w:tcW w:w="10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10,756</w:t>
            </w:r>
          </w:p>
        </w:tc>
        <w:tc>
          <w:tcPr>
            <w:tcW w:w="10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7.1 %</w:t>
            </w:r>
          </w:p>
        </w:tc>
        <w:tc>
          <w:tcPr>
            <w:tcW w:w="8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8,625</w:t>
            </w:r>
          </w:p>
        </w:tc>
        <w:tc>
          <w:tcPr>
            <w:tcW w:w="10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11,306</w:t>
            </w:r>
          </w:p>
        </w:tc>
        <w:tc>
          <w:tcPr>
            <w:tcW w:w="10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4.0 %</w:t>
            </w:r>
          </w:p>
        </w:tc>
      </w:tr>
      <w:tr>
        <w:trPr>
          <w:trHeight w:val="206"/>
        </w:trPr>
        <w:tc>
          <w:tcPr>
            <w:tcW w:w="356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7"/>
        </w:trPr>
        <w:tc>
          <w:tcPr>
            <w:tcW w:w="356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3,110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5,645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3.7 %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2,351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6,001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2.1 %</w:t>
            </w:r>
          </w:p>
        </w:tc>
      </w:tr>
      <w:tr>
        <w:trPr>
          <w:trHeight w:val="33"/>
        </w:trPr>
        <w:tc>
          <w:tcPr>
            <w:tcW w:w="3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1"/>
        </w:trPr>
        <w:tc>
          <w:tcPr>
            <w:tcW w:w="35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NET INCOME ATTRIBUTABLE TO</w:t>
            </w:r>
          </w:p>
        </w:tc>
        <w:tc>
          <w:tcPr>
            <w:tcW w:w="14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r>
      <w:tr>
        <w:trPr>
          <w:trHeight w:val="250"/>
        </w:trPr>
        <w:tc>
          <w:tcPr>
            <w:tcW w:w="35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PORTILLO'S INC.</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6,788</w:t>
            </w:r>
          </w:p>
        </w:tc>
        <w:tc>
          <w:tcPr>
            <w:tcW w:w="10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4.0 %</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5,111</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3.4 %</w:t>
            </w:r>
          </w:p>
        </w:tc>
        <w:tc>
          <w:tcPr>
            <w:tcW w:w="22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6,274</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1.9 %</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5,305</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1.9 %</w:t>
            </w:r>
          </w:p>
        </w:tc>
      </w:tr>
      <w:tr>
        <w:trPr>
          <w:trHeight w:val="20"/>
        </w:trPr>
        <w:tc>
          <w:tcPr>
            <w:tcW w:w="3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Revenues, Net</w:t>
      </w:r>
    </w:p>
    <w:p>
      <w:pPr>
        <w:spacing w:after="0" w:line="2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Revenues primarily represent the aggregate sales of food and beverages, net of discounts. Sales taxes collected from customers are excluded from revenues. Revenues in any period are directly influenced by the number of operating weeks in the period, the number of open restaurants, restaurant traffic, our menu prices, third-party delivery platform prices and product mix.</w:t>
      </w:r>
    </w:p>
    <w:p>
      <w:pPr>
        <w:spacing w:after="0" w:line="197"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Revenues for the quarter ended June 25, 2023 were $169.2 million compared to $150.6 million for the quarter ended June 26, 2022, an increase of $18.6 million or 12.3%. The increase in revenues was primarily attributed to the opening of two restaurants in the second through fourth quarters of 2022 and four restaurants during the two quarters ended June 25, 2023 and an increase in our same-restaurant sales. New restaurants positively impacted revenues by approximately $10.4 million in the quarter ended June 25, 2023. Same-restaurant sales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increased 5.9% during the second quarter ended June 25, 2023, which was attributable to an increase in average check of 7.1% and partially offset by 1.2% decrease in transactions. The higher average check was driven by an approximate 9.9% increase in certain menu prices</w:t>
      </w:r>
    </w:p>
    <w:p>
      <w:pPr>
        <w:spacing w:after="0" w:line="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partially offset by product mix. For the purpose of calculating same-restaurant sales for June 25, 2023, sales for the 66 restaurants that were open for at least 24 full fiscal periods were included in the Comparable Restaurant Base (as defined in "Selected Operating Data" below).</w:t>
      </w:r>
    </w:p>
    <w:p>
      <w:pPr>
        <w:sectPr>
          <w:pgSz w:w="11900" w:h="16838" w:orient="portrait"/>
          <w:cols w:equalWidth="0" w:num="1">
            <w:col w:w="11240"/>
          </w:cols>
          <w:pgMar w:left="320" w:top="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Revenues for the two quarters ended June 25, 2023 were $325.2 million compared to $285.1 million for the two quarters ended June 26, 2022, an increase of $40.1 million or 14.1%. The increase in revenues was primarily attributed to the opening of three restaurants in 2022 and four restaurants during the two quarters ended June 25, 2023 and an increase in our same-restaurant sales. The new restaurants positively impacted revenues by approximately $20.9 million in the two quarters ended June 25, 2023. Same-restaurant sales increased</w:t>
      </w:r>
    </w:p>
    <w:p>
      <w:pPr>
        <w:spacing w:after="0" w:line="1"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7.4% during the two quarters ended June 25, 2023, which was attributable to an increase in average check of 7.1% and a 0.3% increase in transactions. The higher average check was primarily driven by an approximate 9.6% increase in menu prices partially offset by product mix.</w:t>
      </w:r>
    </w:p>
    <w:p>
      <w:pPr>
        <w:spacing w:after="0" w:line="1"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During mid-January 2023 and at the beginning of May 2023, we increased certain menu prices to reflect an approximate 2.0% and 3.0% price increase, respectively, to continue to combat inflationary cost pressures and progress towards our goal to improve Restaurant-Level</w:t>
      </w:r>
    </w:p>
    <w:p>
      <w:pPr>
        <w:spacing w:after="0" w:line="1" w:lineRule="exact"/>
        <w:rPr>
          <w:sz w:val="20"/>
          <w:szCs w:val="20"/>
          <w:color w:val="auto"/>
        </w:rPr>
      </w:pPr>
    </w:p>
    <w:p>
      <w:pPr>
        <w:ind w:right="900"/>
        <w:spacing w:after="0" w:line="246" w:lineRule="auto"/>
        <w:rPr>
          <w:sz w:val="20"/>
          <w:szCs w:val="20"/>
          <w:color w:val="auto"/>
        </w:rPr>
      </w:pPr>
      <w:r>
        <w:rPr>
          <w:rFonts w:ascii="Arial" w:cs="Arial" w:eastAsia="Arial" w:hAnsi="Arial"/>
          <w:sz w:val="18"/>
          <w:szCs w:val="18"/>
          <w:color w:val="auto"/>
        </w:rPr>
        <w:t>Adjusted EBITDA margins for fiscal 2023. For the purpose of calculating same-restaurant sales for June 25, 2023, sales for the 66 restaurants that were open for at least 24 full fiscal periods were included in the Comparable Restaurant Base.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Food, Beverage and Packaging Costs</w:t>
      </w:r>
    </w:p>
    <w:p>
      <w:pPr>
        <w:spacing w:after="0" w:line="27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Food, beverage and packaging costs include the direct costs associated with food and beverages, including paper products and third-party delivery commissions. The components of food, beverage and packaging costs are variable by nature, change with sales volume, are impacted by product mix and are subject to increases or decreases in commodity costs</w:t>
      </w:r>
      <w:r>
        <w:rPr>
          <w:rFonts w:ascii="Arial" w:cs="Arial" w:eastAsia="Arial" w:hAnsi="Arial"/>
          <w:sz w:val="18"/>
          <w:szCs w:val="18"/>
          <w:i w:val="1"/>
          <w:iCs w:val="1"/>
          <w:color w:val="auto"/>
        </w:rPr>
        <w:t>.</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Food, beverage and packaging costs for the quarter ended June 25, 2023 was $56.2 million compared to $51.8 million for the quarter ended June 26, 2022, an increase of $4.5 million or 8.6%. This increase was primarily driven by a 5.5% increase in commodity prices and the opening of two restaurants in the second through fourth quarters of 2022 and four restaurants during the two quarters ended June 25, 2023, partially offset by lower third-party delivery commissions. As a percentage of revenues net, food, beverage and packaging costs decreased</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1.2% during the quarter ended June 25, 2023. The decrease was primarily due to an increase in average check and lower third-party delivery commissions, partially offset by an increase in certain commodity prices.</w:t>
      </w:r>
    </w:p>
    <w:p>
      <w:pPr>
        <w:spacing w:after="0" w:line="21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Food, beverage and packaging costs for the two quarters ended June 25, 2023 was $109.9 million compared to $98.0 million for the two quarters ended June 26, 2022, an increase of $11.8 million or 12.1%. This increase was primarily driven by a 7.1% increase in commodity prices and the opening of three restaurants in 2022 and four restaurants during the two quarters ended June 25, 2023, partially offset by lower third-party delivery commissions. As a percentage of revenues, net, food, beverage and packaging costs decreased 0.6% during the two quarters ended June 25, 2023. The decrease was primarily due to an increase in average check and lower third-party delivery commissions, partially offset by an increase in certain commodity prices.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Labor Expenses</w:t>
      </w:r>
    </w:p>
    <w:p>
      <w:pPr>
        <w:spacing w:after="0" w:line="25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Labor expenses include hourly and management wages, bonuses and equity-based compensation, payroll taxes, workers’ compensation expense, and team member benefits. Factors that influence labor costs include wage inflation and payroll tax legislation, health care costs and the staffing needs of our restaurants</w:t>
      </w:r>
      <w:r>
        <w:rPr>
          <w:rFonts w:ascii="Arial" w:cs="Arial" w:eastAsia="Arial" w:hAnsi="Arial"/>
          <w:sz w:val="18"/>
          <w:szCs w:val="18"/>
          <w:i w:val="1"/>
          <w:iCs w:val="1"/>
          <w:color w:val="auto"/>
        </w:rPr>
        <w:t>.</w:t>
      </w:r>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Labor expenses for the quarter ended June 25, 2023 were $43.2 million compared to $37.9 million for the quarter ended June 26, 2022, an increase of $5.2 million or 13.8%. This increase was primarily driven by the opening of two restaurants in the second through the fourth quarter of 2022 and four restaurants during the two quarters ended June 25, 2023, and incremental investments to support our team members, including annual rate increases primarily made in July 2022, and higher variable-based compensation. As a percentage of revenues, net, labor increased 0.3% primarily due to the aforementioned incremental wage rate increases to support our team members and higher labor utilization, partially offset by the increase in our average check.</w:t>
      </w:r>
    </w:p>
    <w:p>
      <w:pPr>
        <w:spacing w:after="0" w:line="21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Labor expenses for the two quarters ended June 25, 2023 were $83.6 million compared to $75.2 million for the two quarters ended June 26, 2022, an increase of $ 8.4 million or 11.2%. This increase was primarily driven by the opening of three restaurants in 2022 and four restaurants during the two quarters ended June 25, 2023, incremental investments to support our team members, including annual rate increases primarily made in July 2022 and higher variable-based compensation. As a percentage of revenues, net, labor decreased 0.7% primarily due to an increase in our average check, partially offset by the aforementioned incremental hourly rate increases to support our team members.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Occupancy Expenses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expenses primarily consist of rent, property insurance and property taxes.</w:t>
      </w:r>
    </w:p>
    <w:p>
      <w:pPr>
        <w:spacing w:after="0" w:line="25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Occupancy expenses for the quarter ended June 25, 2023 were $8.2 million compared to $7.4 million for the quarter ended June 26, 2022, an increase of $ 0.9 million or 11.6%, primarily driven by the opening of two restaurants in the second through fourth quarters of 2022 and four restaurants during the two quarters ended June 25, 2023. As a percentage of revenues, net, occupancy expenses were flat compared to the quarter ended June 26, 2022.</w:t>
      </w:r>
    </w:p>
    <w:p>
      <w:pPr>
        <w:spacing w:after="0" w:line="21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Occupancy expenses for the two quarters ended June 25, 2023 were $16.7 million compared to $15.1 million for the two quarters ended June 26, 2022, an increase of $1.6 million or 10.3%, primarily driven by the opening of three restaurants in 2022 and four restaurants during the two quarters ended June 25, 2023. As a percentage of revenues, net, occupancy expenses slightly decreased 0.2% primarily due to an increase in our average check.</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Other Operating Expenses</w:t>
      </w:r>
    </w:p>
    <w:p>
      <w:pPr>
        <w:spacing w:after="0" w:line="25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Other operating expenses consist of direct marketing expenses, utilities and other operating expenses incidental to operating our restaurants, such as credit card fees and repairs and maintenance.</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Other operating expenses for the quarter ended June 25, 2023 were $18.8 million compared to $15.2 million for the quarter ended June 26, 2022, an increase of $3.7 million or 24.1%, primarily due to an increase in credit card fees, repair and maintenance expenses, insurance, and utilities, and the opening of two restaurants in the second through fourth quarters of 2022 and four restaurants during the two quarters ended June 25, 2023. As a percentage of revenues, net, operating expenses increased 1.0% due primarily to the aforementioned increases in expenses, partially offset by increases in our average check.</w:t>
      </w:r>
    </w:p>
    <w:p>
      <w:pPr>
        <w:spacing w:after="0" w:line="21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Other operating expenses for the two quarters ended June 25, 2023 were $37.5 million compared to $30.3 million for the two quarters ended June 26, 2022, an increase of $7.2 million or 23.7%, primarily due to an increase in repair and maintenance expenses, credit card fees, operating supplies, insurance, advertising and utilities, and the opening of three restaurants in 2022 and four restaurants during the two quarters ended June 25, 2023. As a percentage of revenues, net, operating expenses increased 0.9% due primarily to the aforementioned increases in expenses, partially offset by increases in our average check and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General and Administrative Expenses</w:t>
      </w:r>
    </w:p>
    <w:p>
      <w:pPr>
        <w:spacing w:after="0" w:line="271"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and professional fees. General and administrative expenses also include equity-based compensation expense. General and administrative expenses are impacted by changes in our team member count and costs related to strategic and growth initiatives.</w:t>
      </w:r>
    </w:p>
    <w:p>
      <w:pPr>
        <w:spacing w:after="0" w:line="2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General and administrative expenses for the quarter ended June 25, 2023 were $19.6 million compared to $15.4 million for the quarter ended June 26, 2022, an increase of $4.2 million or 27.0%. This increase was primarily driven by increases in variable-based compensation, salaries and wages attributable to annual rate increases, the filling of open positions, professional and licensing fees.</w:t>
      </w:r>
    </w:p>
    <w:p>
      <w:pPr>
        <w:spacing w:after="0" w:line="211"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General and administrative expenses for the two quarters ended June 25, 2023 were $ 38.4 million compared to $31.1 million for the two quarters ended June 26, 2022, an increase of $7.3 million or 23.3%. This increase was primarily driven by increases in variable-based compensation, salaries and wages attributable to annual rate increases, the filling of open positions, professional and licensing fees, and advertising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Pre-Opening Expenses</w:t>
      </w:r>
    </w:p>
    <w:p>
      <w:pPr>
        <w:spacing w:after="0" w:line="2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Pre-opening expenses consist primarily of wages, occupancy expenses, which represent rent expense recognized during the period between the date of possession of the restaurant facility and the restaurant opening date, travel for the opening team and other supporting team members, food, beverage, and the initial stocking of operating supplies. All such costs incurred prior to the opening are expensed in the period in which the expense was incurred. Pre-opening expenses can fluctuate significantly from period to period, based on the number and timing of openings and the specific pre-opening expenses incurred for each restaurant. Additionally, restaurant openings in new geographic market areas will experience higher pre-opening expenses than our established geographic market areas, such as the Chicagoland area, where we have greater economies of scale and incur lower travel and lodging costs for our training team.</w:t>
      </w:r>
    </w:p>
    <w:p>
      <w:pPr>
        <w:spacing w:after="0" w:line="22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Pre-opening expenses for the quarter ended June 25, 2023 were $0.3 million compared to $0.4 million for the quarter ended June 26, 2022, a decrease of $0.1 million or 35.0%. The decrease was due to the timing and geographic location of activities related to our planned restaurant openings for the quarter ended June 25, 2023 as compared to the quarter ended June 26, 2022.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Pre-opening expenses for the two quarters ended June 25, 2023 were $2.6 million compared to $1.0 million for the two quarters ended June 26, 2022, an increase of $1.6 million or 167.5%. This increase was due to the timing and geographic location of restaurant openings in the first two quarters of 2023 versus 2022.</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Depreciation and Amortization</w:t>
      </w:r>
    </w:p>
    <w:p>
      <w:pPr>
        <w:spacing w:after="0" w:line="257"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color w:val="auto"/>
        </w:rPr>
        <w:t>Depreciation and amortization expenses consist of the depreciation of fixed assets, including leasehold improvements, fixtures and equipment and the amortization of definite-lived intangible assets, which are primarily comprised of recipes.</w:t>
      </w:r>
    </w:p>
    <w:p>
      <w:pPr>
        <w:spacing w:after="0" w:line="20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Depreciation and amortization expense for the quarter ended June 25, 2023 was $5.9 million compared to $5.3 million for the quarter ended June 26, 2022, an increase of $0.6 million or 11.9%. This increase was primarily attributable to incremental depreciation of capital expenditures related to the opening of two restaurants in the second through fourth quarters of 2022 and four restaurants during the two quarters ended June 25, 2023.</w:t>
      </w:r>
    </w:p>
    <w:p>
      <w:pPr>
        <w:spacing w:after="0" w:line="2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Depreciation and amortization expense for the two quarters ended June 25, 2023 was $11.6 million compared to $10.5 million for the two quarters ended June 26, 2022, an increase of $1.1 million or 10.4%. This increase was primarily attributable to incremental depreciation of capital expenditures related to the opening of three restaurants in 2022 and four restaurants during the two quarters ended June 25, 2023.</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Net Income Attributable to Equity Method Investment</w:t>
      </w:r>
    </w:p>
    <w:p>
      <w:pPr>
        <w:spacing w:after="0" w:line="2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income attributable to equity method investment consists of a 50% interest in C&amp;O, which runs a single restaurant located within the Chicagoland market. We account for the investment and financial results in the condensed consolidated financial statements under the equity method of accounting as we have significant influence but do not have control.</w:t>
      </w:r>
    </w:p>
    <w:p>
      <w:pPr>
        <w:spacing w:after="0" w:line="2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Net income attributable to equity method investment for the quarter ended June 25, 2023 was $0.4 million compared to $0.3 million for the quarter ended June 26, 2022, an increase of $0.1 million or 38.5%. This increase was primarily driven by increased revenue, which is attributable to increases in average check, partially offset by a decrease in transactions.</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Net income attributable to equity method investment for the two quarters ended June 25, 2023 was $0.6 million compared to $0.4 million for the two quarters ended June 26, 2022. This increase was primarily driven by increased revenue, which is attributable to an increase in average check, partially offset by a decrease in transactions.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Other (Income) Loss, Net</w:t>
      </w:r>
    </w:p>
    <w:p>
      <w:pPr>
        <w:spacing w:after="0" w:line="25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Other (income) loss, net includes, among other items, income resulting from discounts received for timely filing of sales tax returns, management fee income associated with our investment in C&amp;O, trading gains or losses on our deferred compensation plan and gains or losses on asset disposals.</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Other income, net for the quarter ended June 25, 2023 was $0.1 million compared to other loss, net of $0.1 million for the quarter ended June 26, 2022, an increase of $0.1 million or 290.2%. This increase was primarily due to an increase in trading gains in the rabbi trust used to fund our deferred compensation plan, partially offset by an increase in loss on sale of assets.</w:t>
      </w:r>
    </w:p>
    <w:p>
      <w:pPr>
        <w:sectPr>
          <w:pgSz w:w="11900" w:h="16838" w:orient="portrait"/>
          <w:cols w:equalWidth="0" w:num="1">
            <w:col w:w="11240"/>
          </w:cols>
          <w:pgMar w:left="320" w:top="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Other income, net for the two quarters ended June 25, 2023 was $0.4 million compared to $ 0.1 million for the two quarters ended June 26, 2022, an increase of $0.2 million or 237.1%. This increase was primarily due to an increase in trading gains in the rabbi trust used to fund our deferred compensation plan, partially offset by an increase in loss on sale of assets.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Interest Expense</w:t>
      </w:r>
    </w:p>
    <w:p>
      <w:pPr>
        <w:spacing w:after="0" w:line="27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Interest expense primarily consists of interest and fees on our credit facilities and the amortization expense for debt discount and deferred issuance costs.</w:t>
      </w:r>
    </w:p>
    <w:p>
      <w:pPr>
        <w:spacing w:after="0" w:line="201"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color w:val="auto"/>
        </w:rPr>
        <w:t>Interest expense for the quarter ended June 25, 2023 was $6.5 million compared to $6.1 million for the quarter ended June 26, 2022, an increase of $0.4 million or 7.0%. This increase was primarily driven by a higher effective interest rate attributable to the year over year rising interest rate environment, partially offset by the improved lending terms associated with our 2023 Term Loan and 2023 Revolver Facility.</w:t>
      </w:r>
    </w:p>
    <w:p>
      <w:pPr>
        <w:spacing w:after="0" w:line="195"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color w:val="auto"/>
        </w:rPr>
        <w:t>Interest expense for the two quarters ended June 25, 2023 was $14.0 million compared to $12.2 million for the two quarters ended June 26, 2022, an increase of $1.8 million or 14.5%. This increase was primarily driven by a higher effective interest rate attributable to the year over year rising interest rate environment, partially offset by the improved lending terms associated with our 2023 Term Loan and 2023 Revolver Facility.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interest rate was 8.16% and 7.38% as of June 25, 2023 and June 26, 2022,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 Liability Adjustment</w:t>
      </w:r>
    </w:p>
    <w:p>
      <w:pPr>
        <w:spacing w:after="0" w:line="257" w:lineRule="exact"/>
        <w:rPr>
          <w:sz w:val="20"/>
          <w:szCs w:val="20"/>
          <w:color w:val="auto"/>
        </w:rPr>
      </w:pPr>
    </w:p>
    <w:p>
      <w:pPr>
        <w:ind w:right="40"/>
        <w:spacing w:after="0" w:line="306" w:lineRule="auto"/>
        <w:rPr>
          <w:sz w:val="20"/>
          <w:szCs w:val="20"/>
          <w:color w:val="auto"/>
        </w:rPr>
      </w:pPr>
      <w:r>
        <w:rPr>
          <w:rFonts w:ascii="Arial" w:cs="Arial" w:eastAsia="Arial" w:hAnsi="Arial"/>
          <w:sz w:val="17"/>
          <w:szCs w:val="17"/>
          <w:color w:val="auto"/>
        </w:rPr>
        <w:t>We are party to a Tax Receivable Agreement liability with certain members of Portillo's OpCo that provides for the payment by us of 85% of the amount of tax benefits, if any, that Portillo's Inc. actually realizes or in some cases is deemed to realize as a result of certain transactions.</w:t>
      </w:r>
    </w:p>
    <w:p>
      <w:pPr>
        <w:spacing w:after="0" w:line="17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tax receivable agreement liability adjustment was $0.6 million for the quarter ended June 25, 2023 and $1.2 million for the two quarters ended June 25, 2023 related to a remeasurement primarily due to option exercises. The tax receivable agreement liability adjustment was $1.8 million for the quarter and two quarters ended June 26, 2022.</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Loss on Debt Extinguishment</w:t>
      </w:r>
    </w:p>
    <w:p>
      <w:pPr>
        <w:spacing w:after="0" w:line="27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Loss on debt extinguishment for the two quarters ended June 25, 2023 was $ 3.5 million due to the write-off of debt discount and deferred issuance costs of associated with the payoff of the 2014 Credit Agreement as described in Note 8. Debt. There was no loss on debt extinguishment for the quarter ended June 25, 2023 and the quarter and two quarters ended June 26, 2022.</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Income Tax Expense</w:t>
      </w:r>
    </w:p>
    <w:p>
      <w:pPr>
        <w:spacing w:after="0" w:line="25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Portillo's OpCo is treated as a partnership for U.S. federal, as well as state and local income tax purposes and is not subject to taxes. Rather, any taxable income or loss generated by Portillo's OpCo is allocated to its members in relation to their respective ownership percentage of Portillo's OpCo. We are subject to U.S. federal, as well as state and local income taxes with respect to our allocable share of any taxable income or loss of Portillo's OpCo, as well as any stand-alone income or loss generated by Portillo's Inc.</w:t>
      </w:r>
    </w:p>
    <w:p>
      <w:pPr>
        <w:spacing w:after="0" w:line="2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Income tax expense for the quarter ended June 25, 2023 was $ 1.5 million compared to income tax expense of $2.3 million for the quarter ended June 26, 2022, a decrease of $0.8 million or 34.1%. Our effective income tax rate for the quarter ended June 25, 2023 was 13.5%, compared to 17.9% for the quarter ended June 26, 2022. The decrease in our effective income tax rate for the quarter ended June 25, 2023 compared to the quarter ended June 26, 2022 was primarily driven by the recording of net operating loss carryforwards, partially offset by an increase in the Company's ownership interest in Portillo's OpCo, which increases its share of taxable income (loss) of Portillo's OpCo.</w:t>
      </w:r>
    </w:p>
    <w:p>
      <w:pPr>
        <w:spacing w:after="0" w:line="2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Income tax expense for the two quarters ended June 25, 2023 was $1.0 million compared to income tax expense of $ 2.5 million for the two quarters ended June 26, 2022, a decrease of $1.5 million or 60.8%. Our effective income tax rate for the two quarters ended June 25, 2023 was 10.2%, compared to 18.1% for the two quarters ended June 26, 2022. The decrease in our effective income tax rate for the two quarters ended June 25, 2023 compared to the two quarters ended June 26, 2022 was primarily driven by the recording of net operating loss carryforwards, partially offset by an increase in the Company's ownership interest in Portillo's OpCo, which increases its share of taxable income (loss) of Portillo's OpCo.</w:t>
      </w:r>
    </w:p>
    <w:p>
      <w:pPr>
        <w:sectPr>
          <w:pgSz w:w="11900" w:h="16838" w:orient="portrait"/>
          <w:cols w:equalWidth="0" w:num="1">
            <w:col w:w="11240"/>
          </w:cols>
          <w:pgMar w:left="320" w:top="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Net Income Attributable to Non-controlling Interests</w:t>
      </w:r>
    </w:p>
    <w:p>
      <w:pPr>
        <w:spacing w:after="0" w:line="2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the sole managing member of Portillo's OpCo. We manage and operate the business and control the strategic decisions and day-to-day operations of Portillo’s OpCo and we also have a substantial financial interest in Portillo’s OpCo. Accordingly, we consolidate the financial results of Portillo’s OpCo, and a portion of our net income is allocated to non-controlling interests to reflect the entitlement of the pre-IPO LLC Members who retained their equity ownership in Portillo's OpCo (the "pre-IPO LLC Members"). The weighted average ownership percentages for the applicable reporting periods are used to attribute net income (loss) to Portillo's Inc. and the non-controlling interest holders.</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income attributable to non-controlling interests for the quarter ended June 25, 2023 was $3.1 million, compared to net income attributable to non-controlling interests of $5.6 million for the quarter ended June 26, 2022, a decrease of $2.5 million or 44.9%. The decrease in net income attributable to non -controlling interests for the quarter ended June 25, 2023 was primarily due to a decrease in the non-controlling interest holders' weighted average ownership, from 49.8% for the quarter ended June 26, 2022 to 24.2% for the quarter ended June 25, 2023 and by a decrease in net income compared to the quarter ended June 26, 2022.</w:t>
      </w:r>
    </w:p>
    <w:p>
      <w:pPr>
        <w:spacing w:after="0" w:line="21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income attributable to non-controlling interests for the two quarters ended June 25, 2023 was $2.4 million, compared to net income attributable to non-controlling interest of $6.0 million for the two quarters ended June 26, 2022, a decrease of $3.7 million or 60.8%. The decrease in net income attributable to non-controlling interests for the two quarters ended June 25, 2023 was primarily due to a decrease in the non-controlling interest holders' weighted average ownership, from 49.8% for the two quarters ended June 26, 2022 to 27.8% for the two quarters ended June 25, 2023 and by a decrease in net income compared to the two quarters ended June 26, 2022.</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Key Performance Indicators and Non-GAAP Financial Measures</w:t>
      </w:r>
    </w:p>
    <w:p>
      <w:pPr>
        <w:spacing w:after="0" w:line="25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to the GAAP measures presented in our financial statements, we use the following key performance indicators and non-GAAP financial measures to evaluate our business, measure our performance, develop financial forecasts and make strategic decisions. These key measures include new restaurant openings, average unit volume ("AUV"), same-restaurant sales, Adjusted EBITDA, Adjusted EBITDA Margin, Restaurant-Level Adjusted EBITDA and Restaurant-Level Adjusted EBITDA Margin. The Company includes these measures because management believes that they are important to day-to-day operations and overall strategy and are useful to investors in that they provide for greater transparency with respect to supplemental information used by management in its financial and operational decision-making.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Two Quarters Ended</w:t>
            </w:r>
          </w:p>
        </w:tc>
      </w:tr>
      <w:tr>
        <w:trPr>
          <w:trHeight w:val="243"/>
        </w:trPr>
        <w:tc>
          <w:tcPr>
            <w:tcW w:w="4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June 25, 2023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June 26, 2022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June 26, 2022</w:t>
            </w:r>
          </w:p>
        </w:tc>
      </w:tr>
      <w:tr>
        <w:trPr>
          <w:trHeight w:val="21"/>
        </w:trPr>
        <w:tc>
          <w:tcPr>
            <w:tcW w:w="43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6"/>
        </w:trPr>
        <w:tc>
          <w:tcPr>
            <w:tcW w:w="4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Restaurants (a)</w:t>
            </w:r>
          </w:p>
        </w:tc>
        <w:tc>
          <w:tcPr>
            <w:tcW w:w="20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w:t>
            </w:r>
          </w:p>
        </w:tc>
      </w:tr>
      <w:tr>
        <w:trPr>
          <w:trHeight w:val="233"/>
        </w:trPr>
        <w:tc>
          <w:tcPr>
            <w:tcW w:w="4320" w:type="dxa"/>
            <w:vAlign w:val="bottom"/>
          </w:tcPr>
          <w:p>
            <w:pPr>
              <w:ind w:left="20"/>
              <w:spacing w:after="0"/>
              <w:rPr>
                <w:sz w:val="20"/>
                <w:szCs w:val="20"/>
                <w:color w:val="auto"/>
              </w:rPr>
            </w:pPr>
            <w:r>
              <w:rPr>
                <w:rFonts w:ascii="Arial" w:cs="Arial" w:eastAsia="Arial" w:hAnsi="Arial"/>
                <w:sz w:val="16"/>
                <w:szCs w:val="16"/>
                <w:color w:val="auto"/>
              </w:rPr>
              <w:t>AUV (in millions) (a)</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N/A</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8.8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8.3</w:t>
            </w:r>
          </w:p>
        </w:tc>
      </w:tr>
      <w:tr>
        <w:trPr>
          <w:trHeight w:val="246"/>
        </w:trPr>
        <w:tc>
          <w:tcPr>
            <w:tcW w:w="4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Change in same-restaurant sales (b)</w:t>
            </w:r>
          </w:p>
        </w:tc>
        <w:tc>
          <w:tcPr>
            <w:tcW w:w="20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5.9 %</w:t>
            </w:r>
          </w:p>
        </w:tc>
        <w:tc>
          <w:tcPr>
            <w:tcW w:w="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4.8 %</w:t>
            </w:r>
          </w:p>
        </w:tc>
      </w:tr>
      <w:tr>
        <w:trPr>
          <w:trHeight w:val="233"/>
        </w:trPr>
        <w:tc>
          <w:tcPr>
            <w:tcW w:w="4320" w:type="dxa"/>
            <w:vAlign w:val="bottom"/>
          </w:tcPr>
          <w:p>
            <w:pPr>
              <w:ind w:left="20"/>
              <w:spacing w:after="0"/>
              <w:rPr>
                <w:sz w:val="20"/>
                <w:szCs w:val="20"/>
                <w:color w:val="auto"/>
              </w:rPr>
            </w:pPr>
            <w:r>
              <w:rPr>
                <w:rFonts w:ascii="Arial" w:cs="Arial" w:eastAsia="Arial" w:hAnsi="Arial"/>
                <w:sz w:val="16"/>
                <w:szCs w:val="16"/>
                <w:color w:val="auto"/>
              </w:rPr>
              <w:t>Adjusted EBITDA (in thousands) (b)</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29,223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27,613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48,856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45,244</w:t>
            </w:r>
          </w:p>
        </w:tc>
      </w:tr>
      <w:tr>
        <w:trPr>
          <w:trHeight w:val="246"/>
        </w:trPr>
        <w:tc>
          <w:tcPr>
            <w:tcW w:w="4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Adjusted EBITDA Margin (b)</w:t>
            </w:r>
          </w:p>
        </w:tc>
        <w:tc>
          <w:tcPr>
            <w:tcW w:w="20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17.3 %</w:t>
            </w:r>
          </w:p>
        </w:tc>
        <w:tc>
          <w:tcPr>
            <w:tcW w:w="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18.3 %</w:t>
            </w: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15.0 %</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15.9 %</w:t>
            </w:r>
          </w:p>
        </w:tc>
      </w:tr>
      <w:tr>
        <w:trPr>
          <w:trHeight w:val="233"/>
        </w:trPr>
        <w:tc>
          <w:tcPr>
            <w:tcW w:w="4320" w:type="dxa"/>
            <w:vAlign w:val="bottom"/>
          </w:tcPr>
          <w:p>
            <w:pPr>
              <w:ind w:left="20"/>
              <w:spacing w:after="0"/>
              <w:rPr>
                <w:sz w:val="20"/>
                <w:szCs w:val="20"/>
                <w:color w:val="auto"/>
              </w:rPr>
            </w:pPr>
            <w:r>
              <w:rPr>
                <w:rFonts w:ascii="Arial" w:cs="Arial" w:eastAsia="Arial" w:hAnsi="Arial"/>
                <w:sz w:val="16"/>
                <w:szCs w:val="16"/>
                <w:color w:val="auto"/>
              </w:rPr>
              <w:t>Restaurant-Level Adjusted EBITDA (in thousands) (b)</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42,731</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38,386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77,550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66,369</w:t>
            </w:r>
          </w:p>
        </w:tc>
      </w:tr>
      <w:tr>
        <w:trPr>
          <w:trHeight w:val="253"/>
        </w:trPr>
        <w:tc>
          <w:tcPr>
            <w:tcW w:w="4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Restaurant-Level Adjusted EBITDA Margin (b)</w:t>
            </w: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25.3 %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25.5 %</w:t>
            </w: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23.8 %</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23.3 %</w:t>
            </w:r>
          </w:p>
        </w:tc>
      </w:tr>
    </w:tbl>
    <w:p>
      <w:pPr>
        <w:spacing w:after="0" w:line="84" w:lineRule="exact"/>
        <w:rPr>
          <w:sz w:val="20"/>
          <w:szCs w:val="20"/>
          <w:color w:val="auto"/>
        </w:rPr>
      </w:pPr>
    </w:p>
    <w:p>
      <w:pPr>
        <w:ind w:right="220" w:firstLine="8"/>
        <w:spacing w:after="0" w:line="258"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a restaurant that is owned by C&amp;O, of which Portillo’s owns 50% of the equity. AUVs for the quarters ended June 25, 2023 and June 26, 2022 represent AUVs for the twelve months ended June 25, 2023 and June 26, 2022, respectively. Total restaurants indicated are as of a point in time.</w:t>
      </w: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Excludes a restaurant that is owned by C&amp;O of which Portillo’s owns 50% of the equity.</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Change in Same-Restaurant Sales</w:t>
      </w:r>
    </w:p>
    <w:p>
      <w:pPr>
        <w:spacing w:after="0" w:line="271"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The change in same-restaurant sales is the percentage change in year-over-year revenue (excluding gift card breakage) for the comparable restaurant base, which is defined as the number of restaurants open for at least 24 full fiscal periods (the “Comparable Restaurant Base”). For the two quarters ended June 25, 2023 and June 26, 2022, there were 66 and 61 restaurants in our Comparable Restaurant Base, respectively. The Comparable Restaurant Base excludes a restaurant that is owned by C&amp;O, of which Portillo’s owns 50% of the equity.</w:t>
      </w:r>
    </w:p>
    <w:p>
      <w:pPr>
        <w:sectPr>
          <w:pgSz w:w="11900" w:h="16838" w:orient="portrait"/>
          <w:cols w:equalWidth="0" w:num="1">
            <w:col w:w="11240"/>
          </w:cols>
          <w:pgMar w:left="320" w:top="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 change in same-restaurant sales growth is the result of a change in restaurant transactions, average guest check, or a combination of the two. We gather daily sales data and regularly analyze the guest transaction counts and the mix of menu items sold to strategically evaluate menu pricing and demand. Measuring our same-restaurant sales growth allows management to evaluate the performance of our existing restaurant base. We believe this measure provides a consistent comparison of restaurant sales results and trends across periods within our core, established restaurant base, unaffected by results of restaurant openings and enables investors to better understand and evaluate the Company’s historical and prospective operating performance.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Average Unit Volume ("AUV")</w:t>
      </w:r>
    </w:p>
    <w:p>
      <w:pPr>
        <w:spacing w:after="0" w:line="27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AUV is the total revenue (excluding gift card breakage) recognized in the Comparable Restaurant Base, including C&amp;O, divided by the number of restaurants in the Comparable Restaurant Base, including C&amp;O, by period.</w:t>
      </w:r>
    </w:p>
    <w:p>
      <w:pPr>
        <w:spacing w:after="0" w:line="201"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This key performance indicator allows management to assess changes in consumer spending patterns at our restaurants and the overall performance of our restaurant base.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Non-GAAP Financial Measures</w:t>
      </w:r>
    </w:p>
    <w:p>
      <w:pPr>
        <w:spacing w:after="0" w:line="2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supplement the condensed consolidated financial statements, which are prepared and presented in accordance with GAAP, we use the following non-GAAP financial measures: Adjusted EBITDA and Adjusted EBITDA Margin, and Restaurant-Level Adjusted EBITDA and Restaurant-Level Adjusted EBITDA Margin. Accordingly, these measures are not required by, nor presented in accordance with GAAP, but rather are supplemental measures of operating performance of our restaurants. You should be aware that these measures are not indicative of overall results for the Company and that Restaurant-Level Adjusted EBITDA and Restaurant-Level Adjusted EBITDA Margin do not accrue directly to the benefit of stockholders because of corporate-level expenses excluded from such measures. These measures are supplemental measures of operating performance and our calculations thereof may not be comparable to similar measures reported by other companies. These measures are important measures to evaluate the performance and profitability of our restaurants, individually and in the aggregate, but also have important limitations as analytical tools and should not be considered in isolation as substitutes for analysis of our results as reported under GAAP.</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Adjusted EBITDA and Adjusted EBITDA Margin</w:t>
      </w:r>
    </w:p>
    <w:p>
      <w:pPr>
        <w:spacing w:after="0" w:line="27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Adjusted EBITDA represents net income before depreciation and amortization, interest expense and income taxes, adjusted for the impact of certain non-cash and other items that we do not consider in our evaluation of ongoing core operating performance as identified in the reconciliation of net income, the most directly comparable GAAP measure to Adjusted EBITDA. Adjusted EBITDA Margin represents Adjusted EBITDA as a percentage of total revenues.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We use Adjusted EBITDA and Adjusted EBITDA Margin (i) to evaluate our operating results and the effectiveness of our business strategies,</w:t>
      </w:r>
    </w:p>
    <w:p>
      <w:pPr>
        <w:spacing w:after="0" w:line="21" w:lineRule="exact"/>
        <w:rPr>
          <w:sz w:val="20"/>
          <w:szCs w:val="20"/>
          <w:color w:val="auto"/>
        </w:rPr>
      </w:pPr>
    </w:p>
    <w:p>
      <w:pPr>
        <w:ind w:right="880" w:firstLine="8"/>
        <w:spacing w:after="0" w:line="261" w:lineRule="auto"/>
        <w:tabs>
          <w:tab w:leader="none" w:pos="25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internally as benchmarks to compare our performance to that of our competitors and (iii) as factors in evaluating management’s performance when determining incentive compensation.</w:t>
      </w:r>
    </w:p>
    <w:p>
      <w:pPr>
        <w:spacing w:after="0" w:line="213"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We believe that Adjusted EBITDA and Adjusted EBITDA Margin are important measures of operating performance because they eliminate the impact of expenses that do not relate to our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income to Adjusted EBITDA and Adjusted EBITDA margin (in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Quarter Ended</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Two Quarters Ended</w:t>
            </w:r>
          </w:p>
        </w:tc>
      </w:tr>
      <w:tr>
        <w:trPr>
          <w:trHeight w:val="243"/>
        </w:trPr>
        <w:tc>
          <w:tcPr>
            <w:tcW w:w="4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June 25, 2023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June 26, 2022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June 26, 2022</w:t>
            </w:r>
          </w:p>
        </w:tc>
      </w:tr>
      <w:tr>
        <w:trPr>
          <w:trHeight w:val="21"/>
        </w:trPr>
        <w:tc>
          <w:tcPr>
            <w:tcW w:w="42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7"/>
        </w:trPr>
        <w:tc>
          <w:tcPr>
            <w:tcW w:w="4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9,898</w:t>
            </w:r>
          </w:p>
        </w:tc>
        <w:tc>
          <w:tcPr>
            <w:tcW w:w="32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10,756</w:t>
            </w:r>
          </w:p>
        </w:tc>
        <w:tc>
          <w:tcPr>
            <w:tcW w:w="32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8,625</w:t>
            </w:r>
          </w:p>
        </w:tc>
        <w:tc>
          <w:tcPr>
            <w:tcW w:w="30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11,306</w:t>
            </w:r>
          </w:p>
        </w:tc>
      </w:tr>
      <w:tr>
        <w:trPr>
          <w:trHeight w:val="223"/>
        </w:trPr>
        <w:tc>
          <w:tcPr>
            <w:tcW w:w="42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5,941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5,309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11,610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10,514</w:t>
            </w:r>
          </w:p>
        </w:tc>
      </w:tr>
      <w:tr>
        <w:trPr>
          <w:trHeight w:val="33"/>
        </w:trPr>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4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6,523</w:t>
            </w: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6,097</w:t>
            </w: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13,966</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12,196</w:t>
            </w:r>
          </w:p>
        </w:tc>
      </w:tr>
      <w:tr>
        <w:trPr>
          <w:trHeight w:val="233"/>
        </w:trPr>
        <w:tc>
          <w:tcPr>
            <w:tcW w:w="4280" w:type="dxa"/>
            <w:vAlign w:val="bottom"/>
          </w:tcPr>
          <w:p>
            <w:pPr>
              <w:ind w:left="20"/>
              <w:spacing w:after="0"/>
              <w:rPr>
                <w:sz w:val="20"/>
                <w:szCs w:val="20"/>
                <w:color w:val="auto"/>
              </w:rPr>
            </w:pPr>
            <w:r>
              <w:rPr>
                <w:rFonts w:ascii="Arial" w:cs="Arial" w:eastAsia="Arial" w:hAnsi="Arial"/>
                <w:sz w:val="16"/>
                <w:szCs w:val="16"/>
                <w:color w:val="auto"/>
              </w:rPr>
              <w:t>Loss on debt extinguishment</w:t>
            </w: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3,465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60"/>
        </w:trPr>
        <w:tc>
          <w:tcPr>
            <w:tcW w:w="4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DBDBDB"/>
          </w:tcPr>
          <w:p>
            <w:pPr>
              <w:spacing w:after="0"/>
              <w:rPr>
                <w:sz w:val="22"/>
                <w:szCs w:val="22"/>
                <w:color w:val="auto"/>
              </w:rPr>
            </w:pPr>
          </w:p>
        </w:tc>
        <w:tc>
          <w:tcPr>
            <w:tcW w:w="146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1,542</w:t>
            </w:r>
          </w:p>
        </w:tc>
        <w:tc>
          <w:tcPr>
            <w:tcW w:w="120" w:type="dxa"/>
            <w:vAlign w:val="bottom"/>
            <w:shd w:val="clear" w:color="auto" w:fill="DBDBDB"/>
          </w:tcPr>
          <w:p>
            <w:pPr>
              <w:spacing w:after="0"/>
              <w:rPr>
                <w:sz w:val="22"/>
                <w:szCs w:val="22"/>
                <w:color w:val="auto"/>
              </w:rPr>
            </w:pPr>
          </w:p>
        </w:tc>
        <w:tc>
          <w:tcPr>
            <w:tcW w:w="200" w:type="dxa"/>
            <w:vAlign w:val="bottom"/>
            <w:tcBorders>
              <w:bottom w:val="single" w:sz="8" w:color="auto"/>
            </w:tcBorders>
            <w:shd w:val="clear" w:color="auto" w:fill="DBDBDB"/>
          </w:tcPr>
          <w:p>
            <w:pPr>
              <w:spacing w:after="0"/>
              <w:rPr>
                <w:sz w:val="22"/>
                <w:szCs w:val="22"/>
                <w:color w:val="auto"/>
              </w:rPr>
            </w:pPr>
          </w:p>
        </w:tc>
        <w:tc>
          <w:tcPr>
            <w:tcW w:w="144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2,340</w:t>
            </w:r>
          </w:p>
        </w:tc>
        <w:tc>
          <w:tcPr>
            <w:tcW w:w="120" w:type="dxa"/>
            <w:vAlign w:val="bottom"/>
            <w:shd w:val="clear" w:color="auto" w:fill="DBDBDB"/>
          </w:tcPr>
          <w:p>
            <w:pPr>
              <w:spacing w:after="0"/>
              <w:rPr>
                <w:sz w:val="22"/>
                <w:szCs w:val="22"/>
                <w:color w:val="auto"/>
              </w:rPr>
            </w:pPr>
          </w:p>
        </w:tc>
        <w:tc>
          <w:tcPr>
            <w:tcW w:w="200" w:type="dxa"/>
            <w:vAlign w:val="bottom"/>
            <w:tcBorders>
              <w:bottom w:val="single" w:sz="8" w:color="auto"/>
            </w:tcBorders>
            <w:shd w:val="clear" w:color="auto" w:fill="DBDBDB"/>
          </w:tcPr>
          <w:p>
            <w:pPr>
              <w:spacing w:after="0"/>
              <w:rPr>
                <w:sz w:val="22"/>
                <w:szCs w:val="22"/>
                <w:color w:val="auto"/>
              </w:rPr>
            </w:pPr>
          </w:p>
        </w:tc>
        <w:tc>
          <w:tcPr>
            <w:tcW w:w="146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983</w:t>
            </w:r>
          </w:p>
        </w:tc>
        <w:tc>
          <w:tcPr>
            <w:tcW w:w="100" w:type="dxa"/>
            <w:vAlign w:val="bottom"/>
            <w:shd w:val="clear" w:color="auto" w:fill="DBDBDB"/>
          </w:tcPr>
          <w:p>
            <w:pPr>
              <w:spacing w:after="0"/>
              <w:rPr>
                <w:sz w:val="22"/>
                <w:szCs w:val="22"/>
                <w:color w:val="auto"/>
              </w:rPr>
            </w:pPr>
          </w:p>
        </w:tc>
        <w:tc>
          <w:tcPr>
            <w:tcW w:w="200" w:type="dxa"/>
            <w:vAlign w:val="bottom"/>
            <w:tcBorders>
              <w:bottom w:val="single" w:sz="8" w:color="auto"/>
            </w:tcBorders>
            <w:shd w:val="clear" w:color="auto" w:fill="DBDBDB"/>
          </w:tcPr>
          <w:p>
            <w:pPr>
              <w:spacing w:after="0"/>
              <w:rPr>
                <w:sz w:val="22"/>
                <w:szCs w:val="22"/>
                <w:color w:val="auto"/>
              </w:rPr>
            </w:pPr>
          </w:p>
        </w:tc>
        <w:tc>
          <w:tcPr>
            <w:tcW w:w="146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2,505</w:t>
            </w:r>
          </w:p>
        </w:tc>
      </w:tr>
      <w:tr>
        <w:trPr>
          <w:trHeight w:val="233"/>
        </w:trPr>
        <w:tc>
          <w:tcPr>
            <w:tcW w:w="4280" w:type="dxa"/>
            <w:vAlign w:val="bottom"/>
          </w:tcPr>
          <w:p>
            <w:pPr>
              <w:ind w:left="20"/>
              <w:spacing w:after="0"/>
              <w:rPr>
                <w:sz w:val="20"/>
                <w:szCs w:val="20"/>
                <w:color w:val="auto"/>
              </w:rPr>
            </w:pPr>
            <w:r>
              <w:rPr>
                <w:rFonts w:ascii="Arial" w:cs="Arial" w:eastAsia="Arial" w:hAnsi="Arial"/>
                <w:sz w:val="16"/>
                <w:szCs w:val="16"/>
                <w:color w:val="auto"/>
              </w:rPr>
              <w:t>EBITDA</w:t>
            </w: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23,904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24,502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38,649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36,521</w:t>
            </w:r>
          </w:p>
        </w:tc>
      </w:tr>
      <w:tr>
        <w:trPr>
          <w:trHeight w:val="246"/>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Deferred rent (1)</w:t>
            </w:r>
          </w:p>
        </w:tc>
        <w:tc>
          <w:tcPr>
            <w:tcW w:w="20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shd w:val="clear" w:color="auto" w:fill="DBDBDB"/>
          </w:tcPr>
          <w:p>
            <w:pPr>
              <w:jc w:val="right"/>
              <w:ind w:right="119"/>
              <w:spacing w:after="0"/>
              <w:rPr>
                <w:sz w:val="20"/>
                <w:szCs w:val="20"/>
                <w:color w:val="auto"/>
              </w:rPr>
            </w:pPr>
            <w:r>
              <w:rPr>
                <w:rFonts w:ascii="Arial" w:cs="Arial" w:eastAsia="Arial" w:hAnsi="Arial"/>
                <w:sz w:val="16"/>
                <w:szCs w:val="16"/>
                <w:color w:val="auto"/>
              </w:rPr>
              <w:t>1,169</w:t>
            </w:r>
          </w:p>
        </w:tc>
        <w:tc>
          <w:tcPr>
            <w:tcW w:w="12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DBDBDB"/>
            </w:tcBorders>
            <w:shd w:val="clear" w:color="auto" w:fill="DBDBDB"/>
          </w:tcPr>
          <w:p>
            <w:pPr>
              <w:jc w:val="right"/>
              <w:ind w:right="119"/>
              <w:spacing w:after="0"/>
              <w:rPr>
                <w:sz w:val="20"/>
                <w:szCs w:val="20"/>
                <w:color w:val="auto"/>
              </w:rPr>
            </w:pPr>
            <w:r>
              <w:rPr>
                <w:rFonts w:ascii="Arial" w:cs="Arial" w:eastAsia="Arial" w:hAnsi="Arial"/>
                <w:sz w:val="16"/>
                <w:szCs w:val="16"/>
                <w:color w:val="auto"/>
              </w:rPr>
              <w:t>865</w:t>
            </w:r>
          </w:p>
        </w:tc>
        <w:tc>
          <w:tcPr>
            <w:tcW w:w="12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shd w:val="clear" w:color="auto" w:fill="DBDBDB"/>
          </w:tcPr>
          <w:p>
            <w:pPr>
              <w:jc w:val="right"/>
              <w:ind w:right="139"/>
              <w:spacing w:after="0"/>
              <w:rPr>
                <w:sz w:val="20"/>
                <w:szCs w:val="20"/>
                <w:color w:val="auto"/>
              </w:rPr>
            </w:pPr>
            <w:r>
              <w:rPr>
                <w:rFonts w:ascii="Arial" w:cs="Arial" w:eastAsia="Arial" w:hAnsi="Arial"/>
                <w:sz w:val="16"/>
                <w:szCs w:val="16"/>
                <w:color w:val="auto"/>
              </w:rPr>
              <w:t>2,393</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shd w:val="clear" w:color="auto" w:fill="DBDBDB"/>
          </w:tcPr>
          <w:p>
            <w:pPr>
              <w:jc w:val="right"/>
              <w:ind w:right="119"/>
              <w:spacing w:after="0"/>
              <w:rPr>
                <w:sz w:val="20"/>
                <w:szCs w:val="20"/>
                <w:color w:val="auto"/>
              </w:rPr>
            </w:pPr>
            <w:r>
              <w:rPr>
                <w:rFonts w:ascii="Arial" w:cs="Arial" w:eastAsia="Arial" w:hAnsi="Arial"/>
                <w:sz w:val="16"/>
                <w:szCs w:val="16"/>
                <w:color w:val="auto"/>
              </w:rPr>
              <w:t>1,946</w:t>
            </w:r>
          </w:p>
        </w:tc>
      </w:tr>
      <w:tr>
        <w:trPr>
          <w:trHeight w:val="233"/>
        </w:trPr>
        <w:tc>
          <w:tcPr>
            <w:tcW w:w="428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4,184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3,864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7,720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7,649</w:t>
            </w:r>
          </w:p>
        </w:tc>
      </w:tr>
      <w:tr>
        <w:trPr>
          <w:trHeight w:val="253"/>
        </w:trPr>
        <w:tc>
          <w:tcPr>
            <w:tcW w:w="4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loss (2)</w:t>
            </w: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377</w:t>
            </w: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93</w:t>
            </w: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125</w:t>
            </w:r>
          </w:p>
        </w:tc>
      </w:tr>
      <w:tr>
        <w:trPr>
          <w:trHeight w:val="224"/>
        </w:trPr>
        <w:tc>
          <w:tcPr>
            <w:tcW w:w="4280" w:type="dxa"/>
            <w:vAlign w:val="bottom"/>
          </w:tcPr>
          <w:p>
            <w:pPr>
              <w:ind w:left="20"/>
              <w:spacing w:after="0"/>
              <w:rPr>
                <w:sz w:val="20"/>
                <w:szCs w:val="20"/>
                <w:color w:val="auto"/>
              </w:rPr>
            </w:pPr>
            <w:r>
              <w:rPr>
                <w:rFonts w:ascii="Arial" w:cs="Arial" w:eastAsia="Arial" w:hAnsi="Arial"/>
                <w:sz w:val="16"/>
                <w:szCs w:val="16"/>
                <w:color w:val="auto"/>
              </w:rPr>
              <w:t>Transaction-related fees &amp; expenses (3)</w:t>
            </w:r>
          </w:p>
        </w:tc>
        <w:tc>
          <w:tcPr>
            <w:tcW w:w="20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757</w:t>
            </w:r>
          </w:p>
        </w:tc>
      </w:tr>
      <w:tr>
        <w:trPr>
          <w:trHeight w:val="33"/>
        </w:trPr>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Tax Receivable Agreement liability adjustment (4)</w:t>
            </w:r>
          </w:p>
        </w:tc>
        <w:tc>
          <w:tcPr>
            <w:tcW w:w="200" w:type="dxa"/>
            <w:vAlign w:val="bottom"/>
            <w:tcBorders>
              <w:bottom w:val="single" w:sz="8" w:color="auto"/>
            </w:tcBorders>
            <w:shd w:val="clear" w:color="auto" w:fill="DBDBDB"/>
          </w:tcPr>
          <w:p>
            <w:pPr>
              <w:spacing w:after="0"/>
              <w:rPr>
                <w:sz w:val="20"/>
                <w:szCs w:val="20"/>
                <w:color w:val="auto"/>
              </w:rPr>
            </w:pPr>
          </w:p>
        </w:tc>
        <w:tc>
          <w:tcPr>
            <w:tcW w:w="14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(579)</w:t>
            </w:r>
          </w:p>
        </w:tc>
        <w:tc>
          <w:tcPr>
            <w:tcW w:w="120" w:type="dxa"/>
            <w:vAlign w:val="bottom"/>
            <w:tcBorders>
              <w:bottom w:val="single" w:sz="8" w:color="DBDBDB"/>
            </w:tcBorders>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144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(1,754)</w:t>
            </w:r>
          </w:p>
        </w:tc>
        <w:tc>
          <w:tcPr>
            <w:tcW w:w="120" w:type="dxa"/>
            <w:vAlign w:val="bottom"/>
            <w:tcBorders>
              <w:bottom w:val="single" w:sz="8" w:color="DBDBDB"/>
            </w:tcBorders>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14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(1,163)</w:t>
            </w:r>
          </w:p>
        </w:tc>
        <w:tc>
          <w:tcPr>
            <w:tcW w:w="100" w:type="dxa"/>
            <w:vAlign w:val="bottom"/>
            <w:tcBorders>
              <w:bottom w:val="single" w:sz="8" w:color="DBDBDB"/>
            </w:tcBorders>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14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(1754)</w:t>
            </w:r>
          </w:p>
        </w:tc>
      </w:tr>
      <w:tr>
        <w:trPr>
          <w:trHeight w:val="240"/>
        </w:trPr>
        <w:tc>
          <w:tcPr>
            <w:tcW w:w="42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29,223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27,613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48,856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45,244</w:t>
            </w:r>
          </w:p>
        </w:tc>
      </w:tr>
      <w:tr>
        <w:trPr>
          <w:trHeight w:val="275"/>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Adjusted EBITDA Margin (5)</w:t>
            </w:r>
          </w:p>
        </w:tc>
        <w:tc>
          <w:tcPr>
            <w:tcW w:w="200" w:type="dxa"/>
            <w:vAlign w:val="bottom"/>
            <w:tcBorders>
              <w:top w:val="single" w:sz="8" w:color="auto"/>
              <w:bottom w:val="single" w:sz="8" w:color="auto"/>
            </w:tcBorders>
            <w:shd w:val="clear" w:color="auto" w:fill="DBDBDB"/>
          </w:tcPr>
          <w:p>
            <w:pPr>
              <w:spacing w:after="0"/>
              <w:rPr>
                <w:sz w:val="23"/>
                <w:szCs w:val="23"/>
                <w:color w:val="auto"/>
              </w:rPr>
            </w:pPr>
          </w:p>
        </w:tc>
        <w:tc>
          <w:tcPr>
            <w:tcW w:w="14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17.3 %</w:t>
            </w:r>
          </w:p>
        </w:tc>
        <w:tc>
          <w:tcPr>
            <w:tcW w:w="120" w:type="dxa"/>
            <w:vAlign w:val="bottom"/>
            <w:tcBorders>
              <w:bottom w:val="single" w:sz="8" w:color="DBDBDB"/>
            </w:tcBorders>
            <w:shd w:val="clear" w:color="auto" w:fill="DBDBDB"/>
          </w:tcPr>
          <w:p>
            <w:pPr>
              <w:spacing w:after="0"/>
              <w:rPr>
                <w:sz w:val="23"/>
                <w:szCs w:val="23"/>
                <w:color w:val="auto"/>
              </w:rPr>
            </w:pPr>
          </w:p>
        </w:tc>
        <w:tc>
          <w:tcPr>
            <w:tcW w:w="200" w:type="dxa"/>
            <w:vAlign w:val="bottom"/>
            <w:tcBorders>
              <w:top w:val="single" w:sz="8" w:color="auto"/>
              <w:bottom w:val="single" w:sz="8" w:color="auto"/>
            </w:tcBorders>
            <w:shd w:val="clear" w:color="auto" w:fill="DBDBDB"/>
          </w:tcPr>
          <w:p>
            <w:pPr>
              <w:spacing w:after="0"/>
              <w:rPr>
                <w:sz w:val="23"/>
                <w:szCs w:val="23"/>
                <w:color w:val="auto"/>
              </w:rPr>
            </w:pPr>
          </w:p>
        </w:tc>
        <w:tc>
          <w:tcPr>
            <w:tcW w:w="14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18.3 %</w:t>
            </w:r>
          </w:p>
        </w:tc>
        <w:tc>
          <w:tcPr>
            <w:tcW w:w="120" w:type="dxa"/>
            <w:vAlign w:val="bottom"/>
            <w:tcBorders>
              <w:bottom w:val="single" w:sz="8" w:color="DBDBDB"/>
            </w:tcBorders>
            <w:shd w:val="clear" w:color="auto" w:fill="DBDBDB"/>
          </w:tcPr>
          <w:p>
            <w:pPr>
              <w:spacing w:after="0"/>
              <w:rPr>
                <w:sz w:val="23"/>
                <w:szCs w:val="23"/>
                <w:color w:val="auto"/>
              </w:rPr>
            </w:pPr>
          </w:p>
        </w:tc>
        <w:tc>
          <w:tcPr>
            <w:tcW w:w="200" w:type="dxa"/>
            <w:vAlign w:val="bottom"/>
            <w:tcBorders>
              <w:top w:val="single" w:sz="8" w:color="auto"/>
              <w:bottom w:val="single" w:sz="8" w:color="auto"/>
            </w:tcBorders>
            <w:shd w:val="clear" w:color="auto" w:fill="DBDBDB"/>
          </w:tcPr>
          <w:p>
            <w:pPr>
              <w:spacing w:after="0"/>
              <w:rPr>
                <w:sz w:val="23"/>
                <w:szCs w:val="23"/>
                <w:color w:val="auto"/>
              </w:rPr>
            </w:pPr>
          </w:p>
        </w:tc>
        <w:tc>
          <w:tcPr>
            <w:tcW w:w="14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15.0 %</w:t>
            </w:r>
          </w:p>
        </w:tc>
        <w:tc>
          <w:tcPr>
            <w:tcW w:w="100" w:type="dxa"/>
            <w:vAlign w:val="bottom"/>
            <w:tcBorders>
              <w:top w:val="single" w:sz="8" w:color="auto"/>
              <w:bottom w:val="single" w:sz="8" w:color="DBDBDB"/>
            </w:tcBorders>
            <w:shd w:val="clear" w:color="auto" w:fill="DBDBDB"/>
          </w:tcPr>
          <w:p>
            <w:pPr>
              <w:spacing w:after="0"/>
              <w:rPr>
                <w:sz w:val="23"/>
                <w:szCs w:val="23"/>
                <w:color w:val="auto"/>
              </w:rPr>
            </w:pPr>
          </w:p>
        </w:tc>
        <w:tc>
          <w:tcPr>
            <w:tcW w:w="200" w:type="dxa"/>
            <w:vAlign w:val="bottom"/>
            <w:tcBorders>
              <w:top w:val="single" w:sz="8" w:color="auto"/>
              <w:bottom w:val="single" w:sz="8" w:color="auto"/>
            </w:tcBorders>
            <w:shd w:val="clear" w:color="auto" w:fill="DBDBDB"/>
          </w:tcPr>
          <w:p>
            <w:pPr>
              <w:spacing w:after="0"/>
              <w:rPr>
                <w:sz w:val="23"/>
                <w:szCs w:val="23"/>
                <w:color w:val="auto"/>
              </w:rPr>
            </w:pPr>
          </w:p>
        </w:tc>
        <w:tc>
          <w:tcPr>
            <w:tcW w:w="14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15.9 %</w:t>
            </w:r>
          </w:p>
        </w:tc>
      </w:tr>
      <w:tr>
        <w:trPr>
          <w:trHeight w:val="20"/>
        </w:trPr>
        <w:tc>
          <w:tcPr>
            <w:tcW w:w="42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difference between cash rent payments and the recognition of straight-line rent expense recognized over the lease term.</w:t>
      </w:r>
    </w:p>
    <w:p>
      <w:pPr>
        <w:spacing w:after="0" w:line="17" w:lineRule="exact"/>
        <w:rPr>
          <w:rFonts w:ascii="Arial" w:cs="Arial" w:eastAsia="Arial" w:hAnsi="Arial"/>
          <w:sz w:val="16"/>
          <w:szCs w:val="16"/>
          <w:color w:val="auto"/>
        </w:rPr>
      </w:pPr>
    </w:p>
    <w:p>
      <w:pPr>
        <w:ind w:left="260" w:hanging="252"/>
        <w:spacing w:after="0" w:line="228" w:lineRule="auto"/>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loss on disposal of property and equipment.</w:t>
      </w: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exclusion of certain expenses that management believes are not indicative of ongoing operations, consisting primarily of certain</w:t>
      </w:r>
    </w:p>
    <w:p>
      <w:pPr>
        <w:spacing w:after="0" w:line="235" w:lineRule="auto"/>
        <w:rPr>
          <w:sz w:val="20"/>
          <w:szCs w:val="20"/>
          <w:color w:val="auto"/>
        </w:rPr>
      </w:pPr>
      <w:r>
        <w:rPr>
          <w:rFonts w:ascii="Arial" w:cs="Arial" w:eastAsia="Arial" w:hAnsi="Arial"/>
          <w:sz w:val="16"/>
          <w:szCs w:val="16"/>
          <w:color w:val="auto"/>
        </w:rPr>
        <w:t>professional fees.</w:t>
      </w: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remeasurement of the Tax Receivable Agreement liability.</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EBITDA Margin is defined as Adjusted EBITDA divided by Revenues, net.</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Restaurant-Level Adjusted EBITDA and Restaurant-Level Adjusted EBITDA Margin</w:t>
      </w:r>
    </w:p>
    <w:p>
      <w:pPr>
        <w:spacing w:after="0" w:line="20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Restaurant-Level Adjusted EBITDA is defined as revenue, less restaurant operating expenses, which include food, beverage and packaging costs, labor expenses, occupancy expenses and other operating expenses. Restaurant-Level Adjusted EBITDA excludes corporate level expenses and depreciation and amortization on restaurant property and equipment. Restaurant-Level Adjusted EBITDA Margin represents Restaurant-Level Adjusted EBITDA as a percentage of revenue.</w:t>
      </w:r>
    </w:p>
    <w:p>
      <w:pPr>
        <w:spacing w:after="0" w:line="21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We believe that Restaurant-Level Adjusted EBITDA and Restaurant-Level Adjusted EBITDA Margin are important measures to evaluate the performance and profitability of our restaurants, individually and in the aggregate.</w:t>
      </w:r>
    </w:p>
    <w:p>
      <w:pPr>
        <w:spacing w:after="0" w:line="20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The following table reconciles operating income to Restaurant-Level Adjusted EBITDA and Restaurant-Level Adjusted EBITDA Margin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Two Quarters Ended</w:t>
            </w:r>
          </w:p>
        </w:tc>
      </w:tr>
      <w:tr>
        <w:trPr>
          <w:trHeight w:val="243"/>
        </w:trPr>
        <w:tc>
          <w:tcPr>
            <w:tcW w:w="4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June 25, 2023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June 26, 2022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June 26, 2022</w:t>
            </w:r>
          </w:p>
        </w:tc>
      </w:tr>
      <w:tr>
        <w:trPr>
          <w:trHeight w:val="21"/>
        </w:trPr>
        <w:tc>
          <w:tcPr>
            <w:tcW w:w="42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4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17,384</w:t>
            </w:r>
          </w:p>
        </w:tc>
        <w:tc>
          <w:tcPr>
            <w:tcW w:w="32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17,439</w:t>
            </w:r>
          </w:p>
        </w:tc>
        <w:tc>
          <w:tcPr>
            <w:tcW w:w="30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25,876</w:t>
            </w:r>
          </w:p>
        </w:tc>
        <w:tc>
          <w:tcPr>
            <w:tcW w:w="30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24,253</w:t>
            </w:r>
          </w:p>
        </w:tc>
      </w:tr>
      <w:tr>
        <w:trPr>
          <w:trHeight w:val="233"/>
        </w:trPr>
        <w:tc>
          <w:tcPr>
            <w:tcW w:w="4280" w:type="dxa"/>
            <w:vAlign w:val="bottom"/>
          </w:tcPr>
          <w:p>
            <w:pPr>
              <w:ind w:left="20"/>
              <w:spacing w:after="0"/>
              <w:rPr>
                <w:sz w:val="20"/>
                <w:szCs w:val="20"/>
                <w:color w:val="auto"/>
              </w:rPr>
            </w:pPr>
            <w:r>
              <w:rPr>
                <w:rFonts w:ascii="Arial" w:cs="Arial" w:eastAsia="Arial" w:hAnsi="Arial"/>
                <w:sz w:val="16"/>
                <w:szCs w:val="16"/>
                <w:color w:val="auto"/>
              </w:rPr>
              <w:t>Plus:</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6"/>
        </w:trPr>
        <w:tc>
          <w:tcPr>
            <w:tcW w:w="42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General and administrative expenses</w:t>
            </w:r>
          </w:p>
        </w:tc>
        <w:tc>
          <w:tcPr>
            <w:tcW w:w="22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DBDBDB"/>
            </w:tcBorders>
            <w:shd w:val="clear" w:color="auto" w:fill="DBDBDB"/>
          </w:tcPr>
          <w:p>
            <w:pPr>
              <w:jc w:val="right"/>
              <w:ind w:right="119"/>
              <w:spacing w:after="0"/>
              <w:rPr>
                <w:sz w:val="20"/>
                <w:szCs w:val="20"/>
                <w:color w:val="auto"/>
              </w:rPr>
            </w:pPr>
            <w:r>
              <w:rPr>
                <w:rFonts w:ascii="Arial" w:cs="Arial" w:eastAsia="Arial" w:hAnsi="Arial"/>
                <w:sz w:val="16"/>
                <w:szCs w:val="16"/>
                <w:color w:val="auto"/>
              </w:rPr>
              <w:t>19,609</w:t>
            </w:r>
          </w:p>
        </w:tc>
        <w:tc>
          <w:tcPr>
            <w:tcW w:w="12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DBDBDB"/>
            </w:tcBorders>
            <w:shd w:val="clear" w:color="auto" w:fill="DBDBDB"/>
          </w:tcPr>
          <w:p>
            <w:pPr>
              <w:jc w:val="right"/>
              <w:ind w:right="119"/>
              <w:spacing w:after="0"/>
              <w:rPr>
                <w:sz w:val="20"/>
                <w:szCs w:val="20"/>
                <w:color w:val="auto"/>
              </w:rPr>
            </w:pPr>
            <w:r>
              <w:rPr>
                <w:rFonts w:ascii="Arial" w:cs="Arial" w:eastAsia="Arial" w:hAnsi="Arial"/>
                <w:sz w:val="16"/>
                <w:szCs w:val="16"/>
                <w:color w:val="auto"/>
              </w:rPr>
              <w:t>15,439</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shd w:val="clear" w:color="auto" w:fill="DBDBDB"/>
          </w:tcPr>
          <w:p>
            <w:pPr>
              <w:jc w:val="right"/>
              <w:ind w:right="119"/>
              <w:spacing w:after="0"/>
              <w:rPr>
                <w:sz w:val="20"/>
                <w:szCs w:val="20"/>
                <w:color w:val="auto"/>
              </w:rPr>
            </w:pPr>
            <w:r>
              <w:rPr>
                <w:rFonts w:ascii="Arial" w:cs="Arial" w:eastAsia="Arial" w:hAnsi="Arial"/>
                <w:sz w:val="16"/>
                <w:szCs w:val="16"/>
                <w:color w:val="auto"/>
              </w:rPr>
              <w:t>38,387</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1480" w:type="dxa"/>
            <w:vAlign w:val="bottom"/>
            <w:tcBorders>
              <w:bottom w:val="single" w:sz="8" w:color="DBDBDB"/>
            </w:tcBorders>
            <w:shd w:val="clear" w:color="auto" w:fill="DBDBDB"/>
          </w:tcPr>
          <w:p>
            <w:pPr>
              <w:jc w:val="right"/>
              <w:ind w:right="119"/>
              <w:spacing w:after="0"/>
              <w:rPr>
                <w:sz w:val="20"/>
                <w:szCs w:val="20"/>
                <w:color w:val="auto"/>
              </w:rPr>
            </w:pPr>
            <w:r>
              <w:rPr>
                <w:rFonts w:ascii="Arial" w:cs="Arial" w:eastAsia="Arial" w:hAnsi="Arial"/>
                <w:sz w:val="16"/>
                <w:szCs w:val="16"/>
                <w:color w:val="auto"/>
              </w:rPr>
              <w:t>31,126</w:t>
            </w:r>
          </w:p>
        </w:tc>
      </w:tr>
      <w:tr>
        <w:trPr>
          <w:trHeight w:val="233"/>
        </w:trPr>
        <w:tc>
          <w:tcPr>
            <w:tcW w:w="4280" w:type="dxa"/>
            <w:vAlign w:val="bottom"/>
          </w:tcPr>
          <w:p>
            <w:pPr>
              <w:ind w:left="140"/>
              <w:spacing w:after="0"/>
              <w:rPr>
                <w:sz w:val="20"/>
                <w:szCs w:val="20"/>
                <w:color w:val="auto"/>
              </w:rPr>
            </w:pPr>
            <w:r>
              <w:rPr>
                <w:rFonts w:ascii="Arial" w:cs="Arial" w:eastAsia="Arial" w:hAnsi="Arial"/>
                <w:sz w:val="16"/>
                <w:szCs w:val="16"/>
                <w:color w:val="auto"/>
              </w:rPr>
              <w:t>Pre-opening expenses</w:t>
            </w:r>
          </w:p>
        </w:tc>
        <w:tc>
          <w:tcPr>
            <w:tcW w:w="220" w:type="dxa"/>
            <w:vAlign w:val="bottom"/>
          </w:tcPr>
          <w:p>
            <w:pPr>
              <w:spacing w:after="0"/>
              <w:rPr>
                <w:sz w:val="20"/>
                <w:szCs w:val="20"/>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2,619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979</w:t>
            </w:r>
          </w:p>
        </w:tc>
      </w:tr>
      <w:tr>
        <w:trPr>
          <w:trHeight w:val="246"/>
        </w:trPr>
        <w:tc>
          <w:tcPr>
            <w:tcW w:w="42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DBDBDB"/>
            </w:tcBorders>
            <w:shd w:val="clear" w:color="auto" w:fill="DBDBDB"/>
          </w:tcPr>
          <w:p>
            <w:pPr>
              <w:jc w:val="right"/>
              <w:ind w:right="119"/>
              <w:spacing w:after="0"/>
              <w:rPr>
                <w:sz w:val="20"/>
                <w:szCs w:val="20"/>
                <w:color w:val="auto"/>
              </w:rPr>
            </w:pPr>
            <w:r>
              <w:rPr>
                <w:rFonts w:ascii="Arial" w:cs="Arial" w:eastAsia="Arial" w:hAnsi="Arial"/>
                <w:sz w:val="16"/>
                <w:szCs w:val="16"/>
                <w:color w:val="auto"/>
              </w:rPr>
              <w:t>5,941</w:t>
            </w:r>
          </w:p>
        </w:tc>
        <w:tc>
          <w:tcPr>
            <w:tcW w:w="12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DBDBDB"/>
            </w:tcBorders>
            <w:shd w:val="clear" w:color="auto" w:fill="DBDBDB"/>
          </w:tcPr>
          <w:p>
            <w:pPr>
              <w:jc w:val="right"/>
              <w:ind w:right="119"/>
              <w:spacing w:after="0"/>
              <w:rPr>
                <w:sz w:val="20"/>
                <w:szCs w:val="20"/>
                <w:color w:val="auto"/>
              </w:rPr>
            </w:pPr>
            <w:r>
              <w:rPr>
                <w:rFonts w:ascii="Arial" w:cs="Arial" w:eastAsia="Arial" w:hAnsi="Arial"/>
                <w:sz w:val="16"/>
                <w:szCs w:val="16"/>
                <w:color w:val="auto"/>
              </w:rPr>
              <w:t>5,309</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shd w:val="clear" w:color="auto" w:fill="DBDBDB"/>
          </w:tcPr>
          <w:p>
            <w:pPr>
              <w:jc w:val="right"/>
              <w:ind w:right="119"/>
              <w:spacing w:after="0"/>
              <w:rPr>
                <w:sz w:val="20"/>
                <w:szCs w:val="20"/>
                <w:color w:val="auto"/>
              </w:rPr>
            </w:pPr>
            <w:r>
              <w:rPr>
                <w:rFonts w:ascii="Arial" w:cs="Arial" w:eastAsia="Arial" w:hAnsi="Arial"/>
                <w:sz w:val="16"/>
                <w:szCs w:val="16"/>
                <w:color w:val="auto"/>
              </w:rPr>
              <w:t>11,610</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1480" w:type="dxa"/>
            <w:vAlign w:val="bottom"/>
            <w:tcBorders>
              <w:bottom w:val="single" w:sz="8" w:color="DBDBDB"/>
            </w:tcBorders>
            <w:shd w:val="clear" w:color="auto" w:fill="DBDBDB"/>
          </w:tcPr>
          <w:p>
            <w:pPr>
              <w:jc w:val="right"/>
              <w:ind w:right="119"/>
              <w:spacing w:after="0"/>
              <w:rPr>
                <w:sz w:val="20"/>
                <w:szCs w:val="20"/>
                <w:color w:val="auto"/>
              </w:rPr>
            </w:pPr>
            <w:r>
              <w:rPr>
                <w:rFonts w:ascii="Arial" w:cs="Arial" w:eastAsia="Arial" w:hAnsi="Arial"/>
                <w:sz w:val="16"/>
                <w:szCs w:val="16"/>
                <w:color w:val="auto"/>
              </w:rPr>
              <w:t>10,514</w:t>
            </w:r>
          </w:p>
        </w:tc>
      </w:tr>
      <w:tr>
        <w:trPr>
          <w:trHeight w:val="233"/>
        </w:trPr>
        <w:tc>
          <w:tcPr>
            <w:tcW w:w="4280" w:type="dxa"/>
            <w:vAlign w:val="bottom"/>
          </w:tcPr>
          <w:p>
            <w:pPr>
              <w:ind w:left="140"/>
              <w:spacing w:after="0"/>
              <w:rPr>
                <w:sz w:val="20"/>
                <w:szCs w:val="20"/>
                <w:color w:val="auto"/>
              </w:rPr>
            </w:pPr>
            <w:r>
              <w:rPr>
                <w:rFonts w:ascii="Arial" w:cs="Arial" w:eastAsia="Arial" w:hAnsi="Arial"/>
                <w:sz w:val="16"/>
                <w:szCs w:val="16"/>
                <w:color w:val="auto"/>
              </w:rPr>
              <w:t>Net income attributable to equity method investment</w:t>
            </w:r>
          </w:p>
        </w:tc>
        <w:tc>
          <w:tcPr>
            <w:tcW w:w="22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(398)</w:t>
            </w:r>
          </w:p>
        </w:tc>
      </w:tr>
      <w:tr>
        <w:trPr>
          <w:trHeight w:val="246"/>
        </w:trPr>
        <w:tc>
          <w:tcPr>
            <w:tcW w:w="42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Other (income) loss, net</w:t>
            </w:r>
          </w:p>
        </w:tc>
        <w:tc>
          <w:tcPr>
            <w:tcW w:w="220" w:type="dxa"/>
            <w:vAlign w:val="bottom"/>
            <w:tcBorders>
              <w:bottom w:val="single" w:sz="8" w:color="auto"/>
            </w:tcBorders>
            <w:shd w:val="clear" w:color="auto" w:fill="DBDBDB"/>
          </w:tcPr>
          <w:p>
            <w:pPr>
              <w:spacing w:after="0"/>
              <w:rPr>
                <w:sz w:val="21"/>
                <w:szCs w:val="21"/>
                <w:color w:val="auto"/>
              </w:rPr>
            </w:pPr>
          </w:p>
        </w:tc>
        <w:tc>
          <w:tcPr>
            <w:tcW w:w="144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44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4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4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(105)</w:t>
            </w:r>
          </w:p>
        </w:tc>
      </w:tr>
      <w:tr>
        <w:trPr>
          <w:trHeight w:val="250"/>
        </w:trPr>
        <w:tc>
          <w:tcPr>
            <w:tcW w:w="4280" w:type="dxa"/>
            <w:vAlign w:val="bottom"/>
          </w:tcPr>
          <w:p>
            <w:pPr>
              <w:ind w:left="20"/>
              <w:spacing w:after="0"/>
              <w:rPr>
                <w:sz w:val="20"/>
                <w:szCs w:val="20"/>
                <w:color w:val="auto"/>
              </w:rPr>
            </w:pPr>
            <w:r>
              <w:rPr>
                <w:rFonts w:ascii="Arial" w:cs="Arial" w:eastAsia="Arial" w:hAnsi="Arial"/>
                <w:sz w:val="16"/>
                <w:szCs w:val="16"/>
                <w:color w:val="auto"/>
              </w:rPr>
              <w:t>Restaurant-Level Adjusted EBITDA</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42,731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38,386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77,550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66,369</w:t>
            </w:r>
          </w:p>
        </w:tc>
      </w:tr>
      <w:tr>
        <w:trPr>
          <w:trHeight w:val="268"/>
        </w:trPr>
        <w:tc>
          <w:tcPr>
            <w:tcW w:w="428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Restaurant-Level Adjusted EBITDA Margin (1)</w:t>
            </w:r>
          </w:p>
        </w:tc>
        <w:tc>
          <w:tcPr>
            <w:tcW w:w="220" w:type="dxa"/>
            <w:vAlign w:val="bottom"/>
            <w:tcBorders>
              <w:top w:val="single" w:sz="8" w:color="auto"/>
              <w:bottom w:val="single" w:sz="8" w:color="auto"/>
            </w:tcBorders>
            <w:shd w:val="clear" w:color="auto" w:fill="DBDBDB"/>
          </w:tcPr>
          <w:p>
            <w:pPr>
              <w:spacing w:after="0"/>
              <w:rPr>
                <w:sz w:val="22"/>
                <w:szCs w:val="22"/>
                <w:color w:val="auto"/>
              </w:rPr>
            </w:pPr>
          </w:p>
        </w:tc>
        <w:tc>
          <w:tcPr>
            <w:tcW w:w="14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25.3 %</w:t>
            </w:r>
          </w:p>
        </w:tc>
        <w:tc>
          <w:tcPr>
            <w:tcW w:w="120" w:type="dxa"/>
            <w:vAlign w:val="bottom"/>
            <w:tcBorders>
              <w:top w:val="single" w:sz="8" w:color="DBDBDB"/>
              <w:bottom w:val="single" w:sz="8" w:color="DBDBDB"/>
            </w:tcBorders>
            <w:shd w:val="clear" w:color="auto" w:fill="DBDBDB"/>
          </w:tcPr>
          <w:p>
            <w:pPr>
              <w:spacing w:after="0"/>
              <w:rPr>
                <w:sz w:val="22"/>
                <w:szCs w:val="22"/>
                <w:color w:val="auto"/>
              </w:rPr>
            </w:pPr>
          </w:p>
        </w:tc>
        <w:tc>
          <w:tcPr>
            <w:tcW w:w="200" w:type="dxa"/>
            <w:vAlign w:val="bottom"/>
            <w:tcBorders>
              <w:top w:val="single" w:sz="8" w:color="auto"/>
              <w:bottom w:val="single" w:sz="8" w:color="auto"/>
            </w:tcBorders>
            <w:shd w:val="clear" w:color="auto" w:fill="DBDBDB"/>
          </w:tcPr>
          <w:p>
            <w:pPr>
              <w:spacing w:after="0"/>
              <w:rPr>
                <w:sz w:val="22"/>
                <w:szCs w:val="22"/>
                <w:color w:val="auto"/>
              </w:rPr>
            </w:pPr>
          </w:p>
        </w:tc>
        <w:tc>
          <w:tcPr>
            <w:tcW w:w="14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25.5 %</w:t>
            </w: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200" w:type="dxa"/>
            <w:vAlign w:val="bottom"/>
            <w:tcBorders>
              <w:top w:val="single" w:sz="8" w:color="auto"/>
              <w:bottom w:val="single" w:sz="8" w:color="auto"/>
            </w:tcBorders>
            <w:shd w:val="clear" w:color="auto" w:fill="DBDBDB"/>
          </w:tcPr>
          <w:p>
            <w:pPr>
              <w:spacing w:after="0"/>
              <w:rPr>
                <w:sz w:val="22"/>
                <w:szCs w:val="22"/>
                <w:color w:val="auto"/>
              </w:rPr>
            </w:pPr>
          </w:p>
        </w:tc>
        <w:tc>
          <w:tcPr>
            <w:tcW w:w="14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23.8 %</w:t>
            </w: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200" w:type="dxa"/>
            <w:vAlign w:val="bottom"/>
            <w:tcBorders>
              <w:top w:val="single" w:sz="8" w:color="auto"/>
              <w:bottom w:val="single" w:sz="8" w:color="auto"/>
            </w:tcBorders>
            <w:shd w:val="clear" w:color="auto" w:fill="DBDBDB"/>
          </w:tcPr>
          <w:p>
            <w:pPr>
              <w:spacing w:after="0"/>
              <w:rPr>
                <w:sz w:val="22"/>
                <w:szCs w:val="22"/>
                <w:color w:val="auto"/>
              </w:rPr>
            </w:pPr>
          </w:p>
        </w:tc>
        <w:tc>
          <w:tcPr>
            <w:tcW w:w="14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23.3 %</w:t>
            </w:r>
          </w:p>
        </w:tc>
      </w:tr>
      <w:tr>
        <w:trPr>
          <w:trHeight w:val="20"/>
        </w:trPr>
        <w:tc>
          <w:tcPr>
            <w:tcW w:w="42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(1) Restaurant-Level Adjusted EBITDA Margin is defined as Adjusted EBITDA divided by Revenues, net</w:t>
      </w:r>
    </w:p>
    <w:p>
      <w:pPr>
        <w:sectPr>
          <w:pgSz w:w="11900" w:h="16838" w:orient="portrait"/>
          <w:cols w:equalWidth="0" w:num="1">
            <w:col w:w="11240"/>
          </w:cols>
          <w:pgMar w:left="320" w:top="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Liquidity and Capital Resources</w:t>
      </w:r>
    </w:p>
    <w:p>
      <w:pPr>
        <w:spacing w:after="0" w:line="25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Our primary sources of liquidity are cash from operations, cash and cash equivalents on hand, and availability under our 2023 Revolver Facility. As of June 25, 2023, we maintained a cash and cash equivalents and restricted cash balance of $22.5 million and had $85.7 million of availability under our 2023 Revolver Facility, after giving effect to $10.0 million in borrowings and $4.3 million in outstanding letters of credit.</w:t>
      </w:r>
    </w:p>
    <w:p>
      <w:pPr>
        <w:spacing w:after="0" w:line="2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primary requirements for liquidity are to fund our working capital needs, operating lease obligations, capital expenditures, and general restaurant support center needs. Our requirements for working capital are not significant because our guests pay for their food and beverage purchases in cash or on debit or credit cards at the time of the sale and we are able to sell many of our inventory items before payment is due to the supplier of such items. Our ongoing capital expenditures are principally related to opening of new restaurants, existing capital investments (both for remodels and maintenance), as well as investments in our restaurant support center infrastructure.</w:t>
      </w:r>
    </w:p>
    <w:p>
      <w:pPr>
        <w:spacing w:after="0" w:line="219"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Based upon current levels of operations and anticipated growth, we expect that cash flows from operations will be sufficient to meet our needs for at least the next twelve months, and the foreseeable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Note 8. Debt for a discussion of the 2023 Credit Agreement, effective February 2, 2023.</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w:t>
      </w:r>
    </w:p>
    <w:p>
      <w:pPr>
        <w:spacing w:after="0" w:line="27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first quarter of 2023, the Company completed a secondary offering of 8,000,000 shares of the Company's Class A common stock at an offering price of $21.05 per share. On April 5, 2023, the Underwriter exercised its overallotment option in part, to purchase an additional 620,493 shares of the Company's Class A common stock at an offering price of $21.05 per share (collectively the “Q1 Secondary Offering and Overallotment Option”). We used all of the net proceeds from the Q1 Secondary Offering and Overallotment Option to purchase LLC Units and corresponding shares of Class B common stock from certain pre-IPO LLC Members and to repurchase shares of Class A common stock from the shareholders of the Blocker Companies at a price per LLC Unit or share of Class A common stock, as applicable, equal to the public offering price per share of Class A common stock, less the underwriting discounts and commissions. The proceeds from the Q1 Secondary Offering and Overallotment Option were used to (i) purchase 2,269,776 existing shares of Class A common stock from the shareholders of the Blocker Companies and (ii) redeem 6,350,717 LLC Units held by the pre-IPO LLC Members. In connection with the redemption, 6,350,717 shares of Class B common stock were surrendered by the pre-IPO LLC Members and canceled and the Company received 6,350,717 newly-issued LLC Units, increasing the Company's total ownership interest in Portillo's OpCo. As a result, Portillo’s did not receive any proceeds from the offering, and the total number of shares of Class A common stock and Class B common stock did not change; however, the number of outstanding shares of Class A common stock increased by the same number of the canceled shares of Class B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25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connection with the IPO, we entered into a Tax Receivable Agreement ("TRA") with certain of our pre-IPO LLC Members, pursuant to which we will generally be required to pay 85% of the amount of cash savings, if any, in U.S. federal, state, and local income tax that we actually realize or are deemed to realize, as a result of (i) our allocable share of existing tax basis in depreciable or amortizable assets relating to LLC Units acquired in the IPO, (ii) certain favorable tax attributes acquired by the Company from entities treated as corporations for U.S. tax purposes that held LLC Units prior to the Transactions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the IPO and (y) future redemptions or exchanges of LLC Units by pre-IPO LLC Members for Class A common stock and (iv) certain other tax benefits related to entering into the TRA, including payments made under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June 25, 2023, we estimate that our obligation for future payments under the TRA totaled $302.0 million. Amounts payable under the TRA are contingent upon, among other things, (i) generation of future taxable income over the term of the TRA and (ii) future changes in tax laws. If we do not generate sufficient taxable income in the aggregate over the term of the TRA to utilize the tax benefits, then we would not be required to make the related TRA payments. The payments that we are required to make will generally reduce the amount of overall cash flow that might have otherwise been available to us, but we expect the cash tax savings we will realize to fund the required payments. Assuming no material changes in relevant tax law and that we earn sufficient taxable income to realize all tax benefits that are subject to the TRA, we estimate that the tax savings associated with all tax attributes described above would aggregate to approximately $355.3 million as of June 25, 2023. Under this scenario, we would be required to pay the TRA Parties approximately 85% of such amount, or $ 302.0 million, primarily over the next 15 years, substantially declining in year 16 through year 47. In the two quarters ended June 25, 2023, we made a TRA payment of $0.8 million relating to tax year 2021. We made no TRA payments in the quarter ended June 25, 2023. We expect a payment of $6.3 million relating to tax year 2022 to be paid within the next 12 months.</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Summary of Cash Flows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cash flows from operating, investing and financing activities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80" w:type="dxa"/>
            <w:vAlign w:val="bottom"/>
            <w:gridSpan w:val="4"/>
          </w:tcPr>
          <w:p>
            <w:pPr>
              <w:jc w:val="right"/>
              <w:ind w:right="1179"/>
              <w:spacing w:after="0"/>
              <w:rPr>
                <w:sz w:val="20"/>
                <w:szCs w:val="20"/>
                <w:color w:val="auto"/>
              </w:rPr>
            </w:pPr>
            <w:r>
              <w:rPr>
                <w:rFonts w:ascii="Arial" w:cs="Arial" w:eastAsia="Arial" w:hAnsi="Arial"/>
                <w:sz w:val="16"/>
                <w:szCs w:val="16"/>
                <w:b w:val="1"/>
                <w:bCs w:val="1"/>
                <w:color w:val="auto"/>
              </w:rPr>
              <w:t>Two Quarters Ended</w:t>
            </w:r>
          </w:p>
        </w:tc>
      </w:tr>
      <w:tr>
        <w:trPr>
          <w:trHeight w:val="260"/>
        </w:trPr>
        <w:tc>
          <w:tcPr>
            <w:tcW w:w="7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June 26, 2022</w:t>
            </w:r>
          </w:p>
        </w:tc>
      </w:tr>
      <w:tr>
        <w:trPr>
          <w:trHeight w:val="234"/>
        </w:trPr>
        <w:tc>
          <w:tcPr>
            <w:tcW w:w="7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DBDBDB"/>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DBDBDB"/>
            </w:tcBorders>
            <w:shd w:val="clear" w:color="auto" w:fill="DBDBDB"/>
          </w:tcPr>
          <w:p>
            <w:pPr>
              <w:jc w:val="center"/>
              <w:ind w:left="959"/>
              <w:spacing w:after="0"/>
              <w:rPr>
                <w:sz w:val="20"/>
                <w:szCs w:val="20"/>
                <w:color w:val="auto"/>
              </w:rPr>
            </w:pPr>
            <w:r>
              <w:rPr>
                <w:rFonts w:ascii="Arial" w:cs="Arial" w:eastAsia="Arial" w:hAnsi="Arial"/>
                <w:sz w:val="16"/>
                <w:szCs w:val="16"/>
                <w:color w:val="auto"/>
              </w:rPr>
              <w:t>31,309</w:t>
            </w:r>
          </w:p>
        </w:tc>
        <w:tc>
          <w:tcPr>
            <w:tcW w:w="380" w:type="dxa"/>
            <w:vAlign w:val="bottom"/>
            <w:tcBorders>
              <w:bottom w:val="single" w:sz="8" w:color="DBDBDB"/>
            </w:tcBorders>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25,359</w:t>
            </w:r>
          </w:p>
        </w:tc>
      </w:tr>
      <w:tr>
        <w:trPr>
          <w:trHeight w:val="233"/>
        </w:trPr>
        <w:tc>
          <w:tcPr>
            <w:tcW w:w="71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20"/>
                <w:szCs w:val="20"/>
                <w:color w:val="auto"/>
              </w:rPr>
            </w:pPr>
          </w:p>
        </w:tc>
        <w:tc>
          <w:tcPr>
            <w:tcW w:w="1700" w:type="dxa"/>
            <w:vAlign w:val="bottom"/>
          </w:tcPr>
          <w:p>
            <w:pPr>
              <w:jc w:val="center"/>
              <w:ind w:left="939"/>
              <w:spacing w:after="0"/>
              <w:rPr>
                <w:sz w:val="20"/>
                <w:szCs w:val="20"/>
                <w:color w:val="auto"/>
              </w:rPr>
            </w:pPr>
            <w:r>
              <w:rPr>
                <w:rFonts w:ascii="Arial" w:cs="Arial" w:eastAsia="Arial" w:hAnsi="Arial"/>
                <w:sz w:val="16"/>
                <w:szCs w:val="16"/>
                <w:color w:val="auto"/>
              </w:rPr>
              <w:t>(37,326)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(13,910)</w:t>
            </w:r>
          </w:p>
        </w:tc>
      </w:tr>
      <w:tr>
        <w:trPr>
          <w:trHeight w:val="246"/>
        </w:trPr>
        <w:tc>
          <w:tcPr>
            <w:tcW w:w="7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auto"/>
            </w:tcBorders>
            <w:shd w:val="clear" w:color="auto" w:fill="DBDBDB"/>
          </w:tcPr>
          <w:p>
            <w:pPr>
              <w:spacing w:after="0"/>
              <w:rPr>
                <w:sz w:val="21"/>
                <w:szCs w:val="21"/>
                <w:color w:val="auto"/>
              </w:rPr>
            </w:pPr>
          </w:p>
        </w:tc>
        <w:tc>
          <w:tcPr>
            <w:tcW w:w="1700" w:type="dxa"/>
            <w:vAlign w:val="bottom"/>
            <w:tcBorders>
              <w:bottom w:val="single" w:sz="8" w:color="auto"/>
            </w:tcBorders>
            <w:shd w:val="clear" w:color="auto" w:fill="DBDBDB"/>
          </w:tcPr>
          <w:p>
            <w:pPr>
              <w:jc w:val="center"/>
              <w:ind w:left="939"/>
              <w:spacing w:after="0"/>
              <w:rPr>
                <w:sz w:val="20"/>
                <w:szCs w:val="20"/>
                <w:color w:val="auto"/>
              </w:rPr>
            </w:pPr>
            <w:r>
              <w:rPr>
                <w:rFonts w:ascii="Arial" w:cs="Arial" w:eastAsia="Arial" w:hAnsi="Arial"/>
                <w:sz w:val="16"/>
                <w:szCs w:val="16"/>
                <w:color w:val="auto"/>
              </w:rPr>
              <w:t>(15,953)</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(982)</w:t>
            </w:r>
          </w:p>
        </w:tc>
      </w:tr>
      <w:tr>
        <w:trPr>
          <w:trHeight w:val="224"/>
        </w:trPr>
        <w:tc>
          <w:tcPr>
            <w:tcW w:w="716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300" w:type="dxa"/>
            <w:vAlign w:val="bottom"/>
          </w:tcPr>
          <w:p>
            <w:pPr>
              <w:spacing w:after="0"/>
              <w:rPr>
                <w:sz w:val="19"/>
                <w:szCs w:val="19"/>
                <w:color w:val="auto"/>
              </w:rPr>
            </w:pPr>
          </w:p>
        </w:tc>
        <w:tc>
          <w:tcPr>
            <w:tcW w:w="1700" w:type="dxa"/>
            <w:vAlign w:val="bottom"/>
          </w:tcPr>
          <w:p>
            <w:pPr>
              <w:jc w:val="center"/>
              <w:ind w:left="939"/>
              <w:spacing w:after="0"/>
              <w:rPr>
                <w:sz w:val="20"/>
                <w:szCs w:val="20"/>
                <w:color w:val="auto"/>
              </w:rPr>
            </w:pPr>
            <w:r>
              <w:rPr>
                <w:rFonts w:ascii="Arial" w:cs="Arial" w:eastAsia="Arial" w:hAnsi="Arial"/>
                <w:sz w:val="16"/>
                <w:szCs w:val="16"/>
                <w:color w:val="auto"/>
              </w:rPr>
              <w:t>(21,970)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10,467</w:t>
            </w:r>
          </w:p>
        </w:tc>
      </w:tr>
      <w:tr>
        <w:trPr>
          <w:trHeight w:val="33"/>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7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300" w:type="dxa"/>
            <w:vAlign w:val="bottom"/>
            <w:tcBorders>
              <w:bottom w:val="single" w:sz="8" w:color="auto"/>
            </w:tcBorders>
            <w:shd w:val="clear" w:color="auto" w:fill="DBDBDB"/>
          </w:tcPr>
          <w:p>
            <w:pPr>
              <w:spacing w:after="0"/>
              <w:rPr>
                <w:sz w:val="20"/>
                <w:szCs w:val="20"/>
                <w:color w:val="auto"/>
              </w:rPr>
            </w:pPr>
          </w:p>
        </w:tc>
        <w:tc>
          <w:tcPr>
            <w:tcW w:w="1700" w:type="dxa"/>
            <w:vAlign w:val="bottom"/>
            <w:tcBorders>
              <w:bottom w:val="single" w:sz="8" w:color="auto"/>
            </w:tcBorders>
            <w:shd w:val="clear" w:color="auto" w:fill="DBDBDB"/>
          </w:tcPr>
          <w:p>
            <w:pPr>
              <w:jc w:val="center"/>
              <w:ind w:left="959"/>
              <w:spacing w:after="0"/>
              <w:rPr>
                <w:sz w:val="20"/>
                <w:szCs w:val="20"/>
                <w:color w:val="auto"/>
              </w:rPr>
            </w:pPr>
            <w:r>
              <w:rPr>
                <w:rFonts w:ascii="Arial" w:cs="Arial" w:eastAsia="Arial" w:hAnsi="Arial"/>
                <w:sz w:val="16"/>
                <w:szCs w:val="16"/>
                <w:color w:val="auto"/>
              </w:rPr>
              <w:t>44,427</w:t>
            </w:r>
          </w:p>
        </w:tc>
        <w:tc>
          <w:tcPr>
            <w:tcW w:w="100" w:type="dxa"/>
            <w:vAlign w:val="bottom"/>
            <w:tcBorders>
              <w:bottom w:val="single" w:sz="8" w:color="DBDBDB"/>
            </w:tcBorders>
            <w:shd w:val="clear" w:color="auto" w:fill="DBDBDB"/>
          </w:tcPr>
          <w:p>
            <w:pPr>
              <w:spacing w:after="0"/>
              <w:rPr>
                <w:sz w:val="20"/>
                <w:szCs w:val="20"/>
                <w:color w:val="auto"/>
              </w:rPr>
            </w:pPr>
          </w:p>
        </w:tc>
        <w:tc>
          <w:tcPr>
            <w:tcW w:w="280" w:type="dxa"/>
            <w:vAlign w:val="bottom"/>
            <w:tcBorders>
              <w:bottom w:val="single" w:sz="8" w:color="auto"/>
            </w:tcBorders>
            <w:shd w:val="clear" w:color="auto" w:fill="DBDBDB"/>
          </w:tcPr>
          <w:p>
            <w:pPr>
              <w:spacing w:after="0"/>
              <w:rPr>
                <w:sz w:val="20"/>
                <w:szCs w:val="20"/>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39,263</w:t>
            </w:r>
          </w:p>
        </w:tc>
      </w:tr>
      <w:tr>
        <w:trPr>
          <w:trHeight w:val="253"/>
        </w:trPr>
        <w:tc>
          <w:tcPr>
            <w:tcW w:w="716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00" w:type="dxa"/>
            <w:vAlign w:val="bottom"/>
          </w:tcPr>
          <w:p>
            <w:pPr>
              <w:jc w:val="center"/>
              <w:ind w:left="959"/>
              <w:spacing w:after="0"/>
              <w:rPr>
                <w:sz w:val="20"/>
                <w:szCs w:val="20"/>
                <w:color w:val="auto"/>
              </w:rPr>
            </w:pPr>
            <w:r>
              <w:rPr>
                <w:rFonts w:ascii="Arial" w:cs="Arial" w:eastAsia="Arial" w:hAnsi="Arial"/>
                <w:sz w:val="16"/>
                <w:szCs w:val="16"/>
                <w:color w:val="auto"/>
              </w:rPr>
              <w:t>22,457</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49,730</w:t>
            </w:r>
          </w:p>
        </w:tc>
      </w:tr>
      <w:tr>
        <w:trPr>
          <w:trHeight w:val="24"/>
        </w:trPr>
        <w:tc>
          <w:tcPr>
            <w:tcW w:w="716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700" w:type="dxa"/>
            <w:vAlign w:val="bottom"/>
            <w:tcBorders>
              <w:top w:val="single" w:sz="8" w:color="auto"/>
              <w:bottom w:val="single" w:sz="8" w:color="auto"/>
            </w:tcBorders>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Operating Activities</w:t>
      </w:r>
    </w:p>
    <w:p>
      <w:pPr>
        <w:spacing w:after="0" w:line="271"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Net cash provided by operating activities for the two quarters ended June 25, 2023 was $31.3 million compared to net cash provided by operating activities of $25.4 million for the two quarters ended June 26, 2022, an increase of $6.0 million or 23.5%. This increase was primarily driven by the change in operating assets and liabilities of $7.2 million and the change in non-cash items of $1.5 million, partially offset by lower net income of $2.7 million.</w:t>
      </w:r>
    </w:p>
    <w:p>
      <w:pPr>
        <w:spacing w:after="0" w:line="2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$7.2 million change in our operating assets and liabilities balances was primarily driven by operating assets and liabilities being a use of net cash of $0.5 million in the two quarters ended June 25, 2023, compared to a use of net cash of $7.7 million in two quarters ended June 26, 2022 driven by the change in accrued expenses and other liabilities in the two quarters ended June 25, 2023. The $1.5 million change from the two quarters ended June 25, 2023 in non-cash charges is attributable to loss on debt extinguishment, an increase in depreciation and amortization and a decrease in the Tax Receivable Agreement liability adjustment. The decrease in net income for the two quarters ended June 25, 2023 was primarily due to the factors driving the aforementioned expenses as described in condensed consolidated results of operations, partially offset by higher revenue in the two quarters ended June 25, 2023 compared to the two quarters ended June 26, 2022.</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Investing Activities</w:t>
      </w:r>
    </w:p>
    <w:p>
      <w:pPr>
        <w:spacing w:after="0" w:line="2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Net cash used in investing activities was $37.3 million for the two quarters ended June 25, 2023 compared to $13.9 million for the two quarters ended June 26, 2022, an increase of $23.4 million or 168.3%. This increase was primarily due to the number of restaurant openings and buildings in process during the first two quarters of 2023 compared to the first two quarters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Financing Activities</w:t>
      </w:r>
    </w:p>
    <w:p>
      <w:pPr>
        <w:spacing w:after="0" w:line="2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Net cash used in financing activities was $16.0 million for the two quarters ended June 25, 2023 compared to net cash used in financing activities of $1.0 million for the two quarters ended June 26, 2022, an increase of $15.0 million or 1524.5%. This increase is primarily due to the refinancing of our long-term debt as described in Note 8. Debt and the payment of deferred financing costs of $3.6 million.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2023 Revolver Facility and Liens</w:t>
      </w:r>
    </w:p>
    <w:p>
      <w:pPr>
        <w:spacing w:after="0" w:line="2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February 2, 2023, Holdings, the Borrower, the other Guarantors party thereto from time to time, each lender party thereto from time to time and Fifth Third Bank, National Association, as Administrative Agent, L/C Issuer and Swing Line Lender entered into the 2023 Credit Agreement which provides for the 2023 Term Loan in an initial aggregate principal amount of $300.0 million and the 2023 Revolver Facility in an initial aggregate principal amount of $100.0 million. The proceeds under the 2023 Term Loan and 2023 Revolver Facility, along with cash on hand, were used to repay outstanding indebtedness under the 2014 Credit Agreement and to pay related transaction expenses. The 2023 Term Loan and 2023 Revolver Facility are scheduled to mature on February 2, 2028.</w:t>
      </w:r>
    </w:p>
    <w:p>
      <w:pPr>
        <w:spacing w:after="0" w:line="219"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As of June 25, 2023, we had $10.0 million of borrowings under the 2023 Revolver Facility, and letters of credit issued under the 2023 Revolver Facility totaled $ 4.3 million. As a result, as of June 25, 2023, the Company had $85.7 million available under the 2023 Revolver Facility. On July 31, 2023, the Company made a $5.0 million payment on the 2023 Revolver Facility (see Note 16. Subsequent Events for additional details).</w:t>
      </w:r>
    </w:p>
    <w:p>
      <w:pPr>
        <w:spacing w:after="0" w:line="217"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color w:val="auto"/>
        </w:rPr>
        <w:t>The 2023 Credit Agreement also includes certain financial covenants with respect to cash interest coverage and total net rent adjusted leverage. As of June 25, 2023, the Company was in compliance with all covenants in the 2023 Credit Agreement.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Material Cash Requirements</w:t>
      </w:r>
    </w:p>
    <w:p>
      <w:pPr>
        <w:spacing w:after="0" w:line="25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There have been no material changes to the material cash requirements as disclosed in our Annual Report on Form 10-K for the fiscal year ended December 25, 2022, other than those payments made in the ordinary course of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8. Debt for a description of a Credit Agreement and the repayment of borrowings.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Critical Accounting Estimates</w:t>
      </w:r>
    </w:p>
    <w:p>
      <w:pPr>
        <w:spacing w:after="0" w:line="26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This discussion and analysis of financial condition and results of operations is based upon the Company's condensed consolidated financial statements, which have been prepared in accordance with GAAP. The preparation of these financial statements requires the Company to make estimates, judgments, and assumptions that can have a meaningful effect on the reporting of condensed consolidated financial statements. There have been no significant changes to our critical accounting estimates or significant accounting policies as disclosed in our Annual Report on Form 10-K for the fiscal year ended December 25, 2022.</w:t>
      </w:r>
    </w:p>
    <w:p>
      <w:pPr>
        <w:spacing w:after="0" w:line="219"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The Company reviewed all other recently issued accounting pronouncements and concluded that they were either not applicable or not expected to have a significant impact to its condensed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JOBS Act</w:t>
      </w:r>
    </w:p>
    <w:p>
      <w:pPr>
        <w:spacing w:after="0" w:line="25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qualify as an emerging growth company ("EGC") pursuant to the provisions of the Jumpstart our Business Startups (“JOBS”) Act. For as long as we are an EGC, we may take advantage of certain exemptions from various reporting requirements that are applicable to other public companies that are not EGCs,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shareholder advisory votes on golden parachute compensation.</w:t>
      </w:r>
    </w:p>
    <w:p>
      <w:pPr>
        <w:spacing w:after="0" w:line="21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Section 107 of the JOBS Act also provides that an EGC can take advantage of the extended transition period provided in Section 7(a)(2)(B) of the Securities Act for complying with new or revised accounting standards. An EGC can therefore delay the adoption of certain accounting standards until those standards would otherwise apply to private companies. We intend to take advantage of the extended transition period.</w:t>
      </w:r>
    </w:p>
    <w:p>
      <w:pPr>
        <w:sectPr>
          <w:pgSz w:w="11900" w:h="16838" w:orient="portrait"/>
          <w:cols w:equalWidth="0" w:num="1">
            <w:col w:w="11240"/>
          </w:cols>
          <w:pgMar w:left="320" w:top="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will remain an EGC until the last day of the fiscal year following the fifth anniversary of the date of the first sale of our Class A common stock pursuant to an effective registration statement, which was October 21, 2021, unless, prior to that time, we have more than $ 1.07 billion in annual gross revenue, have a market value for our Class A common stock held by non-affiliates of more than $ 700 million as of the last day of our second fiscal quarter of the fiscal year and a determination is made that we are deemed to be a “large accelerated filer,” as defined in Rule 12b-2 promulgated under the Securities Exchange Act of 1934, as amended (the “Exchange Act”), or issue more than $1.0 billion of non-convertible debt over a three-year period, whether or not issued in a registered offering. We have availed ourselves of the reduced reporting obligations with respect to executive compensation disclosure and expect to continue to avail ourselves of the reduced reporting obligations available to EGCs in future filings.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3. Quantitative and Qualitative Disclosures About Market Risk.</w:t>
      </w:r>
    </w:p>
    <w:p>
      <w:pPr>
        <w:spacing w:after="0" w:line="25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There have been no material changes to our exposure to market risks as described in Part II, Item 7A of our Annual Report on Form 10-K for the fiscal year ended December 25, 2022.</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4. Controls and Procedures.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EVALUATION OF DISCLOSURE CONTROLS AND PROCEDURES</w:t>
      </w:r>
    </w:p>
    <w:p>
      <w:pPr>
        <w:spacing w:after="0" w:line="2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conducted an evaluation of the effectiveness of our disclosure controls and procedures (as such term is defined in Rules 13a-15(e) and 15d-15(e) under the Exchange Act) as of the end of the period covered by this report. Based on this evaluation, our Chief Executive Officer and Chief Financial Officer concluded that our disclosure controls and procedures were effective as of such date.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to allow timely decisions regarding required disclosure.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CHANGES IN INTERNAL CONTROL OVER FINANCIAL REPORTING</w:t>
      </w:r>
    </w:p>
    <w:p>
      <w:pPr>
        <w:spacing w:after="0" w:line="271"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June 25,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25400</wp:posOffset>
            </wp:positionV>
            <wp:extent cx="5966460" cy="3257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1. Legal Proceedings.</w:t>
      </w:r>
    </w:p>
    <w:p>
      <w:pPr>
        <w:spacing w:after="0" w:line="25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Information regarding certain legal proceedings to which the Company is a party are discussed in Note 14. Contingencies in the notes to the unaudited condensed consolidated financial statements and is incorporated herein by reference.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1A. Risk Factors.</w:t>
      </w:r>
    </w:p>
    <w:p>
      <w:pPr>
        <w:spacing w:after="0" w:line="23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There have been no material changes to the risk factors disclosed in the Company's Annual Report on Form 10-K for the year ended December 25, 2022, except as updated in the Company's last Quarterly Report on Form 10-Q for the quarter ended March 26, 2023, and as set forth below.</w:t>
      </w:r>
    </w:p>
    <w:p>
      <w:pPr>
        <w:spacing w:after="0" w:line="201"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b w:val="1"/>
          <w:bCs w:val="1"/>
          <w:color w:val="auto"/>
        </w:rPr>
        <w:t>Matters relating to employment and labor law could have a material adverse effect, result in litigation or additional union activities, add significant costs and divert management attention.</w:t>
      </w:r>
    </w:p>
    <w:p>
      <w:pPr>
        <w:spacing w:after="0" w:line="16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Various federal and state labor laws govern our relationships with our team members and affect our operating costs. Our operations are subject to the U.S. Occupational Safety and Health Act, which governs worker health and safety, the U.S. Fair Labor Standards Act, which governs such matters as minimum wages and overtime, and a variety of similar federal, state and local laws that govern these and other employment law matters. These laws include employee classifications as exempt or non-exempt, minimum wage requirements, unemployment tax rates, workers’ compensation rates, overtime, family leave, working conditions, safety standards, immigration status, state and local payroll taxes, federal and state laws which prohibit discrimination, citizenship requirements and other wage and benefit</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requirements for team members classified as non-exempt. In addition, with the passage in 2010 of the U.S. Patient Protection and Affordable Care Act (the “ACA”), we are required to provide affordable coverage, as defined in the ACA, to eligible team members, or otherwise be</w:t>
      </w:r>
    </w:p>
    <w:p>
      <w:pPr>
        <w:spacing w:after="0" w:line="1"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subject to a payment per team member based on the affordability criteria in the ACA. Additionally, some states and localities have passed state and local laws mandating the provision of certain levels of health benefits by some employers. Significant additional government regulations and new laws, including mandated increases in minimum wages, changes in exempt and non-exempt status, or increased mandated benefits such as health care and insurance costs could have a material adverse effect on our business, financial condition and results of operations. In addition, changes in federal or state workplace regulations could adversely affect our ability to meet our financial targets.</w:t>
      </w:r>
    </w:p>
    <w:p>
      <w:pPr>
        <w:spacing w:after="0" w:line="22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Federal law requires that we verify that our workers have the proper documentation and authorization to work in the U.S. Although we require all workers to provide us with government-specified documentation evidencing their employment eligibility, some of our team members may, without our knowledge, be unauthorized workers. We currently participate in the “E-Verify” program, an Internet-based, free program run by the U.S. government to verify employment eligibility, in Arizona, which is the only state in which we operate where participation is required. However, use of the “E-Verify” program does not guarantee that we will properly identify all applicants who are ineligible for employment, and</w:t>
      </w:r>
    </w:p>
    <w:p>
      <w:pPr>
        <w:spacing w:after="0" w:line="2"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we are not utilizing “E-Verify” in any other states where we operate. Unauthorized workers are subject to deportation and may subject us to fines or penalties, and if any of our workers are found to be unauthorized, we could experience adverse publicity that may negatively impact</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brand and may make it more difficult to hire and keep qualified team members. Termination of a significant number of team members who are unauthorized employees may disrupt our operations, cause temporary increases in our labor costs as we train new team members and result in adverse publicity. We could also become subject to fines, penalties and other costs related to claims that we did not fully comply with all recordkeeping obligations of federal and state immigration compliance laws. These factors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1" w:name="page42"/>
    <w:bookmarkEnd w:id="41"/>
    <w:p>
      <w:pPr>
        <w:ind w:right="40"/>
        <w:spacing w:after="0" w:line="251" w:lineRule="auto"/>
        <w:rPr>
          <w:sz w:val="20"/>
          <w:szCs w:val="20"/>
          <w:color w:val="auto"/>
        </w:rPr>
      </w:pPr>
      <w:r>
        <w:rPr>
          <w:rFonts w:ascii="Arial" w:cs="Arial" w:eastAsia="Arial" w:hAnsi="Arial"/>
          <w:sz w:val="17"/>
          <w:szCs w:val="17"/>
          <w:color w:val="auto"/>
        </w:rPr>
        <w:t>Our business is subject to the risk of litigation by team members, consumers, suppliers, shareholders or others through private actions, class actions, administrative proceedings, regulatory actions or other litigation. The outcome of litigation, particularly class action and regulatory actions, is difficult to assess or quantify. In recent years, restaurant companies, including us, have been subject to lawsuits alleging violations of federal and state laws regarding workplace and employment conditions, discrimination and similar matters, and some restaurants have been subject to class action lawsuits in respect of such matters. A number of these lawsuits have resulted in the payment of substantial damages by the defendants. Similar lawsuits have been instituted from time to time alleging violations of various federal and state wage and</w:t>
      </w:r>
    </w:p>
    <w:p>
      <w:pPr>
        <w:ind w:right="100"/>
        <w:spacing w:after="0"/>
        <w:rPr>
          <w:sz w:val="20"/>
          <w:szCs w:val="20"/>
          <w:color w:val="auto"/>
        </w:rPr>
      </w:pPr>
      <w:r>
        <w:rPr>
          <w:rFonts w:ascii="Arial" w:cs="Arial" w:eastAsia="Arial" w:hAnsi="Arial"/>
          <w:sz w:val="17"/>
          <w:szCs w:val="17"/>
          <w:color w:val="auto"/>
        </w:rPr>
        <w:t>hour laws regarding, among other things, employee meal deductions, overtime eligibility of managers and failure to pay for all hours worked. Regardless of whether any claims against us are valid or whether we are liable, claims may be expensive to defend and may divert time and</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money away from our operations and result in increases in our insurance premiums. In addition, they may generate negative publicity, which could reduce guest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have a material adverse effect on our business, financial condition and results of operations.</w:t>
      </w:r>
    </w:p>
    <w:p>
      <w:pPr>
        <w:spacing w:after="0" w:line="21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On April 13, 2023, certain of our team members at one of our commissaries elected to be represented by a union. We filed objections to the election with the National Labor Relations Board on April 19th, asserting that the union and its agent's promises prevented a free and fair election. We have appealed to the NLRB Regional Director to set aside the election. Although we have not received other petitions to unionize, it is possible that additional team members may elect to be represented by labor unions in the future. If a significant number of our team members were to become unionized and collective bargaining agreement terms were significantly different from our current compensation arrangements, it could have a material adverse effect on our business, financial condition and results of operations. In</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addition, a labor dispute involving some or all our team members may harm our reputation, disrupt our operations and reduce our revenues, and resolution of disputes could increase our costs. Further, if we enter into a new market with unionized construction companies, or the</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construction companies in our current markets become unionized, construction and build-out costs for new restaurants in such markets could materially increase.</w:t>
      </w:r>
    </w:p>
    <w:p>
      <w:pPr>
        <w:spacing w:after="0" w:line="202"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b w:val="1"/>
          <w:bCs w:val="1"/>
          <w:color w:val="auto"/>
        </w:rPr>
        <w:t>Changes in market and general economic conditions have in the past adversely affected, and may in the future adversely affect, our business and profitability and cause volatility in our results of operations.</w:t>
      </w:r>
    </w:p>
    <w:p>
      <w:pPr>
        <w:spacing w:after="0" w:line="16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Recently, concerns have arisen with respect to the financial condition of a number of banking organizations in the United States, in particular those with exposure to certain types of depositors and large portfolios of investment securities. In early March, the FDIC was appointed the receiver for both Silicon Valley Bank and Signature Bank in early March 2023 and First Republic Bank in early May 2023 after the banks were closed by regulators. While we do not have any exposure to these banks, we do hold the cash and cash equivalents used to meet our working capital and operating expense needs, primarily at one financial institution, often in balances that exceed the current FDIC insurance limits. If other banks and financial institutions enter receivership or become insolvent in the future, our ability to access our cash and cash equivalents to satisfy our operations may be threatened and could have a material adverse effect on our business and financial condition. We</w:t>
      </w:r>
    </w:p>
    <w:p>
      <w:pPr>
        <w:spacing w:after="0" w:line="5"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may also lose amounts in excess of the FDIC insurance limits and there can be no guarantee that the government would intervene. Our ability to borrow under our existing credit facilities, as well as our ability to secure additional sources of financing, may be impacted in</w:t>
      </w:r>
    </w:p>
    <w:p>
      <w:pPr>
        <w:spacing w:after="0" w:line="2"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significant ways. We may also be adversely impacted by increased costs of capital resulting from additional regulatory changes and requirements. Our vendors and service providers may also suffer disruptions that in turn adversely impact our operations and business.</w:t>
      </w:r>
    </w:p>
    <w:p>
      <w:pPr>
        <w:spacing w:after="0" w:line="212"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Economic and market conditions have had, and will continue to have, a direct and material impact on our results of operations and financial condition because our performance is heavily influenced by the overall strength of general economic conditions. Concerns about or future adverse developments in the global and domestic financial markets also impact confidence in economic conditions, specifically consumer confidence. In a time of uncertainty or a downturn, consumers may be willing to spend less with our business. There may be additional risks that we have not yet identified. We continue to monitor the potential impact on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2. Unregistered Sales of Equity Securities and Use of Proceeds.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w:t>
      </w:r>
    </w:p>
    <w:p>
      <w:pPr>
        <w:spacing w:after="0" w:line="2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first quarter of 2023, the Company completed a secondary offering of 8,000,000 shares of the Company's Class A common stock at an offering price of $21.05 per share. On April 5, 2023, the Underwriter exercised its overallotment option in part, to purchase an additional 620,493 shares of the Company's Class A common stock at an offering price of $21.05 per share (collectively the "Q1 Secondary Offering and Overallotment Option"). We used all of the net proceeds from the Q1 Secondary Offering and Overallotment Option to purchase LLC Units and corresponding shares of Class B common stock from certain pre-IPO LLC Members and to repurchase shares of Class A common stock from the shareholders of the entities treated as corporations for U.S. tax purposes that held LLC Units prior to the Transactions ("Blocker Companies") at a price per LLC Unit or share of Class A common stock, as applicable, equal to the public offering price per share of Class A common stock, less the underwriting discounts and commissions. The proceeds from the Q1 Secondary Offering and Overallotment Option</w:t>
      </w:r>
    </w:p>
    <w:p>
      <w:pPr>
        <w:sectPr>
          <w:pgSz w:w="11900" w:h="16838" w:orient="portrait"/>
          <w:cols w:equalWidth="0" w:num="1">
            <w:col w:w="11240"/>
          </w:cols>
          <w:pgMar w:left="320" w:top="12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type w:val="continuous"/>
        </w:sectPr>
      </w:pPr>
    </w:p>
    <w:bookmarkStart w:id="42" w:name="page43"/>
    <w:bookmarkEnd w:id="42"/>
    <w:p>
      <w:pPr>
        <w:spacing w:after="0" w:line="255" w:lineRule="auto"/>
        <w:rPr>
          <w:sz w:val="20"/>
          <w:szCs w:val="20"/>
          <w:color w:val="auto"/>
        </w:rPr>
      </w:pPr>
      <w:r>
        <w:rPr>
          <w:rFonts w:ascii="Arial" w:cs="Arial" w:eastAsia="Arial" w:hAnsi="Arial"/>
          <w:sz w:val="18"/>
          <w:szCs w:val="18"/>
          <w:color w:val="auto"/>
        </w:rPr>
        <w:t>were used to (i) purchase 2,269,776 existing shares of Class A common stock from the shareholders of the Blocker Companies and (ii) redeem 6,350,717 LLC Units held by the pre-IPO LLC Members. In connection with the redemption, 6,350,717 shares of Class B common stock were surrendered by the pre-IPO LLC Members and canceled and the Company received 6,350,717 newly-issued LLC Units, increasing the Company's total ownership interest in Portillo's OpCo. As a result, Portillo’s did not receive any proceeds from the offering, and the total number of shares of Class A common stock and Class B common stock did not change; however, the number of outstanding shares of Class A common stock increased by the same number of the canceled shares of Class B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3. Defaults Upon Senior Securities.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4. Mine Safety Disclosures.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5. Other Information.</w:t>
      </w:r>
    </w:p>
    <w:p>
      <w:pPr>
        <w:spacing w:after="0" w:line="26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During the quarter ended June 25, 2023,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6. Exhibits.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b w:val="1"/>
                <w:bCs w:val="1"/>
                <w:color w:val="auto"/>
              </w:rPr>
              <w:t>Exhibit</w:t>
            </w: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Filed</w:t>
            </w:r>
          </w:p>
        </w:tc>
      </w:tr>
      <w:tr>
        <w:trPr>
          <w:trHeight w:val="259"/>
        </w:trPr>
        <w:tc>
          <w:tcPr>
            <w:tcW w:w="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Number</w:t>
            </w:r>
          </w:p>
        </w:tc>
        <w:tc>
          <w:tcPr>
            <w:tcW w:w="8880" w:type="dxa"/>
            <w:vAlign w:val="bottom"/>
            <w:tcBorders>
              <w:bottom w:val="single" w:sz="8" w:color="auto"/>
            </w:tcBorders>
            <w:gridSpan w:val="11"/>
          </w:tcPr>
          <w:p>
            <w:pPr>
              <w:ind w:left="3900"/>
              <w:spacing w:after="0"/>
              <w:rPr>
                <w:sz w:val="20"/>
                <w:szCs w:val="20"/>
                <w:color w:val="auto"/>
              </w:rPr>
            </w:pPr>
            <w:r>
              <w:rPr>
                <w:rFonts w:ascii="Arial" w:cs="Arial" w:eastAsia="Arial" w:hAnsi="Arial"/>
                <w:sz w:val="18"/>
                <w:szCs w:val="18"/>
                <w:b w:val="1"/>
                <w:bCs w:val="1"/>
                <w:color w:val="auto"/>
              </w:rPr>
              <w:t>Description</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r>
      <w:tr>
        <w:trPr>
          <w:trHeight w:val="203"/>
        </w:trPr>
        <w:tc>
          <w:tcPr>
            <w:tcW w:w="20" w:type="dxa"/>
            <w:vAlign w:val="bottom"/>
          </w:tcPr>
          <w:p>
            <w:pPr>
              <w:spacing w:after="0"/>
              <w:rPr>
                <w:sz w:val="17"/>
                <w:szCs w:val="17"/>
                <w:color w:val="auto"/>
              </w:rPr>
            </w:pPr>
          </w:p>
        </w:tc>
        <w:tc>
          <w:tcPr>
            <w:tcW w:w="260" w:type="dxa"/>
            <w:vAlign w:val="bottom"/>
          </w:tcPr>
          <w:p>
            <w:pPr>
              <w:spacing w:after="0" w:line="202" w:lineRule="exact"/>
              <w:rPr>
                <w:rFonts w:ascii="Arial" w:cs="Arial" w:eastAsia="Arial" w:hAnsi="Arial"/>
                <w:sz w:val="18"/>
                <w:szCs w:val="18"/>
                <w:color w:val="auto"/>
                <w:w w:val="95"/>
              </w:rPr>
            </w:pPr>
            <w:hyperlink r:id="rId101">
              <w:r>
                <w:rPr>
                  <w:rFonts w:ascii="Arial" w:cs="Arial" w:eastAsia="Arial" w:hAnsi="Arial"/>
                  <w:sz w:val="18"/>
                  <w:szCs w:val="18"/>
                  <w:color w:val="auto"/>
                  <w:w w:val="95"/>
                </w:rPr>
                <w:t>3.</w:t>
              </w:r>
              <w:r>
                <w:rPr>
                  <w:rFonts w:ascii="Arial" w:cs="Arial" w:eastAsia="Arial" w:hAnsi="Arial"/>
                  <w:sz w:val="18"/>
                  <w:szCs w:val="18"/>
                  <w:u w:val="single" w:color="auto"/>
                  <w:color w:val="auto"/>
                  <w:w w:val="95"/>
                </w:rPr>
                <w:t>1</w:t>
              </w:r>
            </w:hyperlink>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80" w:type="dxa"/>
            <w:vAlign w:val="bottom"/>
            <w:gridSpan w:val="11"/>
          </w:tcPr>
          <w:p>
            <w:pPr>
              <w:spacing w:after="0" w:line="202" w:lineRule="exact"/>
              <w:rPr>
                <w:rFonts w:ascii="Arial" w:cs="Arial" w:eastAsia="Arial" w:hAnsi="Arial"/>
                <w:sz w:val="18"/>
                <w:szCs w:val="18"/>
                <w:color w:val="auto"/>
              </w:rPr>
            </w:pPr>
            <w:hyperlink r:id="rId101">
              <w:r>
                <w:rPr>
                  <w:rFonts w:ascii="Arial" w:cs="Arial" w:eastAsia="Arial" w:hAnsi="Arial"/>
                  <w:sz w:val="18"/>
                  <w:szCs w:val="18"/>
                  <w:color w:val="auto"/>
                </w:rPr>
                <w:t>Amended and Restated Certificate of Incorporation of Portillo's Inc. (incorporated by reference to Exhibit 3.1 of</w:t>
              </w:r>
            </w:hyperlink>
          </w:p>
        </w:tc>
        <w:tc>
          <w:tcPr>
            <w:tcW w:w="1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60" w:type="dxa"/>
            <w:vAlign w:val="bottom"/>
            <w:tcBorders>
              <w:top w:val="single" w:sz="8" w:color="auto"/>
              <w:bottom w:val="single" w:sz="8" w:color="auto"/>
            </w:tcBorders>
            <w:gridSpan w:val="3"/>
          </w:tcPr>
          <w:p>
            <w:pPr>
              <w:spacing w:after="0" w:line="196" w:lineRule="exact"/>
              <w:rPr>
                <w:rFonts w:ascii="Arial" w:cs="Arial" w:eastAsia="Arial" w:hAnsi="Arial"/>
                <w:sz w:val="18"/>
                <w:szCs w:val="18"/>
                <w:color w:val="auto"/>
                <w:w w:val="99"/>
              </w:rPr>
            </w:pPr>
            <w:hyperlink r:id="rId101">
              <w:r>
                <w:rPr>
                  <w:rFonts w:ascii="Arial" w:cs="Arial" w:eastAsia="Arial" w:hAnsi="Arial"/>
                  <w:sz w:val="18"/>
                  <w:szCs w:val="18"/>
                  <w:color w:val="auto"/>
                  <w:w w:val="99"/>
                </w:rPr>
                <w:t>the Company's Quarterly Report on Form 10-Q filed on November 18, 2021)</w:t>
              </w:r>
            </w:hyperlink>
          </w:p>
        </w:tc>
        <w:tc>
          <w:tcPr>
            <w:tcW w:w="2700" w:type="dxa"/>
            <w:vAlign w:val="bottom"/>
            <w:tcBorders>
              <w:top w:val="single" w:sz="8" w:color="auto"/>
            </w:tcBorders>
            <w:gridSpan w:val="7"/>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260" w:type="dxa"/>
            <w:vAlign w:val="bottom"/>
          </w:tcPr>
          <w:p>
            <w:pPr>
              <w:spacing w:after="0"/>
              <w:rPr>
                <w:rFonts w:ascii="Arial" w:cs="Arial" w:eastAsia="Arial" w:hAnsi="Arial"/>
                <w:sz w:val="18"/>
                <w:szCs w:val="18"/>
                <w:color w:val="auto"/>
                <w:w w:val="95"/>
              </w:rPr>
            </w:pPr>
            <w:hyperlink r:id="rId102">
              <w:r>
                <w:rPr>
                  <w:rFonts w:ascii="Arial" w:cs="Arial" w:eastAsia="Arial" w:hAnsi="Arial"/>
                  <w:sz w:val="18"/>
                  <w:szCs w:val="18"/>
                  <w:color w:val="auto"/>
                  <w:w w:val="95"/>
                </w:rPr>
                <w:t>3.</w:t>
              </w:r>
              <w:r>
                <w:rPr>
                  <w:rFonts w:ascii="Arial" w:cs="Arial" w:eastAsia="Arial" w:hAnsi="Arial"/>
                  <w:sz w:val="18"/>
                  <w:szCs w:val="18"/>
                  <w:u w:val="single" w:color="auto"/>
                  <w:color w:val="auto"/>
                  <w:w w:val="95"/>
                </w:rPr>
                <w:t>2</w:t>
              </w:r>
            </w:hyperlink>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80" w:type="dxa"/>
            <w:vAlign w:val="bottom"/>
            <w:gridSpan w:val="11"/>
          </w:tcPr>
          <w:p>
            <w:pPr>
              <w:spacing w:after="0"/>
              <w:rPr>
                <w:rFonts w:ascii="Arial" w:cs="Arial" w:eastAsia="Arial" w:hAnsi="Arial"/>
                <w:sz w:val="18"/>
                <w:szCs w:val="18"/>
                <w:color w:val="auto"/>
              </w:rPr>
            </w:pPr>
            <w:hyperlink r:id="rId102">
              <w:r>
                <w:rPr>
                  <w:rFonts w:ascii="Arial" w:cs="Arial" w:eastAsia="Arial" w:hAnsi="Arial"/>
                  <w:sz w:val="18"/>
                  <w:szCs w:val="18"/>
                  <w:color w:val="auto"/>
                </w:rPr>
                <w:t>Amended and Restated Bylaws of Portillo’s Inc. (incorporated by reference to Exhibit 3.2 of the Company's</w:t>
              </w:r>
            </w:hyperlink>
          </w:p>
        </w:tc>
        <w:tc>
          <w:tcPr>
            <w:tcW w:w="110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20" w:type="dxa"/>
            <w:vAlign w:val="bottom"/>
            <w:tcBorders>
              <w:top w:val="single" w:sz="8" w:color="auto"/>
              <w:bottom w:val="single" w:sz="8" w:color="auto"/>
            </w:tcBorders>
          </w:tcPr>
          <w:p>
            <w:pPr>
              <w:spacing w:after="0" w:line="196" w:lineRule="exact"/>
              <w:rPr>
                <w:rFonts w:ascii="Arial" w:cs="Arial" w:eastAsia="Arial" w:hAnsi="Arial"/>
                <w:sz w:val="18"/>
                <w:szCs w:val="18"/>
                <w:color w:val="auto"/>
                <w:w w:val="99"/>
              </w:rPr>
            </w:pPr>
            <w:hyperlink r:id="rId102">
              <w:r>
                <w:rPr>
                  <w:rFonts w:ascii="Arial" w:cs="Arial" w:eastAsia="Arial" w:hAnsi="Arial"/>
                  <w:sz w:val="18"/>
                  <w:szCs w:val="18"/>
                  <w:color w:val="auto"/>
                  <w:w w:val="99"/>
                </w:rPr>
                <w:t>Quarterly Report on Form 10-Q filed on November 18, 2021)</w:t>
              </w:r>
            </w:hyperlink>
          </w:p>
        </w:tc>
        <w:tc>
          <w:tcPr>
            <w:tcW w:w="3640" w:type="dxa"/>
            <w:vAlign w:val="bottom"/>
            <w:tcBorders>
              <w:top w:val="single" w:sz="8" w:color="auto"/>
            </w:tcBorders>
            <w:gridSpan w:val="7"/>
          </w:tcPr>
          <w:p>
            <w:pPr>
              <w:spacing w:after="0"/>
              <w:rPr>
                <w:sz w:val="17"/>
                <w:szCs w:val="17"/>
                <w:color w:val="auto"/>
              </w:rPr>
            </w:pPr>
          </w:p>
        </w:tc>
        <w:tc>
          <w:tcPr>
            <w:tcW w:w="420" w:type="dxa"/>
            <w:vAlign w:val="bottom"/>
            <w:gridSpan w:val="3"/>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360" w:type="dxa"/>
            <w:vAlign w:val="bottom"/>
            <w:gridSpan w:val="2"/>
          </w:tcPr>
          <w:p>
            <w:pPr>
              <w:spacing w:after="0"/>
              <w:rPr>
                <w:rFonts w:ascii="Arial" w:cs="Arial" w:eastAsia="Arial" w:hAnsi="Arial"/>
                <w:sz w:val="18"/>
                <w:szCs w:val="18"/>
                <w:color w:val="auto"/>
                <w:w w:val="96"/>
              </w:rPr>
            </w:pPr>
            <w:hyperlink r:id="rId103">
              <w:r>
                <w:rPr>
                  <w:rFonts w:ascii="Arial" w:cs="Arial" w:eastAsia="Arial" w:hAnsi="Arial"/>
                  <w:sz w:val="18"/>
                  <w:szCs w:val="18"/>
                  <w:color w:val="auto"/>
                  <w:w w:val="96"/>
                </w:rPr>
                <w:t>10.</w:t>
              </w:r>
            </w:hyperlink>
            <w:r>
              <w:rPr>
                <w:rFonts w:ascii="Arial" w:cs="Arial" w:eastAsia="Arial" w:hAnsi="Arial"/>
                <w:sz w:val="18"/>
                <w:szCs w:val="18"/>
                <w:color w:val="auto"/>
                <w:w w:val="96"/>
              </w:rPr>
              <w:t>1</w:t>
            </w:r>
          </w:p>
        </w:tc>
        <w:tc>
          <w:tcPr>
            <w:tcW w:w="880" w:type="dxa"/>
            <w:vAlign w:val="bottom"/>
          </w:tcPr>
          <w:p>
            <w:pPr>
              <w:spacing w:after="0"/>
              <w:rPr>
                <w:sz w:val="21"/>
                <w:szCs w:val="21"/>
                <w:color w:val="auto"/>
              </w:rPr>
            </w:pPr>
          </w:p>
        </w:tc>
        <w:tc>
          <w:tcPr>
            <w:tcW w:w="8880" w:type="dxa"/>
            <w:vAlign w:val="bottom"/>
            <w:gridSpan w:val="11"/>
          </w:tcPr>
          <w:p>
            <w:pPr>
              <w:spacing w:after="0"/>
              <w:rPr>
                <w:rFonts w:ascii="Arial" w:cs="Arial" w:eastAsia="Arial" w:hAnsi="Arial"/>
                <w:sz w:val="18"/>
                <w:szCs w:val="18"/>
                <w:color w:val="auto"/>
              </w:rPr>
            </w:pPr>
            <w:hyperlink r:id="rId103">
              <w:r>
                <w:rPr>
                  <w:rFonts w:ascii="Arial" w:cs="Arial" w:eastAsia="Arial" w:hAnsi="Arial"/>
                  <w:sz w:val="18"/>
                  <w:szCs w:val="18"/>
                  <w:color w:val="auto"/>
                </w:rPr>
                <w:t>Form of Stock and Unit Purchase Agreement by and among Portillo’s Inc. and the parties named therein</w:t>
              </w:r>
            </w:hyperlink>
          </w:p>
        </w:tc>
        <w:tc>
          <w:tcPr>
            <w:tcW w:w="110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960" w:type="dxa"/>
            <w:vAlign w:val="bottom"/>
            <w:tcBorders>
              <w:top w:val="single" w:sz="8" w:color="auto"/>
              <w:bottom w:val="single" w:sz="8" w:color="auto"/>
            </w:tcBorders>
            <w:gridSpan w:val="4"/>
          </w:tcPr>
          <w:p>
            <w:pPr>
              <w:spacing w:after="0" w:line="196" w:lineRule="exact"/>
              <w:rPr>
                <w:rFonts w:ascii="Arial" w:cs="Arial" w:eastAsia="Arial" w:hAnsi="Arial"/>
                <w:sz w:val="18"/>
                <w:szCs w:val="18"/>
                <w:color w:val="auto"/>
                <w:w w:val="99"/>
              </w:rPr>
            </w:pPr>
            <w:hyperlink r:id="rId103">
              <w:r>
                <w:rPr>
                  <w:rFonts w:ascii="Arial" w:cs="Arial" w:eastAsia="Arial" w:hAnsi="Arial"/>
                  <w:sz w:val="18"/>
                  <w:szCs w:val="18"/>
                  <w:color w:val="auto"/>
                  <w:w w:val="99"/>
                </w:rPr>
                <w:t>(incorporated by reference to the Company's Registration Statement on S-1 filed on August 8, 2022)</w:t>
              </w:r>
            </w:hyperlink>
          </w:p>
        </w:tc>
        <w:tc>
          <w:tcPr>
            <w:tcW w:w="300" w:type="dxa"/>
            <w:vAlign w:val="bottom"/>
            <w:tcBorders>
              <w:top w:val="single" w:sz="8" w:color="auto"/>
            </w:tcBorders>
            <w:gridSpan w:val="3"/>
          </w:tcPr>
          <w:p>
            <w:pPr>
              <w:spacing w:after="0"/>
              <w:rPr>
                <w:sz w:val="17"/>
                <w:szCs w:val="17"/>
                <w:color w:val="auto"/>
              </w:rPr>
            </w:pPr>
          </w:p>
        </w:tc>
        <w:tc>
          <w:tcPr>
            <w:tcW w:w="620" w:type="dxa"/>
            <w:vAlign w:val="bottom"/>
            <w:gridSpan w:val="4"/>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w w:val="96"/>
              </w:rPr>
              <w:t>31.</w:t>
            </w:r>
            <w:r>
              <w:rPr>
                <w:rFonts w:ascii="Arial" w:cs="Arial" w:eastAsia="Arial" w:hAnsi="Arial"/>
                <w:sz w:val="18"/>
                <w:szCs w:val="18"/>
                <w:u w:val="single" w:color="auto"/>
                <w:color w:val="auto"/>
                <w:w w:val="96"/>
              </w:rPr>
              <w:t>1</w:t>
            </w:r>
          </w:p>
        </w:tc>
        <w:tc>
          <w:tcPr>
            <w:tcW w:w="880" w:type="dxa"/>
            <w:vAlign w:val="bottom"/>
          </w:tcPr>
          <w:p>
            <w:pPr>
              <w:spacing w:after="0"/>
              <w:rPr>
                <w:sz w:val="21"/>
                <w:szCs w:val="21"/>
                <w:color w:val="auto"/>
              </w:rPr>
            </w:pPr>
          </w:p>
        </w:tc>
        <w:tc>
          <w:tcPr>
            <w:tcW w:w="8880" w:type="dxa"/>
            <w:vAlign w:val="bottom"/>
            <w:gridSpan w:val="11"/>
          </w:tcPr>
          <w:p>
            <w:pPr>
              <w:spacing w:after="0"/>
              <w:rPr>
                <w:sz w:val="20"/>
                <w:szCs w:val="20"/>
                <w:color w:val="auto"/>
              </w:rPr>
            </w:pPr>
            <w:r>
              <w:rPr>
                <w:rFonts w:ascii="Arial" w:cs="Arial" w:eastAsia="Arial" w:hAnsi="Arial"/>
                <w:sz w:val="18"/>
                <w:szCs w:val="18"/>
                <w:color w:val="auto"/>
              </w:rPr>
              <w:t>Certification of the Principal Executive Officer pursuant to Securities Exchange Act Rules 13a-14(a), as</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816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auto"/>
              </w:rPr>
              <w:t>adopted pursuant to Section 302 of the Sarbanes-Oxley Act of 2002</w:t>
            </w:r>
          </w:p>
        </w:tc>
        <w:tc>
          <w:tcPr>
            <w:tcW w:w="720" w:type="dxa"/>
            <w:vAlign w:val="bottom"/>
            <w:gridSpan w:val="5"/>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3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380" w:type="dxa"/>
            <w:vAlign w:val="bottom"/>
            <w:gridSpan w:val="2"/>
            <w:shd w:val="clear" w:color="auto" w:fill="000000"/>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w w:val="96"/>
              </w:rPr>
              <w:t>31.</w:t>
            </w:r>
            <w:r>
              <w:rPr>
                <w:rFonts w:ascii="Arial" w:cs="Arial" w:eastAsia="Arial" w:hAnsi="Arial"/>
                <w:sz w:val="18"/>
                <w:szCs w:val="18"/>
                <w:u w:val="single" w:color="auto"/>
                <w:color w:val="auto"/>
                <w:w w:val="96"/>
              </w:rPr>
              <w:t>2</w:t>
            </w:r>
          </w:p>
        </w:tc>
        <w:tc>
          <w:tcPr>
            <w:tcW w:w="880" w:type="dxa"/>
            <w:vAlign w:val="bottom"/>
          </w:tcPr>
          <w:p>
            <w:pPr>
              <w:spacing w:after="0"/>
              <w:rPr>
                <w:sz w:val="21"/>
                <w:szCs w:val="21"/>
                <w:color w:val="auto"/>
              </w:rPr>
            </w:pPr>
          </w:p>
        </w:tc>
        <w:tc>
          <w:tcPr>
            <w:tcW w:w="8880" w:type="dxa"/>
            <w:vAlign w:val="bottom"/>
            <w:gridSpan w:val="11"/>
          </w:tcPr>
          <w:p>
            <w:pPr>
              <w:spacing w:after="0"/>
              <w:rPr>
                <w:sz w:val="20"/>
                <w:szCs w:val="20"/>
                <w:color w:val="auto"/>
              </w:rPr>
            </w:pPr>
            <w:r>
              <w:rPr>
                <w:rFonts w:ascii="Arial" w:cs="Arial" w:eastAsia="Arial" w:hAnsi="Arial"/>
                <w:sz w:val="18"/>
                <w:szCs w:val="18"/>
                <w:color w:val="auto"/>
              </w:rPr>
              <w:t>Certification of the Principal Financial Officer pursuant to Securities Exchange Act Rules 13a-14(a), as</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8100" w:type="dxa"/>
            <w:vAlign w:val="bottom"/>
            <w:tcBorders>
              <w:top w:val="single" w:sz="8" w:color="auto"/>
            </w:tcBorders>
            <w:gridSpan w:val="5"/>
          </w:tcPr>
          <w:p>
            <w:pPr>
              <w:spacing w:after="0" w:line="196" w:lineRule="exact"/>
              <w:rPr>
                <w:sz w:val="20"/>
                <w:szCs w:val="20"/>
                <w:color w:val="auto"/>
              </w:rPr>
            </w:pPr>
            <w:r>
              <w:rPr>
                <w:rFonts w:ascii="Arial" w:cs="Arial" w:eastAsia="Arial" w:hAnsi="Arial"/>
                <w:sz w:val="18"/>
                <w:szCs w:val="18"/>
                <w:color w:val="auto"/>
              </w:rPr>
              <w:t>adopted pursuant to Section 302 of the Sarbanes-Oxley Act of 2002</w:t>
            </w:r>
          </w:p>
        </w:tc>
        <w:tc>
          <w:tcPr>
            <w:tcW w:w="780" w:type="dxa"/>
            <w:vAlign w:val="bottom"/>
            <w:gridSpan w:val="6"/>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3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380" w:type="dxa"/>
            <w:vAlign w:val="bottom"/>
            <w:gridSpan w:val="2"/>
            <w:shd w:val="clear" w:color="auto" w:fill="000000"/>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w w:val="96"/>
              </w:rPr>
              <w:t>32.</w:t>
            </w:r>
            <w:r>
              <w:rPr>
                <w:rFonts w:ascii="Arial" w:cs="Arial" w:eastAsia="Arial" w:hAnsi="Arial"/>
                <w:sz w:val="18"/>
                <w:szCs w:val="18"/>
                <w:u w:val="single" w:color="auto"/>
                <w:color w:val="auto"/>
                <w:w w:val="96"/>
              </w:rPr>
              <w:t>1</w:t>
            </w:r>
          </w:p>
        </w:tc>
        <w:tc>
          <w:tcPr>
            <w:tcW w:w="880" w:type="dxa"/>
            <w:vAlign w:val="bottom"/>
          </w:tcPr>
          <w:p>
            <w:pPr>
              <w:spacing w:after="0"/>
              <w:rPr>
                <w:sz w:val="21"/>
                <w:szCs w:val="21"/>
                <w:color w:val="auto"/>
              </w:rPr>
            </w:pPr>
          </w:p>
        </w:tc>
        <w:tc>
          <w:tcPr>
            <w:tcW w:w="8880" w:type="dxa"/>
            <w:vAlign w:val="bottom"/>
            <w:gridSpan w:val="11"/>
          </w:tcPr>
          <w:p>
            <w:pPr>
              <w:spacing w:after="0"/>
              <w:rPr>
                <w:sz w:val="20"/>
                <w:szCs w:val="20"/>
                <w:color w:val="auto"/>
              </w:rPr>
            </w:pPr>
            <w:r>
              <w:rPr>
                <w:rFonts w:ascii="Arial" w:cs="Arial" w:eastAsia="Arial" w:hAnsi="Arial"/>
                <w:sz w:val="18"/>
                <w:szCs w:val="18"/>
                <w:color w:val="auto"/>
              </w:rPr>
              <w:t>Certifications of the Chief Executive Officer and Chief Financial Officer pursuant to 18 U.S.C. Section 1350, as</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96"/>
        </w:trPr>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8740" w:type="dxa"/>
            <w:vAlign w:val="bottom"/>
            <w:tcBorders>
              <w:top w:val="single" w:sz="8" w:color="auto"/>
            </w:tcBorders>
            <w:gridSpan w:val="9"/>
          </w:tcPr>
          <w:p>
            <w:pPr>
              <w:spacing w:after="0" w:line="196" w:lineRule="exact"/>
              <w:rPr>
                <w:sz w:val="20"/>
                <w:szCs w:val="20"/>
                <w:color w:val="auto"/>
              </w:rPr>
            </w:pPr>
            <w:r>
              <w:rPr>
                <w:rFonts w:ascii="Arial" w:cs="Arial" w:eastAsia="Arial" w:hAnsi="Arial"/>
                <w:sz w:val="18"/>
                <w:szCs w:val="18"/>
                <w:color w:val="auto"/>
              </w:rPr>
              <w:t>adopted pursuant to Section 906 of the Sarbanes-Oxley Act of 2002</w:t>
            </w:r>
          </w:p>
        </w:tc>
        <w:tc>
          <w:tcPr>
            <w:tcW w:w="14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380" w:type="dxa"/>
            <w:vAlign w:val="bottom"/>
            <w:gridSpan w:val="2"/>
            <w:shd w:val="clear" w:color="auto" w:fill="000000"/>
          </w:tcPr>
          <w:p>
            <w:pPr>
              <w:spacing w:after="0" w:line="20" w:lineRule="exact"/>
              <w:rPr>
                <w:sz w:val="1"/>
                <w:szCs w:val="1"/>
                <w:color w:val="auto"/>
              </w:rPr>
            </w:pPr>
          </w:p>
        </w:tc>
        <w:tc>
          <w:tcPr>
            <w:tcW w:w="3500" w:type="dxa"/>
            <w:vAlign w:val="bottom"/>
            <w:gridSpan w:val="9"/>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8880" w:type="dxa"/>
            <w:vAlign w:val="bottom"/>
            <w:gridSpan w:val="11"/>
          </w:tcPr>
          <w:p>
            <w:pPr>
              <w:spacing w:after="0"/>
              <w:rPr>
                <w:sz w:val="20"/>
                <w:szCs w:val="20"/>
                <w:color w:val="auto"/>
              </w:rPr>
            </w:pPr>
            <w:r>
              <w:rPr>
                <w:rFonts w:ascii="Arial" w:cs="Arial" w:eastAsia="Arial" w:hAnsi="Arial"/>
                <w:sz w:val="18"/>
                <w:szCs w:val="18"/>
                <w:color w:val="auto"/>
              </w:rPr>
              <w:t>XBRL Instance Document - the instance document does not appear in the Interactive Data File because its</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80" w:type="dxa"/>
            <w:vAlign w:val="bottom"/>
            <w:gridSpan w:val="11"/>
          </w:tcPr>
          <w:p>
            <w:pPr>
              <w:spacing w:after="0"/>
              <w:rPr>
                <w:sz w:val="20"/>
                <w:szCs w:val="20"/>
                <w:color w:val="auto"/>
              </w:rPr>
            </w:pPr>
            <w:r>
              <w:rPr>
                <w:rFonts w:ascii="Arial" w:cs="Arial" w:eastAsia="Arial" w:hAnsi="Arial"/>
                <w:sz w:val="18"/>
                <w:szCs w:val="18"/>
                <w:color w:val="auto"/>
              </w:rPr>
              <w:t>XBRL tags are embedded within the Inline XBRL document</w:t>
            </w:r>
          </w:p>
        </w:tc>
        <w:tc>
          <w:tcPr>
            <w:tcW w:w="110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888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888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888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888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888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57"/>
        </w:trPr>
        <w:tc>
          <w:tcPr>
            <w:tcW w:w="380" w:type="dxa"/>
            <w:vAlign w:val="bottom"/>
            <w:gridSpan w:val="3"/>
          </w:tcPr>
          <w:p>
            <w:pPr>
              <w:ind w:left="20"/>
              <w:spacing w:after="0"/>
              <w:rPr>
                <w:sz w:val="20"/>
                <w:szCs w:val="20"/>
                <w:color w:val="auto"/>
              </w:rPr>
            </w:pPr>
            <w:r>
              <w:rPr>
                <w:rFonts w:ascii="Arial" w:cs="Arial" w:eastAsia="Arial" w:hAnsi="Arial"/>
                <w:sz w:val="18"/>
                <w:szCs w:val="18"/>
                <w:color w:val="auto"/>
              </w:rPr>
              <w:t>104</w:t>
            </w:r>
          </w:p>
        </w:tc>
        <w:tc>
          <w:tcPr>
            <w:tcW w:w="880" w:type="dxa"/>
            <w:vAlign w:val="bottom"/>
          </w:tcPr>
          <w:p>
            <w:pPr>
              <w:spacing w:after="0"/>
              <w:rPr>
                <w:sz w:val="22"/>
                <w:szCs w:val="22"/>
                <w:color w:val="auto"/>
              </w:rPr>
            </w:pPr>
          </w:p>
        </w:tc>
        <w:tc>
          <w:tcPr>
            <w:tcW w:w="8880" w:type="dxa"/>
            <w:vAlign w:val="bottom"/>
            <w:gridSpan w:val="11"/>
          </w:tcPr>
          <w:p>
            <w:pPr>
              <w:spacing w:after="0"/>
              <w:rPr>
                <w:sz w:val="20"/>
                <w:szCs w:val="20"/>
                <w:color w:val="auto"/>
              </w:rPr>
            </w:pPr>
            <w:r>
              <w:rPr>
                <w:rFonts w:ascii="Arial" w:cs="Arial" w:eastAsia="Arial" w:hAnsi="Arial"/>
                <w:sz w:val="18"/>
                <w:szCs w:val="18"/>
                <w:color w:val="auto"/>
              </w:rPr>
              <w:t>Cover page Interactive Data File - the cover page interactive data file does not appear in the Interactive Data</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80" w:type="dxa"/>
            <w:vAlign w:val="bottom"/>
            <w:gridSpan w:val="11"/>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1100" w:type="dxa"/>
            <w:vAlign w:val="bottom"/>
          </w:tcPr>
          <w:p>
            <w:pPr>
              <w:spacing w:after="0"/>
              <w:rPr>
                <w:sz w:val="19"/>
                <w:szCs w:val="19"/>
                <w:color w:val="auto"/>
              </w:rPr>
            </w:pPr>
          </w:p>
        </w:tc>
      </w:tr>
    </w:tbl>
    <w:p>
      <w:pPr>
        <w:spacing w:after="0" w:line="103"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Filed Herewith</w:t>
      </w:r>
    </w:p>
    <w:p>
      <w:pPr>
        <w:spacing w:after="0" w:line="27"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Furnished Herewith</w:t>
      </w:r>
    </w:p>
    <w:p>
      <w:pPr>
        <w:spacing w:after="0" w:line="9"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a management contract or compensatory plan 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6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Portillo's Inc.</w:t>
      </w:r>
    </w:p>
    <w:p>
      <w:pPr>
        <w:spacing w:after="0" w:line="7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20"/>
        <w:spacing w:after="0"/>
        <w:tabs>
          <w:tab w:leader="none" w:pos="4640" w:val="left"/>
          <w:tab w:leader="none" w:pos="524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Osanloo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31115</wp:posOffset>
            </wp:positionV>
            <wp:extent cx="38061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Michael Osanloo</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President, Chief Executive Officer and Director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(Principal Executive Officer)</w:t>
      </w:r>
    </w:p>
    <w:p>
      <w:pPr>
        <w:spacing w:after="0" w:line="335" w:lineRule="exact"/>
        <w:rPr>
          <w:sz w:val="20"/>
          <w:szCs w:val="20"/>
          <w:color w:val="auto"/>
        </w:rPr>
      </w:pPr>
    </w:p>
    <w:p>
      <w:pPr>
        <w:ind w:left="20"/>
        <w:spacing w:after="0"/>
        <w:tabs>
          <w:tab w:leader="none" w:pos="4640" w:val="left"/>
          <w:tab w:leader="none" w:pos="524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31115</wp:posOffset>
            </wp:positionV>
            <wp:extent cx="38061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Michelle Hook</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Financial Officer and Treasurer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43</w:t>
      </w:r>
    </w:p>
    <w:p>
      <w:pPr>
        <w:sectPr>
          <w:pgSz w:w="11900" w:h="16838" w:orient="portrait"/>
          <w:cols w:equalWidth="0" w:num="1">
            <w:col w:w="11240"/>
          </w:cols>
          <w:pgMar w:left="320" w:top="37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Michael Osanloo, certify that:</w:t>
      </w:r>
    </w:p>
    <w:p>
      <w:pPr>
        <w:spacing w:after="0" w:line="50" w:lineRule="exact"/>
        <w:rPr>
          <w:sz w:val="20"/>
          <w:szCs w:val="20"/>
          <w:color w:val="auto"/>
        </w:rPr>
      </w:pPr>
    </w:p>
    <w:p>
      <w:pPr>
        <w:ind w:left="1420" w:hanging="930"/>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25, 2023 of Portillo's Inc.;</w:t>
      </w:r>
    </w:p>
    <w:p>
      <w:pPr>
        <w:spacing w:after="0" w:line="22" w:lineRule="exact"/>
        <w:rPr>
          <w:rFonts w:ascii="Arial" w:cs="Arial" w:eastAsia="Arial" w:hAnsi="Arial"/>
          <w:sz w:val="18"/>
          <w:szCs w:val="18"/>
          <w:color w:val="auto"/>
        </w:rPr>
      </w:pPr>
    </w:p>
    <w:p>
      <w:pPr>
        <w:ind w:left="1420" w:right="40" w:hanging="930"/>
        <w:spacing w:after="0" w:line="229"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1420" w:right="40" w:hanging="930"/>
        <w:spacing w:after="0" w:line="229"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8"/>
          <w:szCs w:val="18"/>
          <w:color w:val="auto"/>
        </w:rPr>
      </w:pPr>
    </w:p>
    <w:p>
      <w:pPr>
        <w:ind w:left="1420" w:right="300" w:hanging="930"/>
        <w:spacing w:after="0" w:line="229"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1420" w:right="160" w:hanging="462"/>
        <w:spacing w:after="0" w:line="229"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420" w:right="420" w:hanging="462"/>
        <w:spacing w:after="0" w:line="243" w:lineRule="auto"/>
        <w:tabs>
          <w:tab w:leader="none" w:pos="14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420" w:right="180" w:hanging="462"/>
        <w:spacing w:after="0" w:line="229"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 w:lineRule="exact"/>
        <w:rPr>
          <w:rFonts w:ascii="Arial" w:cs="Arial" w:eastAsia="Arial" w:hAnsi="Arial"/>
          <w:sz w:val="18"/>
          <w:szCs w:val="18"/>
          <w:color w:val="auto"/>
        </w:rPr>
      </w:pPr>
    </w:p>
    <w:p>
      <w:pPr>
        <w:ind w:left="1420" w:right="260" w:hanging="462"/>
        <w:spacing w:after="0" w:line="237" w:lineRule="auto"/>
        <w:tabs>
          <w:tab w:leader="none" w:pos="14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Arial" w:cs="Arial" w:eastAsia="Arial" w:hAnsi="Arial"/>
          <w:sz w:val="17"/>
          <w:szCs w:val="17"/>
          <w:color w:val="auto"/>
        </w:rPr>
      </w:pPr>
    </w:p>
    <w:p>
      <w:pPr>
        <w:ind w:left="1420" w:right="280" w:hanging="930"/>
        <w:spacing w:after="0" w:line="224"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 w:lineRule="exact"/>
        <w:rPr>
          <w:rFonts w:ascii="Arial" w:cs="Arial" w:eastAsia="Arial" w:hAnsi="Arial"/>
          <w:sz w:val="18"/>
          <w:szCs w:val="18"/>
          <w:color w:val="auto"/>
        </w:rPr>
      </w:pPr>
    </w:p>
    <w:p>
      <w:pPr>
        <w:jc w:val="both"/>
        <w:ind w:left="1420" w:right="320" w:hanging="462"/>
        <w:spacing w:after="0" w:line="224"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 w:lineRule="exact"/>
        <w:rPr>
          <w:rFonts w:ascii="Arial" w:cs="Arial" w:eastAsia="Arial" w:hAnsi="Arial"/>
          <w:sz w:val="18"/>
          <w:szCs w:val="18"/>
          <w:color w:val="auto"/>
        </w:rPr>
      </w:pPr>
    </w:p>
    <w:p>
      <w:pPr>
        <w:ind w:left="1420" w:right="660" w:hanging="462"/>
        <w:spacing w:after="0" w:line="234"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ind w:left="20"/>
        <w:spacing w:after="0"/>
        <w:tabs>
          <w:tab w:leader="none" w:pos="5440" w:val="left"/>
          <w:tab w:leader="none" w:pos="616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Osanloo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13970</wp:posOffset>
            </wp:positionV>
            <wp:extent cx="32232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Osanloo</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Chief Executive Officer and Director</w:t>
      </w: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Michelle Hook, certify that:</w:t>
      </w:r>
    </w:p>
    <w:p>
      <w:pPr>
        <w:spacing w:after="0" w:line="50" w:lineRule="exact"/>
        <w:rPr>
          <w:sz w:val="20"/>
          <w:szCs w:val="20"/>
          <w:color w:val="auto"/>
        </w:rPr>
      </w:pPr>
    </w:p>
    <w:p>
      <w:pPr>
        <w:ind w:left="1420" w:hanging="930"/>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25, 2023 of Portillo's Inc.;</w:t>
      </w:r>
    </w:p>
    <w:p>
      <w:pPr>
        <w:spacing w:after="0" w:line="22" w:lineRule="exact"/>
        <w:rPr>
          <w:rFonts w:ascii="Arial" w:cs="Arial" w:eastAsia="Arial" w:hAnsi="Arial"/>
          <w:sz w:val="18"/>
          <w:szCs w:val="18"/>
          <w:color w:val="auto"/>
        </w:rPr>
      </w:pPr>
    </w:p>
    <w:p>
      <w:pPr>
        <w:ind w:left="1420" w:right="40" w:hanging="930"/>
        <w:spacing w:after="0" w:line="229"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1420" w:right="40" w:hanging="930"/>
        <w:spacing w:after="0" w:line="229"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8"/>
          <w:szCs w:val="18"/>
          <w:color w:val="auto"/>
        </w:rPr>
      </w:pPr>
    </w:p>
    <w:p>
      <w:pPr>
        <w:ind w:left="1420" w:right="300" w:hanging="930"/>
        <w:spacing w:after="0" w:line="229"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1420" w:right="160" w:hanging="462"/>
        <w:spacing w:after="0" w:line="229"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420" w:right="420" w:hanging="462"/>
        <w:spacing w:after="0" w:line="243" w:lineRule="auto"/>
        <w:tabs>
          <w:tab w:leader="none" w:pos="14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420" w:right="180" w:hanging="462"/>
        <w:spacing w:after="0" w:line="229"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 w:lineRule="exact"/>
        <w:rPr>
          <w:rFonts w:ascii="Arial" w:cs="Arial" w:eastAsia="Arial" w:hAnsi="Arial"/>
          <w:sz w:val="18"/>
          <w:szCs w:val="18"/>
          <w:color w:val="auto"/>
        </w:rPr>
      </w:pPr>
    </w:p>
    <w:p>
      <w:pPr>
        <w:ind w:left="1420" w:right="260" w:hanging="462"/>
        <w:spacing w:after="0" w:line="237" w:lineRule="auto"/>
        <w:tabs>
          <w:tab w:leader="none" w:pos="14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Arial" w:cs="Arial" w:eastAsia="Arial" w:hAnsi="Arial"/>
          <w:sz w:val="17"/>
          <w:szCs w:val="17"/>
          <w:color w:val="auto"/>
        </w:rPr>
      </w:pPr>
    </w:p>
    <w:p>
      <w:pPr>
        <w:ind w:left="1420" w:right="280" w:hanging="930"/>
        <w:spacing w:after="0" w:line="224"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 w:lineRule="exact"/>
        <w:rPr>
          <w:rFonts w:ascii="Arial" w:cs="Arial" w:eastAsia="Arial" w:hAnsi="Arial"/>
          <w:sz w:val="18"/>
          <w:szCs w:val="18"/>
          <w:color w:val="auto"/>
        </w:rPr>
      </w:pPr>
    </w:p>
    <w:p>
      <w:pPr>
        <w:jc w:val="both"/>
        <w:ind w:left="1420" w:right="320" w:hanging="462"/>
        <w:spacing w:after="0" w:line="224"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 w:lineRule="exact"/>
        <w:rPr>
          <w:rFonts w:ascii="Arial" w:cs="Arial" w:eastAsia="Arial" w:hAnsi="Arial"/>
          <w:sz w:val="18"/>
          <w:szCs w:val="18"/>
          <w:color w:val="auto"/>
        </w:rPr>
      </w:pPr>
    </w:p>
    <w:p>
      <w:pPr>
        <w:ind w:left="1420" w:right="660" w:hanging="462"/>
        <w:spacing w:after="0" w:line="234"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ind w:left="20"/>
        <w:spacing w:after="0"/>
        <w:tabs>
          <w:tab w:leader="none" w:pos="5440" w:val="left"/>
          <w:tab w:leader="none" w:pos="616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13970</wp:posOffset>
            </wp:positionV>
            <wp:extent cx="32232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Michelle Hook</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 and Treasurer</w:t>
      </w:r>
    </w:p>
    <w:p>
      <w:pPr>
        <w:ind w:left="61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118"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4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connection with the Quarterly Report on Form 10-Q of Portillo's Inc. (the “Company”), for the quarterly period ended June 25, 2023,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4" w:lineRule="exact"/>
        <w:rPr>
          <w:sz w:val="20"/>
          <w:szCs w:val="20"/>
          <w:color w:val="auto"/>
        </w:rPr>
      </w:pPr>
    </w:p>
    <w:p>
      <w:pPr>
        <w:ind w:left="940" w:hanging="461"/>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sz w:val="20"/>
          <w:szCs w:val="20"/>
          <w:color w:val="auto"/>
        </w:rPr>
      </w:pPr>
    </w:p>
    <w:p>
      <w:pPr>
        <w:ind w:left="940" w:right="40" w:hanging="461"/>
        <w:spacing w:after="0" w:line="234"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9" w:lineRule="exact"/>
        <w:rPr>
          <w:sz w:val="20"/>
          <w:szCs w:val="20"/>
          <w:color w:val="auto"/>
        </w:rPr>
      </w:pPr>
    </w:p>
    <w:p>
      <w:pPr>
        <w:ind w:left="20"/>
        <w:spacing w:after="0"/>
        <w:tabs>
          <w:tab w:leader="none" w:pos="5440" w:val="left"/>
          <w:tab w:leader="none" w:pos="620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Osanloo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22225</wp:posOffset>
            </wp:positionV>
            <wp:extent cx="31978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3197860" cy="8255"/>
                    </a:xfrm>
                    <a:prstGeom prst="rect">
                      <a:avLst/>
                    </a:prstGeom>
                    <a:noFill/>
                  </pic:spPr>
                </pic:pic>
              </a:graphicData>
            </a:graphic>
          </wp:anchor>
        </w:drawing>
      </w:r>
    </w:p>
    <w:p>
      <w:pPr>
        <w:spacing w:after="0" w:line="3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Michael Osanloo</w:t>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President, Chief Executive Officer and Director</w:t>
      </w:r>
    </w:p>
    <w:p>
      <w:pPr>
        <w:ind w:left="6220"/>
        <w:spacing w:after="0"/>
        <w:rPr>
          <w:sz w:val="20"/>
          <w:szCs w:val="20"/>
          <w:color w:val="auto"/>
        </w:rPr>
      </w:pPr>
      <w:r>
        <w:rPr>
          <w:rFonts w:ascii="Arial" w:cs="Arial" w:eastAsia="Arial" w:hAnsi="Arial"/>
          <w:sz w:val="18"/>
          <w:szCs w:val="18"/>
          <w:color w:val="auto"/>
        </w:rPr>
        <w:t>(Principal Executive Officer)</w:t>
      </w:r>
    </w:p>
    <w:p>
      <w:pPr>
        <w:spacing w:after="0" w:line="362" w:lineRule="exact"/>
        <w:rPr>
          <w:sz w:val="20"/>
          <w:szCs w:val="20"/>
          <w:color w:val="auto"/>
        </w:rPr>
      </w:pPr>
    </w:p>
    <w:p>
      <w:pPr>
        <w:ind w:left="20"/>
        <w:spacing w:after="0"/>
        <w:tabs>
          <w:tab w:leader="none" w:pos="5440" w:val="left"/>
          <w:tab w:leader="none" w:pos="622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22225</wp:posOffset>
            </wp:positionV>
            <wp:extent cx="31807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3180715" cy="8890"/>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Michelle Hook</w:t>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 and Treasurer</w:t>
      </w:r>
    </w:p>
    <w:p>
      <w:pPr>
        <w:ind w:left="6240"/>
        <w:spacing w:after="0"/>
        <w:rPr>
          <w:sz w:val="20"/>
          <w:szCs w:val="20"/>
          <w:color w:val="auto"/>
        </w:rPr>
      </w:pPr>
      <w:r>
        <w:rPr>
          <w:rFonts w:ascii="Arial" w:cs="Arial" w:eastAsia="Arial" w:hAnsi="Arial"/>
          <w:sz w:val="18"/>
          <w:szCs w:val="18"/>
          <w:color w:val="auto"/>
        </w:rPr>
        <w:t>(Principal Financial Officer and Principal Accounting Officer)</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lvl w:ilvl="1">
      <w:lvlJc w:val="left"/>
      <w:lvlText w:val="•"/>
      <w:numFmt w:val="bullet"/>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lowerRoman"/>
      <w:start w:val="2"/>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4"/>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bullet"/>
      <w:start w:val="1"/>
    </w:lvl>
  </w:abstractNum>
  <w:abstractNum w:abstractNumId="15">
    <w:nsid w:val="6B68079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4" Type="http://schemas.openxmlformats.org/officeDocument/2006/relationships/image" Target="media/image94.jpe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jpe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01" Type="http://schemas.openxmlformats.org/officeDocument/2006/relationships/hyperlink" Target="https://www.sec.gov/Archives/edgar/data/1871509/000187150921000009/exhibit31amendedandrestate.htm" TargetMode="External"/><Relationship Id="rId102" Type="http://schemas.openxmlformats.org/officeDocument/2006/relationships/hyperlink" Target="https://www.sec.gov/Archives/edgar/data/1871509/000187150921000009/exhibit32amendedandrestate.htm" TargetMode="External"/><Relationship Id="rId103" Type="http://schemas.openxmlformats.org/officeDocument/2006/relationships/hyperlink" Target="http://www.sec.gov/Archives/edgar/data/1871509/000119312522214895/d382690de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2023-08-03T07:19:59Z</dcterms:created>
  <dcterms:modified xsi:type="dcterms:W3CDTF">2023-08-03T07:19:59Z</dcterms:modified>
</cp:coreProperties>
</file>