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UNITED STATES</w: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SECURITIES AND EXCHANGE COMMISSION</w: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WASHINGTON, D.C. 20549</w:t>
      </w:r>
    </w:p>
    <w:p>
      <w:pPr>
        <w:pStyle w:val="TextBody"/>
        <w:bidi w:val="0"/>
        <w:spacing w:before="0" w:after="0"/>
        <w:jc w:val="center"/>
        <w:rPr/>
      </w:pPr>
      <w:r>
        <w:rPr/>
      </w:r>
    </w:p>
    <w:tbl>
      <w:tblPr>
        <w:tblW w:w="1905" w:type="dxa"/>
        <w:jc w:val="center"/>
        <w:tblInd w:w="0" w:type="dxa"/>
        <w:tblLayout w:type="fixed"/>
        <w:tblCellMar>
          <w:top w:w="28" w:type="dxa"/>
          <w:left w:w="28" w:type="dxa"/>
          <w:bottom w:w="28" w:type="dxa"/>
          <w:right w:w="28" w:type="dxa"/>
        </w:tblCellMar>
      </w:tblPr>
      <w:tblGrid>
        <w:gridCol w:w="610"/>
        <w:gridCol w:w="535"/>
        <w:gridCol w:w="760"/>
      </w:tblGrid>
      <w:tr>
        <w:trPr/>
        <w:tc>
          <w:tcPr>
            <w:tcW w:w="61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44"/>
              </w:rPr>
            </w:pPr>
            <w:r>
              <w:rPr>
                <w:rFonts w:ascii="Arial Narrow;sans-serif" w:hAnsi="Arial Narrow;sans-serif"/>
                <w:b/>
                <w:color w:val="000000"/>
                <w:sz w:val="44"/>
              </w:rPr>
              <w:t>FORM 8-K</w:t>
            </w:r>
          </w:p>
        </w:tc>
      </w:tr>
    </w:tbl>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2"/>
        </w:rPr>
      </w:pPr>
      <w:r>
        <w:rPr>
          <w:rFonts w:ascii="Arial Narrow;sans-serif" w:hAnsi="Arial Narrow;sans-serif"/>
          <w:b w:val="false"/>
          <w:color w:val="000000"/>
          <w:sz w:val="22"/>
        </w:rPr>
        <w:t>CURRENT REPORT</w:t>
      </w:r>
    </w:p>
    <w:p>
      <w:pPr>
        <w:pStyle w:val="TextBody"/>
        <w:bidi w:val="0"/>
        <w:spacing w:lineRule="auto" w:line="288" w:before="0" w:after="0"/>
        <w:jc w:val="center"/>
        <w:rPr>
          <w:rFonts w:ascii="Arial Narrow;sans-serif" w:hAnsi="Arial Narrow;sans-serif"/>
          <w:b w:val="false"/>
          <w:color w:val="000000"/>
          <w:sz w:val="22"/>
        </w:rPr>
      </w:pPr>
      <w:r>
        <w:rPr>
          <w:rFonts w:ascii="Arial Narrow;sans-serif" w:hAnsi="Arial Narrow;sans-serif"/>
          <w:b w:val="false"/>
          <w:color w:val="000000"/>
          <w:sz w:val="22"/>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2"/>
        </w:rPr>
      </w:pPr>
      <w:r>
        <w:rPr>
          <w:rFonts w:ascii="Arial Narrow;sans-serif" w:hAnsi="Arial Narrow;sans-serif"/>
          <w:b w:val="false"/>
          <w:color w:val="000000"/>
          <w:sz w:val="22"/>
        </w:rPr>
        <w:t>Date of Report (Date of earliest event reported): August 5, 2026</w:t>
      </w:r>
    </w:p>
    <w:p>
      <w:pPr>
        <w:pStyle w:val="TextBody"/>
        <w:bidi w:val="0"/>
        <w:spacing w:before="0" w:after="0"/>
        <w:jc w:val="center"/>
        <w:rPr/>
      </w:pPr>
      <w:r>
        <w:rPr/>
      </w:r>
    </w:p>
    <w:p>
      <w:pPr>
        <w:pStyle w:val="TextBody"/>
        <w:bidi w:val="0"/>
        <w:spacing w:before="0" w:after="0"/>
        <w:jc w:val="center"/>
        <w:rPr/>
      </w:pPr>
      <w:r>
        <w:rPr/>
        <w:drawing>
          <wp:inline distT="0" distB="0" distL="0" distR="0">
            <wp:extent cx="253365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33650" cy="723900"/>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8"/>
        </w:rPr>
      </w:pPr>
      <w:r>
        <w:rPr>
          <w:rFonts w:ascii="Arial Narrow;sans-serif" w:hAnsi="Arial Narrow;sans-serif"/>
          <w:b/>
          <w:color w:val="000000"/>
          <w:sz w:val="28"/>
        </w:rPr>
        <w:t>PORTILLO'S INC.</w:t>
      </w:r>
    </w:p>
    <w:p>
      <w:pPr>
        <w:pStyle w:val="TextBody"/>
        <w:bidi w:val="0"/>
        <w:spacing w:lineRule="auto" w:line="288" w:before="0" w:after="0"/>
        <w:jc w:val="center"/>
        <w:rPr>
          <w:rFonts w:ascii="Arial Narrow;sans-serif" w:hAnsi="Arial Narrow;sans-serif"/>
          <w:b w:val="false"/>
          <w:color w:val="000000"/>
          <w:sz w:val="16"/>
        </w:rPr>
      </w:pPr>
      <w:r>
        <w:rPr>
          <w:rFonts w:ascii="Arial Narrow;sans-serif" w:hAnsi="Arial Narrow;sans-serif"/>
          <w:b w:val="false"/>
          <w:color w:val="000000"/>
          <w:sz w:val="16"/>
        </w:rPr>
        <w:t>(Exact name of registrant as specified in its charter)</w:t>
      </w:r>
    </w:p>
    <w:tbl>
      <w:tblPr>
        <w:tblW w:w="7874" w:type="dxa"/>
        <w:jc w:val="center"/>
        <w:tblInd w:w="0" w:type="dxa"/>
        <w:tblLayout w:type="fixed"/>
        <w:tblCellMar>
          <w:top w:w="28" w:type="dxa"/>
          <w:left w:w="28" w:type="dxa"/>
          <w:bottom w:w="28" w:type="dxa"/>
          <w:right w:w="28" w:type="dxa"/>
        </w:tblCellMar>
      </w:tblPr>
      <w:tblGrid>
        <w:gridCol w:w="1350"/>
        <w:gridCol w:w="1186"/>
        <w:gridCol w:w="1199"/>
        <w:gridCol w:w="592"/>
        <w:gridCol w:w="592"/>
        <w:gridCol w:w="600"/>
        <w:gridCol w:w="688"/>
        <w:gridCol w:w="688"/>
        <w:gridCol w:w="979"/>
      </w:tblGrid>
      <w:tr>
        <w:trPr/>
        <w:tc>
          <w:tcPr>
            <w:tcW w:w="1350"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 xml:space="preserve">Delaware </w:t>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001-40951</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87-1104304</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(State or other jurisdiction of incorporation or organization)</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(Commission File Number)</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(I.R.S. Employer Identification No.)</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9"/>
              </w:rPr>
            </w:pPr>
            <w:r>
              <w:rPr>
                <w:rFonts w:ascii="Arial Narrow;sans-serif" w:hAnsi="Arial Narrow;sans-serif"/>
                <w:b/>
                <w:color w:val="000000"/>
                <w:sz w:val="19"/>
              </w:rPr>
              <w:t>2001 Spring Road, Suite 400, Oak Brook, Illinois 60523</w:t>
            </w:r>
          </w:p>
        </w:tc>
      </w:tr>
      <w:tr>
        <w:trPr/>
        <w:tc>
          <w:tcPr>
            <w:tcW w:w="7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(Address of principal executive offices)</w:t>
            </w:r>
          </w:p>
        </w:tc>
      </w:tr>
    </w:tbl>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(630)-954-3773</w:t>
      </w:r>
    </w:p>
    <w:p>
      <w:pPr>
        <w:pStyle w:val="TextBody"/>
        <w:bidi w:val="0"/>
        <w:spacing w:lineRule="auto" w:line="288" w:before="0" w:after="0"/>
        <w:jc w:val="center"/>
        <w:rPr>
          <w:rFonts w:ascii="Arial Narrow;sans-serif" w:hAnsi="Arial Narrow;sans-serif"/>
          <w:b w:val="false"/>
          <w:color w:val="000000"/>
          <w:sz w:val="16"/>
        </w:rPr>
      </w:pPr>
      <w:r>
        <w:rPr>
          <w:rFonts w:ascii="Arial Narrow;sans-serif" w:hAnsi="Arial Narrow;sans-serif"/>
          <w:b w:val="false"/>
          <w:color w:val="000000"/>
          <w:sz w:val="16"/>
        </w:rPr>
        <w:t>(Registrant’s telephone number, including area code)</w:t>
      </w:r>
    </w:p>
    <w:tbl>
      <w:tblPr>
        <w:tblW w:w="4034" w:type="dxa"/>
        <w:jc w:val="center"/>
        <w:tblInd w:w="0" w:type="dxa"/>
        <w:tblLayout w:type="fixed"/>
        <w:tblCellMar>
          <w:top w:w="28" w:type="dxa"/>
          <w:left w:w="28" w:type="dxa"/>
          <w:bottom w:w="28" w:type="dxa"/>
          <w:right w:w="28" w:type="dxa"/>
        </w:tblCellMar>
      </w:tblPr>
      <w:tblGrid>
        <w:gridCol w:w="1291"/>
        <w:gridCol w:w="1131"/>
        <w:gridCol w:w="1612"/>
      </w:tblGrid>
      <w:tr>
        <w:trPr/>
        <w:tc>
          <w:tcPr>
            <w:tcW w:w="129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N/A</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(Former name or former address, if changed since last report)</w:t>
            </w:r>
          </w:p>
        </w:tc>
      </w:tr>
    </w:tbl>
    <w:p>
      <w:pPr>
        <w:pStyle w:val="TextBody"/>
        <w:bidi w:val="0"/>
        <w:spacing w:before="0" w:after="0"/>
        <w:jc w:val="center"/>
        <w:rPr/>
      </w:pPr>
      <w:r>
        <w:rPr/>
      </w:r>
    </w:p>
    <w:p>
      <w:pPr>
        <w:pStyle w:val="TextBody"/>
        <w:bidi w:val="0"/>
        <w:spacing w:lineRule="auto" w:line="288" w:before="0" w:after="0"/>
        <w:jc w:val="left"/>
        <w:rPr/>
      </w:pPr>
      <w:r>
        <w:rPr>
          <w:rFonts w:ascii="Arial Narrow;sans-serif" w:hAnsi="Arial Narrow;sans-serif"/>
          <w:b w:val="false"/>
          <w:color w:val="000000"/>
          <w:sz w:val="18"/>
        </w:rPr>
        <w:t>Check the appropriate box below if the Form 8-K filing is intended to simultaneously satisfy the filing obligation of the registrant under any of the following provisions (</w:t>
      </w:r>
      <w:r>
        <w:rPr>
          <w:rFonts w:ascii="Arial Narrow;sans-serif" w:hAnsi="Arial Narrow;sans-serif"/>
          <w:b w:val="false"/>
          <w:color w:val="000000"/>
          <w:sz w:val="18"/>
          <w:u w:val="single"/>
        </w:rPr>
        <w:t>see</w:t>
      </w:r>
      <w:r>
        <w:rPr>
          <w:color w:val="000000"/>
        </w:rPr>
        <w:t xml:space="preserve"> </w:t>
      </w:r>
      <w:r>
        <w:rPr>
          <w:rFonts w:ascii="Arial Narrow;sans-serif" w:hAnsi="Arial Narrow;sans-serif"/>
          <w:b w:val="false"/>
          <w:color w:val="000000"/>
          <w:sz w:val="18"/>
        </w:rPr>
        <w:t>General Instruction A.2. below):</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Arial Narrow;sans-serif" w:hAnsi="Arial Narrow;sans-serif"/>
          <w:b w:val="false"/>
          <w:color w:val="000000"/>
          <w:sz w:val="18"/>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Arial Narrow;sans-serif" w:hAnsi="Arial Narrow;sans-serif"/>
          <w:b w:val="false"/>
          <w:color w:val="000000"/>
          <w:sz w:val="18"/>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Arial Narrow;sans-serif" w:hAnsi="Arial Narrow;sans-serif"/>
          <w:b w:val="false"/>
          <w:color w:val="000000"/>
          <w:sz w:val="18"/>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Arial Narrow;sans-serif" w:hAnsi="Arial Narrow;sans-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Securities registered pursuant to Section 12(b) of the Act:</w:t>
      </w:r>
    </w:p>
    <w:tbl>
      <w:tblPr>
        <w:tblW w:w="7768" w:type="dxa"/>
        <w:jc w:val="left"/>
        <w:tblInd w:w="0" w:type="dxa"/>
        <w:tblLayout w:type="fixed"/>
        <w:tblCellMar>
          <w:top w:w="28" w:type="dxa"/>
          <w:left w:w="28" w:type="dxa"/>
          <w:bottom w:w="28" w:type="dxa"/>
          <w:right w:w="28" w:type="dxa"/>
        </w:tblCellMar>
      </w:tblPr>
      <w:tblGrid>
        <w:gridCol w:w="1207"/>
        <w:gridCol w:w="1063"/>
        <w:gridCol w:w="1075"/>
        <w:gridCol w:w="409"/>
        <w:gridCol w:w="409"/>
        <w:gridCol w:w="411"/>
        <w:gridCol w:w="934"/>
        <w:gridCol w:w="934"/>
        <w:gridCol w:w="1326"/>
      </w:tblGrid>
      <w:tr>
        <w:trPr/>
        <w:tc>
          <w:tcPr>
            <w:tcW w:w="120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000000"/>
                <w:sz w:val="18"/>
              </w:rPr>
            </w:pPr>
            <w:r>
              <w:rPr>
                <w:rFonts w:ascii="Arial Narrow;sans-serif" w:hAnsi="Arial Narrow;sans-serif"/>
                <w:b/>
                <w:color w:val="000000"/>
                <w:sz w:val="18"/>
              </w:rPr>
              <w:t>Title of each class</w:t>
            </w:r>
          </w:p>
        </w:tc>
        <w:tc>
          <w:tcPr>
            <w:tcW w:w="12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000000"/>
                <w:sz w:val="18"/>
              </w:rPr>
            </w:pPr>
            <w:r>
              <w:rPr>
                <w:rFonts w:ascii="Arial Narrow;sans-serif" w:hAnsi="Arial Narrow;sans-serif"/>
                <w:b/>
                <w:color w:val="000000"/>
                <w:sz w:val="18"/>
              </w:rPr>
              <w:t>Trading Symbol</w:t>
            </w:r>
          </w:p>
        </w:tc>
        <w:tc>
          <w:tcPr>
            <w:tcW w:w="31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000000"/>
                <w:sz w:val="18"/>
              </w:rPr>
            </w:pPr>
            <w:r>
              <w:rPr>
                <w:rFonts w:ascii="Arial Narrow;sans-serif" w:hAnsi="Arial Narrow;sans-serif"/>
                <w:b/>
                <w:color w:val="000000"/>
                <w:sz w:val="18"/>
              </w:rPr>
              <w:t>Name of each exchange on which registered</w:t>
            </w:r>
          </w:p>
        </w:tc>
      </w:tr>
      <w:tr>
        <w:trPr/>
        <w:tc>
          <w:tcPr>
            <w:tcW w:w="3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val="false"/>
                <w:color w:val="000000"/>
                <w:sz w:val="18"/>
              </w:rPr>
            </w:pPr>
            <w:r>
              <w:rPr>
                <w:rFonts w:ascii="Arial Narrow;sans-serif" w:hAnsi="Arial Narrow;sans-serif"/>
                <w:b w:val="false"/>
                <w:color w:val="000000"/>
                <w:sz w:val="18"/>
              </w:rPr>
              <w:t>Class A Common Stock, $0.01 par value per share</w:t>
            </w:r>
          </w:p>
        </w:tc>
        <w:tc>
          <w:tcPr>
            <w:tcW w:w="12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val="false"/>
                <w:color w:val="000000"/>
                <w:sz w:val="18"/>
              </w:rPr>
            </w:pPr>
            <w:r>
              <w:rPr>
                <w:rFonts w:ascii="Arial Narrow;sans-serif" w:hAnsi="Arial Narrow;sans-serif"/>
                <w:b w:val="false"/>
                <w:color w:val="000000"/>
                <w:sz w:val="18"/>
              </w:rPr>
              <w:t>PTLO</w:t>
            </w:r>
          </w:p>
        </w:tc>
        <w:tc>
          <w:tcPr>
            <w:tcW w:w="31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val="false"/>
                <w:color w:val="000000"/>
                <w:sz w:val="18"/>
              </w:rPr>
            </w:pPr>
            <w:r>
              <w:rPr>
                <w:rFonts w:ascii="Arial Narrow;sans-serif" w:hAnsi="Arial Narrow;sans-serif"/>
                <w:b w:val="false"/>
                <w:color w:val="000000"/>
                <w:sz w:val="18"/>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Emerging growth company ☐</w:t>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Arial Narrow;sans-serif" w:hAnsi="Arial Narrow;sans-serif"/>
          <w:b/>
          <w:color w:val="414042"/>
          <w:sz w:val="20"/>
        </w:rPr>
      </w:pPr>
      <w:r>
        <w:rPr>
          <w:rFonts w:ascii="Arial Narrow;sans-serif" w:hAnsi="Arial Narrow;sans-serif"/>
          <w:b/>
          <w:color w:val="414042"/>
          <w:sz w:val="20"/>
        </w:rPr>
        <w:t>Item 2.02 Results of Operations and Financial Condition.</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On August 5, 2026, Portillo’s Inc. (NASDAQ: PTLO) issued a press release reporting results for the second quarter ended June 28, 2026. A copy of the earnings press release is attached hereto as Exhibit 99.1.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Arial Narrow;sans-serif" w:hAnsi="Arial Narrow;sans-serif"/>
          <w:b/>
          <w:color w:val="414042"/>
          <w:sz w:val="20"/>
        </w:rPr>
      </w:pPr>
      <w:r>
        <w:rPr>
          <w:rFonts w:ascii="Arial Narrow;sans-serif" w:hAnsi="Arial Narrow;sans-serif"/>
          <w:b/>
          <w:color w:val="414042"/>
          <w:sz w:val="20"/>
        </w:rPr>
        <w:t>Item 7.01 Regulation FD Disclosure.</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The information furnished in this Current Report on Form 8-K, including Exhibit 99.1, shall not be deemed to be “filed” for the purposes of Section 18 of the Securities Exchange Act of 1934, as amended, or otherwise subject to the liabilities of that section, and shall not be deemed to be incorporated by reference into any filing pursuant to the Securities Act of 1933, as amended, unless specifically identified therein as being incorporated therein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414042"/>
          <w:sz w:val="20"/>
        </w:rPr>
      </w:pPr>
      <w:r>
        <w:rPr>
          <w:rFonts w:ascii="Arial Narrow;sans-serif" w:hAnsi="Arial Narrow;sans-serif"/>
          <w:b/>
          <w:color w:val="414042"/>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414042"/>
          <w:sz w:val="20"/>
        </w:rPr>
      </w:pPr>
      <w:r>
        <w:rPr>
          <w:rFonts w:ascii="Arial Narrow;sans-serif" w:hAnsi="Arial Narrow;sans-serif"/>
          <w:b w:val="false"/>
          <w:color w:val="414042"/>
          <w:sz w:val="20"/>
        </w:rPr>
        <w:t>(d) Exhibits.</w:t>
      </w:r>
    </w:p>
    <w:tbl>
      <w:tblPr>
        <w:tblW w:w="10205" w:type="dxa"/>
        <w:jc w:val="left"/>
        <w:tblInd w:w="0" w:type="dxa"/>
        <w:tblLayout w:type="fixed"/>
        <w:tblCellMar>
          <w:top w:w="28" w:type="dxa"/>
          <w:left w:w="28" w:type="dxa"/>
          <w:bottom w:w="28" w:type="dxa"/>
          <w:right w:w="28" w:type="dxa"/>
        </w:tblCellMar>
      </w:tblPr>
      <w:tblGrid>
        <w:gridCol w:w="475"/>
        <w:gridCol w:w="418"/>
        <w:gridCol w:w="421"/>
        <w:gridCol w:w="109"/>
        <w:gridCol w:w="109"/>
        <w:gridCol w:w="109"/>
        <w:gridCol w:w="2506"/>
        <w:gridCol w:w="2506"/>
        <w:gridCol w:w="3552"/>
      </w:tblGrid>
      <w:tr>
        <w:trPr/>
        <w:tc>
          <w:tcPr>
            <w:tcW w:w="47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3552" w:type="dxa"/>
            <w:tcBorders/>
            <w:vAlign w:val="center"/>
          </w:tcPr>
          <w:p>
            <w:pPr>
              <w:pStyle w:val="TableContents"/>
              <w:bidi w:val="0"/>
              <w:spacing w:before="0" w:after="283"/>
              <w:jc w:val="left"/>
              <w:rPr>
                <w:sz w:val="4"/>
                <w:szCs w:val="4"/>
              </w:rPr>
            </w:pPr>
            <w:r>
              <w:rPr>
                <w:sz w:val="4"/>
                <w:szCs w:val="4"/>
              </w:rPr>
            </w:r>
          </w:p>
        </w:tc>
      </w:tr>
      <w:tr>
        <w:trPr/>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Description</w:t>
            </w:r>
          </w:p>
        </w:tc>
      </w:tr>
      <w:tr>
        <w:trPr/>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exhibit991earningsrelease6.htm">
              <w:r>
                <w:rPr>
                  <w:rStyle w:val="InternetLink"/>
                  <w:rFonts w:ascii="Arial Narrow;sans-serif" w:hAnsi="Arial Narrow;sans-serif"/>
                  <w:b w:val="false"/>
                  <w:color w:val="000000"/>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earningsrelease6.htm">
              <w:r>
                <w:rPr>
                  <w:rStyle w:val="InternetLink"/>
                  <w:rFonts w:ascii="Arial Narrow;sans-serif" w:hAnsi="Arial Narrow;sans-serif"/>
                  <w:b w:val="false"/>
                  <w:color w:val="000080"/>
                  <w:sz w:val="20"/>
                  <w:u w:val="single"/>
                </w:rPr>
                <w:t xml:space="preserve">Portillo’s Inc. press release dated August </w:t>
              </w:r>
            </w:hyperlink>
            <w:hyperlink w:anchor="exhibit991earningsrelease6.htm">
              <w:r>
                <w:rPr>
                  <w:rStyle w:val="InternetLink"/>
                  <w:rFonts w:ascii="Arial Narrow;sans-serif" w:hAnsi="Arial Narrow;sans-serif"/>
                  <w:b w:val="false"/>
                  <w:color w:val="000080"/>
                  <w:sz w:val="20"/>
                  <w:u w:val="single"/>
                </w:rPr>
                <w:t>5</w:t>
              </w:r>
            </w:hyperlink>
            <w:hyperlink w:anchor="exhibit991earningsrelease6.htm">
              <w:r>
                <w:rPr>
                  <w:rStyle w:val="InternetLink"/>
                  <w:rFonts w:ascii="Arial Narrow;sans-serif" w:hAnsi="Arial Narrow;sans-serif"/>
                  <w:b w:val="false"/>
                  <w:color w:val="000080"/>
                  <w:sz w:val="20"/>
                  <w:u w:val="single"/>
                </w:rPr>
                <w:t xml:space="preserve">, 2026 announcing financial results for the </w:t>
              </w:r>
            </w:hyperlink>
            <w:hyperlink w:anchor="exhibit991earningsrelease6.htm">
              <w:r>
                <w:rPr>
                  <w:rStyle w:val="InternetLink"/>
                  <w:rFonts w:ascii="Arial Narrow;sans-serif" w:hAnsi="Arial Narrow;sans-serif"/>
                  <w:b w:val="false"/>
                  <w:color w:val="000080"/>
                  <w:sz w:val="20"/>
                  <w:u w:val="single"/>
                </w:rPr>
                <w:t>second</w:t>
              </w:r>
            </w:hyperlink>
            <w:hyperlink w:anchor="exhibit991earningsrelease6.htm">
              <w:r>
                <w:rPr>
                  <w:rStyle w:val="InternetLink"/>
                  <w:rFonts w:ascii="Arial Narrow;sans-serif" w:hAnsi="Arial Narrow;sans-serif"/>
                  <w:b w:val="false"/>
                  <w:color w:val="000080"/>
                  <w:sz w:val="20"/>
                  <w:u w:val="single"/>
                </w:rPr>
                <w:t xml:space="preserve"> quarter ended </w:t>
              </w:r>
            </w:hyperlink>
            <w:hyperlink w:anchor="exhibit991earningsrelease6.htm">
              <w:r>
                <w:rPr>
                  <w:rStyle w:val="InternetLink"/>
                  <w:rFonts w:ascii="Arial Narrow;sans-serif" w:hAnsi="Arial Narrow;sans-serif"/>
                  <w:b w:val="false"/>
                  <w:color w:val="000080"/>
                  <w:sz w:val="20"/>
                  <w:u w:val="single"/>
                </w:rPr>
                <w:t>June 28</w:t>
              </w:r>
            </w:hyperlink>
            <w:hyperlink w:anchor="exhibit991earningsrelease6.htm">
              <w:r>
                <w:rPr>
                  <w:rStyle w:val="InternetLink"/>
                  <w:rFonts w:ascii="Arial Narrow;sans-serif" w:hAnsi="Arial Narrow;sans-serif"/>
                  <w:b w:val="false"/>
                  <w:color w:val="000080"/>
                  <w:sz w:val="20"/>
                  <w:u w:val="single"/>
                </w:rPr>
                <w:t>, 2026</w:t>
              </w:r>
            </w:hyperlink>
          </w:p>
        </w:tc>
      </w:tr>
      <w:tr>
        <w:trPr/>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4" w:type="dxa"/>
            <w:gridSpan w:val="3"/>
            <w:tcBorders/>
            <w:vAlign w:val="center"/>
          </w:tcPr>
          <w:p>
            <w:pPr>
              <w:pStyle w:val="TableContents"/>
              <w:bidi w:val="0"/>
              <w:spacing w:before="0" w:after="283"/>
              <w:jc w:val="left"/>
              <w:rPr>
                <w:sz w:val="4"/>
                <w:szCs w:val="4"/>
              </w:rPr>
            </w:pPr>
            <w:r>
              <w:rPr>
                <w:sz w:val="4"/>
                <w:szCs w:val="4"/>
              </w:rPr>
            </w:r>
          </w:p>
        </w:tc>
      </w:tr>
      <w:tr>
        <w:trPr/>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Arial Narrow;sans-serif" w:hAnsi="Arial Narrow;sans-serif"/>
          <w:b/>
          <w:color w:val="414042"/>
          <w:sz w:val="20"/>
        </w:rPr>
      </w:pPr>
      <w:r>
        <w:rPr>
          <w:rFonts w:ascii="Arial Narrow;sans-serif" w:hAnsi="Arial Narrow;sans-serif"/>
          <w:b/>
          <w:color w:val="414042"/>
          <w:sz w:val="20"/>
        </w:rPr>
        <w:t xml:space="preserve">SIGNATURES </w:t>
      </w:r>
    </w:p>
    <w:p>
      <w:pPr>
        <w:pStyle w:val="TextBody"/>
        <w:bidi w:val="0"/>
        <w:spacing w:before="0" w:after="0"/>
        <w:jc w:val="center"/>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Exchange Act of 1934, the registrant has duly caused this report to be signed on its behalf by the undersigned, thereto duly authorized.</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 </w:t>
      </w:r>
    </w:p>
    <w:tbl>
      <w:tblPr>
        <w:tblW w:w="6641" w:type="dxa"/>
        <w:jc w:val="left"/>
        <w:tblInd w:w="0" w:type="dxa"/>
        <w:tblLayout w:type="fixed"/>
        <w:tblCellMar>
          <w:top w:w="28" w:type="dxa"/>
          <w:left w:w="28" w:type="dxa"/>
          <w:bottom w:w="28" w:type="dxa"/>
          <w:right w:w="28" w:type="dxa"/>
        </w:tblCellMar>
      </w:tblPr>
      <w:tblGrid>
        <w:gridCol w:w="592"/>
        <w:gridCol w:w="518"/>
        <w:gridCol w:w="525"/>
        <w:gridCol w:w="109"/>
        <w:gridCol w:w="109"/>
        <w:gridCol w:w="109"/>
        <w:gridCol w:w="110"/>
        <w:gridCol w:w="110"/>
        <w:gridCol w:w="110"/>
        <w:gridCol w:w="1269"/>
        <w:gridCol w:w="1269"/>
        <w:gridCol w:w="1811"/>
      </w:tblGrid>
      <w:tr>
        <w:trPr/>
        <w:tc>
          <w:tcPr>
            <w:tcW w:w="59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Portillo's Inc.</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(Registrant)</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By:</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 Pamela Smith</w:t>
            </w:r>
          </w:p>
        </w:tc>
      </w:tr>
      <w:tr>
        <w:trPr/>
        <w:tc>
          <w:tcPr>
            <w:tcW w:w="1635" w:type="dxa"/>
            <w:gridSpan w:val="3"/>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Pamela Smith</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Interim Chief Financial Officer and Treasurer</w:t>
              <w:br/>
              <w:t>(Principal Financial Officer and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2133600" cy="5143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133600" cy="5143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8"/>
        </w:rPr>
        <w:t>Portillo’s Inc. Announces Second Quarter 2026</w:t>
      </w:r>
      <w:r>
        <w:rPr>
          <w:color w:val="D22630"/>
        </w:rPr>
        <w:t xml:space="preserve"> </w:t>
      </w:r>
      <w:r>
        <w:rPr>
          <w:rFonts w:ascii="Arial Narrow;sans-serif" w:hAnsi="Arial Narrow;sans-serif"/>
          <w:b/>
          <w:color w:val="000000"/>
          <w:sz w:val="28"/>
        </w:rPr>
        <w:t>Financial Results</w:t>
      </w:r>
    </w:p>
    <w:p>
      <w:pPr>
        <w:pStyle w:val="TextBody"/>
        <w:bidi w:val="0"/>
        <w:spacing w:before="0" w:after="0"/>
        <w:jc w:val="center"/>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Oak Brook, IL— August 5, 2026—Portillo’s Inc. (“Portillo’s” or the “Company”) (NASDAQ: PTLO), the one-of-a-kind restaurant concept known for its menu of Chicago-style favorites, today reported financial results for the second quarter ended June 28, 2026.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Second Quarter 2026 Highlights (vs. Second Quarter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Total revenue of $199.0 million, an increase of 5.6% or $10.5 million</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Same-restaurant sales decrease of 1.2%</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Net income of $7.2 million, a decrease of $2.9 million; Adjusted EBITDA</w:t>
      </w:r>
      <w:r>
        <w:rPr>
          <w:rFonts w:ascii="Arial Narrow;sans-serif" w:hAnsi="Arial Narrow;sans-serif"/>
          <w:b w:val="false"/>
          <w:color w:val="000000"/>
          <w:sz w:val="13"/>
        </w:rPr>
        <w:t>(1)</w:t>
      </w:r>
      <w:r>
        <w:rPr>
          <w:color w:val="000000"/>
        </w:rPr>
        <w:t xml:space="preserve"> </w:t>
      </w:r>
      <w:r>
        <w:rPr>
          <w:rFonts w:ascii="Arial Narrow;sans-serif" w:hAnsi="Arial Narrow;sans-serif"/>
          <w:b w:val="false"/>
          <w:color w:val="000000"/>
          <w:sz w:val="20"/>
        </w:rPr>
        <w:t>of $29.8 million, a decrease of $0.2 million</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First-ever airport location opened at Dallas-Fort Worth International (DFW) utilizing smaller kitchen size and equipment enhancements</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Expanding home market with first inline restaurant in downtown Chicago later this year, and first location in Wrigleyville in 2027</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i/>
          <w:color w:val="000000"/>
          <w:sz w:val="18"/>
        </w:rPr>
      </w:pPr>
      <w:r>
        <w:rPr>
          <w:rFonts w:ascii="Arial Narrow;sans-serif" w:hAnsi="Arial Narrow;sans-serif"/>
          <w:b w:val="false"/>
          <w:i/>
          <w:color w:val="000000"/>
          <w:sz w:val="18"/>
        </w:rPr>
        <w:t>(1) Adjusted EBITDA is a non-GAAP measure. Please see definition and the reconciliation of this non-GAAP measure accompanying this release.</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 Narrow;sans-serif" w:hAnsi="Arial Narrow;sans-serif"/>
          <w:b w:val="false"/>
          <w:color w:val="000000"/>
          <w:sz w:val="20"/>
        </w:rPr>
        <w:t>Q2 was highlighted by resilient underlying sales performance despite difficult promotional comparisons, as well as taking decisive actions to simplify the business to better support our priority of running great restaurants,” said Brett Patterson, Portillo's Chief Executive Officer. “In parallel, we finalized our recent brand and consumer research which is helping to shape our long-term strategy focused on sustainable, profitable growth. We look forward to sharing that roadmap soon.”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Second Quarter 2026 Financial and Operating Results</w:t>
      </w:r>
    </w:p>
    <w:p>
      <w:pPr>
        <w:pStyle w:val="TextBody"/>
        <w:bidi w:val="0"/>
        <w:spacing w:before="0" w:after="0"/>
        <w:jc w:val="left"/>
        <w:rPr/>
      </w:pPr>
      <w:r>
        <w:rPr/>
      </w:r>
    </w:p>
    <w:p>
      <w:pPr>
        <w:pStyle w:val="TextBody"/>
        <w:bidi w:val="0"/>
        <w:spacing w:lineRule="auto" w:line="288" w:before="0" w:after="198"/>
        <w:jc w:val="left"/>
        <w:rPr>
          <w:rFonts w:ascii="Arial Narrow;sans-serif" w:hAnsi="Arial Narrow;sans-serif"/>
          <w:b w:val="false"/>
          <w:color w:val="000000"/>
          <w:sz w:val="20"/>
        </w:rPr>
      </w:pPr>
      <w:r>
        <w:rPr>
          <w:rFonts w:ascii="Arial Narrow;sans-serif" w:hAnsi="Arial Narrow;sans-serif"/>
          <w:b w:val="false"/>
          <w:color w:val="000000"/>
          <w:sz w:val="20"/>
        </w:rPr>
        <w:t xml:space="preserve">Revenues for the quarter ended June 28, 2026 were $199.0 million compared to $188.5 million for the quarter ended June 29, 2025, an increase of $10.5 million or 5.6%. The increase in revenues was primarily attributed to the opening of eight restaurants in fiscal 2025 and seven restaurants during the two quarters ended June 28, 2026, partially offset by a decrease in our same-restaurant sales. Restaurants not in our Comparable Restaurant Base (as defined below) contributed $13.3 million of the total year-over-year increase. Same-restaurant sales decreased 1.2%, or $2.2 million in the quarter. The same-restaurant sales decline was attributable to a decrease in transactions of 3.4%, partially offset by an increase in average check of 2.2%. The higher average check was driven by an approximate 2.6% increase in certain menu prices, partially offset by a 0.4% decrease in product mix. To address inflationary cost pressures, we increased select menu prices by approximately 2.0% in April 2026. For the purpose of calculating same-restaurant sales for the quarter ended June 28, 2026, sales for 85 restaurants that were open for at least 24 full fiscal periods were included in the Comparable Restaurant Base. </w:t>
      </w:r>
    </w:p>
    <w:p>
      <w:pPr>
        <w:pStyle w:val="TextBody"/>
        <w:bidi w:val="0"/>
        <w:spacing w:lineRule="auto" w:line="288" w:before="0" w:after="198"/>
        <w:jc w:val="left"/>
        <w:rPr>
          <w:rFonts w:ascii="Arial Narrow;sans-serif" w:hAnsi="Arial Narrow;sans-serif"/>
          <w:b w:val="false"/>
          <w:color w:val="000000"/>
          <w:sz w:val="20"/>
        </w:rPr>
      </w:pPr>
      <w:r>
        <w:rPr>
          <w:rFonts w:ascii="Arial Narrow;sans-serif" w:hAnsi="Arial Narrow;sans-serif"/>
          <w:b w:val="false"/>
          <w:color w:val="000000"/>
          <w:sz w:val="20"/>
        </w:rPr>
        <w:t xml:space="preserve">Total restaurant operating expenses for the quarter ended June 28, 2026 were $155.7 million compared to $144.0 million for the quarter ended June 29, 2025, an increase of $11.7 million or 8.1%. The increase was primarily driven by the opening of eight restaurants in fiscal 2025 and seven restaurants during the two quarters ended June 28, 2026, higher commodity costs and investments in our team members. Commodity prices increased 7.0% year over year, resulting in higher food, beverage and packaging costs. Other operating expenses also increased, partially offset by lower utilities and insurance costs. </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General and administrative expenses for the quarter ended June 28, 2026 were $19.6 million compared to $18.8 million for the quarter ended June 29, 2025, an increase of $0.8 million or 4.1%. This increase was primarily driven by higher professional fees, including $0.9 million of dead site costs, and increased software licensing fees. These increases were partially offset by lower legal expenses.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Operating income for the quarter ended June 28, 2026 was $13.8 million compared to $17.5 million for the quarter ended June 29, 2025, a decrease of $3.8 million or 21.4% as higher revenue was more than offset by the aforementioned expense factors and an increase in other loss of $1.4 million due to a legal contingency.</w:t>
      </w:r>
    </w:p>
    <w:p>
      <w:pPr>
        <w:pStyle w:val="TextBody"/>
        <w:bidi w:val="0"/>
        <w:spacing w:before="0" w:after="0"/>
        <w:jc w:val="left"/>
        <w:rPr/>
      </w:pPr>
      <w:r>
        <w:rPr/>
      </w:r>
    </w:p>
    <w:p>
      <w:pPr>
        <w:pStyle w:val="TextBody"/>
        <w:bidi w:val="0"/>
        <w:spacing w:lineRule="auto" w:line="288"/>
        <w:jc w:val="left"/>
        <w:rPr>
          <w:rFonts w:ascii="Arial Narrow;sans-serif" w:hAnsi="Arial Narrow;sans-serif"/>
          <w:b w:val="false"/>
          <w:color w:val="000000"/>
          <w:sz w:val="20"/>
        </w:rPr>
      </w:pPr>
      <w:r>
        <w:rPr>
          <w:rFonts w:ascii="Arial Narrow;sans-serif" w:hAnsi="Arial Narrow;sans-serif"/>
          <w:b w:val="false"/>
          <w:color w:val="000000"/>
          <w:sz w:val="20"/>
        </w:rPr>
        <w:t xml:space="preserve">Net income for the quarter ended June 28, 2026 was $7.2 million compared to a net income of $10.0 million for the quarter ended June 29, 2025, a decrease of $2.9 million or 28.8%. The decrease in net income was primarily due to a decrease in operating income of $3.8 million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 Narrow;sans-serif" w:hAnsi="Arial Narrow;sans-serif"/>
                                <w:b w:val="false"/>
                                <w:color w:val="000000"/>
                                <w:sz w:val="20"/>
                              </w:rPr>
                            </w:pPr>
                            <w:r>
                              <w:rPr>
                                <w:rFonts w:ascii="Arial Narrow;sans-serif" w:hAnsi="Arial Narrow;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 Narrow;sans-serif" w:hAnsi="Arial Narrow;sans-serif"/>
                          <w:b w:val="false"/>
                          <w:color w:val="000000"/>
                          <w:sz w:val="20"/>
                        </w:rPr>
                      </w:pPr>
                      <w:r>
                        <w:rPr>
                          <w:rFonts w:ascii="Arial Narrow;sans-serif" w:hAnsi="Arial Narrow;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due to the aforementioned factors and a decrease in the Tax Receivable Agreement liability adjustment of $1.1 million, partially offset by a decrease in income tax expense of $1.9 million.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Restaurant-Level Adjusted EBITDA* for the quarter ended June 28, 2026 was $43.2 million compared to $44.5 million for the quarter ended June 29, 2025, a decrease of $1.2 million or 2.8%.</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Adjusted EBITDA* for the quarter ended June 28, 2026 was $29.8 million compared to $30.1 million for the quarter ended June 29, 2025, a decrease of $0.2 million or 0.8%.</w:t>
      </w:r>
    </w:p>
    <w:p>
      <w:pPr>
        <w:pStyle w:val="TextBody"/>
        <w:bidi w:val="0"/>
        <w:spacing w:before="0" w:after="0"/>
        <w:jc w:val="left"/>
        <w:rPr/>
      </w:pPr>
      <w:r>
        <w:rPr/>
      </w:r>
    </w:p>
    <w:p>
      <w:pPr>
        <w:pStyle w:val="TextBody"/>
        <w:bidi w:val="0"/>
        <w:spacing w:lineRule="auto" w:line="276" w:before="0" w:after="0"/>
        <w:jc w:val="left"/>
        <w:rPr>
          <w:rFonts w:ascii="Arial Narrow;sans-serif" w:hAnsi="Arial Narrow;sans-serif"/>
          <w:b w:val="false"/>
          <w:i/>
          <w:color w:val="000000"/>
          <w:sz w:val="18"/>
        </w:rPr>
      </w:pPr>
      <w:r>
        <w:rPr>
          <w:rFonts w:ascii="Arial Narrow;sans-serif" w:hAnsi="Arial Narrow;sans-serif"/>
          <w:b w:val="false"/>
          <w:i/>
          <w:color w:val="000000"/>
          <w:sz w:val="18"/>
        </w:rPr>
        <w:t>*A reconciliation of Restaurant-Level Adjusted EBITDA and Adjusted EBITDA and the nearest GAAP financial measure is included under “Non-GAAP Measures” in the accompanying financial data below.</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Development Highlights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During the quarter ended June 28, 2026, we opened three restaurants for a total of 109 restaurants, as of the filing of this press release, including a restaurant owned by C&amp;O, of which Portillo’s owns 50% of the equity. We plan to open one additional restaurant in the fourth quarter of 2026, which will be our second in-line location and will be located in Chicago, Illinois.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Below are the restaurants opened thus far in fiscal 2026:</w:t>
      </w:r>
    </w:p>
    <w:tbl>
      <w:tblPr>
        <w:tblW w:w="5398" w:type="dxa"/>
        <w:jc w:val="left"/>
        <w:tblInd w:w="0" w:type="dxa"/>
        <w:tblLayout w:type="fixed"/>
        <w:tblCellMar>
          <w:top w:w="28" w:type="dxa"/>
          <w:left w:w="28" w:type="dxa"/>
          <w:bottom w:w="28" w:type="dxa"/>
          <w:right w:w="28" w:type="dxa"/>
        </w:tblCellMar>
      </w:tblPr>
      <w:tblGrid>
        <w:gridCol w:w="906"/>
        <w:gridCol w:w="796"/>
        <w:gridCol w:w="802"/>
        <w:gridCol w:w="394"/>
        <w:gridCol w:w="394"/>
        <w:gridCol w:w="396"/>
        <w:gridCol w:w="500"/>
        <w:gridCol w:w="500"/>
        <w:gridCol w:w="710"/>
      </w:tblGrid>
      <w:tr>
        <w:trPr/>
        <w:tc>
          <w:tcPr>
            <w:tcW w:w="90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Location</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Opening Month</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Quarter Opened</w:t>
            </w:r>
          </w:p>
        </w:tc>
      </w:tr>
      <w:tr>
        <w:trPr/>
        <w:tc>
          <w:tcPr>
            <w:tcW w:w="250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Fort Worth, Texas</w:t>
            </w:r>
          </w:p>
        </w:tc>
        <w:tc>
          <w:tcPr>
            <w:tcW w:w="118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January 2026</w:t>
            </w:r>
          </w:p>
        </w:tc>
        <w:tc>
          <w:tcPr>
            <w:tcW w:w="171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Q1 2026</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Humble, Texas</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February 2026</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Q1 2026</w:t>
            </w:r>
          </w:p>
        </w:tc>
      </w:tr>
      <w:tr>
        <w:trPr/>
        <w:tc>
          <w:tcPr>
            <w:tcW w:w="25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Dallas, Texas </w:t>
            </w:r>
          </w:p>
        </w:tc>
        <w:tc>
          <w:tcPr>
            <w:tcW w:w="11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March 2026</w:t>
            </w:r>
          </w:p>
        </w:tc>
        <w:tc>
          <w:tcPr>
            <w:tcW w:w="17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Q1 2026</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El Paso, Texas</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March 2026</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Q1 2026</w:t>
            </w:r>
          </w:p>
        </w:tc>
      </w:tr>
      <w:tr>
        <w:trPr/>
        <w:tc>
          <w:tcPr>
            <w:tcW w:w="25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Frisco, Texas</w:t>
            </w:r>
          </w:p>
        </w:tc>
        <w:tc>
          <w:tcPr>
            <w:tcW w:w="11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April 2026</w:t>
            </w:r>
          </w:p>
        </w:tc>
        <w:tc>
          <w:tcPr>
            <w:tcW w:w="17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Q2 2026</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Schertz, Texas</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May 2026</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Q2 2026</w:t>
            </w:r>
          </w:p>
        </w:tc>
      </w:tr>
      <w:tr>
        <w:trPr/>
        <w:tc>
          <w:tcPr>
            <w:tcW w:w="25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Dallas-Fort Worth International Airport</w:t>
            </w:r>
          </w:p>
        </w:tc>
        <w:tc>
          <w:tcPr>
            <w:tcW w:w="11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May 2026</w:t>
            </w:r>
          </w:p>
        </w:tc>
        <w:tc>
          <w:tcPr>
            <w:tcW w:w="17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Q2 2026</w:t>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Fiscal 2026 Financial Targets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Based on current expectations, fiscal 2026 outlook is as follows:</w:t>
      </w:r>
    </w:p>
    <w:tbl>
      <w:tblPr>
        <w:tblW w:w="4282" w:type="dxa"/>
        <w:jc w:val="left"/>
        <w:tblInd w:w="0" w:type="dxa"/>
        <w:tblLayout w:type="fixed"/>
        <w:tblCellMar>
          <w:top w:w="28" w:type="dxa"/>
          <w:left w:w="28" w:type="dxa"/>
          <w:bottom w:w="28" w:type="dxa"/>
          <w:right w:w="28" w:type="dxa"/>
        </w:tblCellMar>
      </w:tblPr>
      <w:tblGrid>
        <w:gridCol w:w="1022"/>
        <w:gridCol w:w="897"/>
        <w:gridCol w:w="916"/>
        <w:gridCol w:w="109"/>
        <w:gridCol w:w="109"/>
        <w:gridCol w:w="360"/>
        <w:gridCol w:w="360"/>
        <w:gridCol w:w="509"/>
      </w:tblGrid>
      <w:tr>
        <w:trPr/>
        <w:tc>
          <w:tcPr>
            <w:tcW w:w="102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Current Targets</w:t>
            </w:r>
          </w:p>
        </w:tc>
      </w:tr>
      <w:tr>
        <w:trPr/>
        <w:tc>
          <w:tcPr>
            <w:tcW w:w="28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8 new units</w:t>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Commodity inflation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Mid single digit</w:t>
            </w:r>
          </w:p>
        </w:tc>
      </w:tr>
      <w:tr>
        <w:trPr/>
        <w:tc>
          <w:tcPr>
            <w:tcW w:w="28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Labor inflation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 to 3.5%</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Restaurant-level adjusted EBITDA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19.5% to 20.5%</w:t>
            </w:r>
          </w:p>
        </w:tc>
      </w:tr>
      <w:tr>
        <w:trPr/>
        <w:tc>
          <w:tcPr>
            <w:tcW w:w="28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$78-$82 million</w:t>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$92-$96 million</w:t>
            </w:r>
          </w:p>
        </w:tc>
      </w:tr>
      <w:tr>
        <w:trPr/>
        <w:tc>
          <w:tcPr>
            <w:tcW w:w="28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$55-$60 million</w:t>
            </w:r>
          </w:p>
        </w:tc>
      </w:tr>
    </w:tbl>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*We are unable to reconcile the financial target for adjusted EBITDA and restaurant-level adjusted EBITDA margin to net income/loss growth and operating income/loss margin, the respective corresponding U.S. GAAP measure, due to variability and difficulty in making accurate forecasts and projections and because not all information necessary to prepare the reconciliation is available to us without unreasonable efforts. For the same reasons, we are unable to address the probable significance of the unavailable information because we cannot accurately predict all of the components of the adjusted calculations and the non-GAAP measure may be materially different than the GAAP measure.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 Narrow;sans-serif" w:hAnsi="Arial Narrow;sans-serif"/>
                                <w:b w:val="false"/>
                                <w:color w:val="000000"/>
                                <w:sz w:val="20"/>
                              </w:rPr>
                            </w:pPr>
                            <w:r>
                              <w:rPr>
                                <w:rFonts w:ascii="Arial Narrow;sans-serif" w:hAnsi="Arial Narrow;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 Narrow;sans-serif" w:hAnsi="Arial Narrow;sans-serif"/>
                          <w:b w:val="false"/>
                          <w:color w:val="000000"/>
                          <w:sz w:val="20"/>
                        </w:rPr>
                      </w:pPr>
                      <w:r>
                        <w:rPr>
                          <w:rFonts w:ascii="Arial Narrow;sans-serif" w:hAnsi="Arial Narrow;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Reduction in Corporate Headquarters/Field Workforce</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On July 31, 2026, subsequent to the end of the second quarter, Portillo's implemented a reduction in force affecting employees at its corporate headquarters and a limited number of field management roles. No restaurant-level team members were impacted. The action reduced the Company's corporate headquarters active workforce by approximately 18%. Revisions to the Company's Fiscal 2026 Financial Targets reflecting these actions appear in the guidance section.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Brett Patterson, CEO:</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"While never an easy decision, it is imperative that we examine areas of the business where we can operate more efficiently and ensure our resources and future investments are directed at the right priorities. These actions, along with other efficiencies, will support our long-term growth strategy."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The following definitions apply to these terms as used in this release:</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color w:val="000000"/>
          <w:sz w:val="20"/>
        </w:rPr>
        <w:t xml:space="preserve">Change in Same-Restaurant Sales - </w:t>
      </w:r>
      <w:r>
        <w:rPr>
          <w:rFonts w:ascii="Arial Narrow;sans-serif" w:hAnsi="Arial Narrow;sans-serif"/>
          <w:b w:val="false"/>
          <w:color w:val="000000"/>
          <w:sz w:val="20"/>
        </w:rPr>
        <w:t>The change in same-restaurant sales is the percentage change in year-over-year revenue for the Comparable Restaurant Base, which is defined as the number of restaurants open for at least 24 full fiscal periods. As of the quarters ended June 28, 2026 and June 29, 2025, there were</w:t>
      </w:r>
      <w:r>
        <w:rPr>
          <w:color w:val="000000"/>
          <w:shd w:fill="FFFFFF" w:val="clear"/>
        </w:rPr>
        <w:t xml:space="preserve"> </w:t>
      </w:r>
      <w:r>
        <w:rPr>
          <w:rFonts w:ascii="Arial Narrow;sans-serif" w:hAnsi="Arial Narrow;sans-serif"/>
          <w:b w:val="false"/>
          <w:color w:val="000000"/>
          <w:sz w:val="20"/>
        </w:rPr>
        <w:t>85 and 75</w:t>
      </w:r>
      <w:r>
        <w:rPr>
          <w:color w:val="000000"/>
          <w:shd w:fill="FFFFFF" w:val="clear"/>
        </w:rPr>
        <w:t xml:space="preserve"> </w:t>
      </w:r>
      <w:r>
        <w:rPr>
          <w:rFonts w:ascii="Arial Narrow;sans-serif" w:hAnsi="Arial Narrow;sans-serif"/>
          <w:b w:val="false"/>
          <w:color w:val="000000"/>
          <w:sz w:val="20"/>
        </w:rPr>
        <w:t xml:space="preserve">restaurants in our Comparable Restaurant Base, respectively.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A change in same-restaurant sales is the result of a change in restaurant transactions, average guest check, or a combination of the two. We gather daily sales data and regularly analyze the guest transaction counts and the mix of menu items sold to strategically evaluate menu pricing and demand. Measuring our change in same-restaurant sales allows management to evaluate the performance of our existing restaurant base. We believe this measure provides a consistent comparison of restaurant sales results and trends across periods within our core, established restaurant base, unaffected by results of restaurant openings and enables investors to better understand and evaluate the Company’s historical and prospective operating performance.</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color w:val="000000"/>
          <w:sz w:val="20"/>
        </w:rPr>
        <w:t xml:space="preserve">Average Unit Volume - </w:t>
      </w:r>
      <w:r>
        <w:rPr>
          <w:rFonts w:ascii="Arial Narrow;sans-serif" w:hAnsi="Arial Narrow;sans-serif"/>
          <w:b w:val="false"/>
          <w:color w:val="000000"/>
          <w:sz w:val="20"/>
        </w:rPr>
        <w:t>AUV is the total revenue (excluding gift card and Portillo’s Perks™ loyalty program breakage) recognized in the Comparable Restaurant Base, including C&amp;O, divided by the number of restaurants in the Comparable Restaurant Base, including C&amp;O, by period.</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This key performance indicator allows management to assess changes in consumer spending patterns at our restaurants and the overall performance of our restaurant base.</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color w:val="000000"/>
          <w:sz w:val="20"/>
        </w:rPr>
        <w:t xml:space="preserve">Adjusted EBITDA and Adjusted EBITDA Margin - </w:t>
      </w:r>
      <w:r>
        <w:rPr>
          <w:rFonts w:ascii="Arial Narrow;sans-serif" w:hAnsi="Arial Narrow;sans-serif"/>
          <w:b w:val="false"/>
          <w:color w:val="000000"/>
          <w:sz w:val="20"/>
        </w:rPr>
        <w:t>Adjusted EBITDA represents net income before depreciation and amortization, interest expense, interest income, and income taxes, adjusted for the impact of certain non-cash and other items that we do not consider in our evaluation of ongoing core operating performance as identified in the reconciliation of net income, the most directly comparable GAAP measure to Adjusted EBITDA. Adjusted EBITDA Margin represents Adjusted EBITDA as a percentage of revenues, net. See also “Non-GAAP Financial Measures.”</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color w:val="000000"/>
          <w:sz w:val="20"/>
        </w:rPr>
        <w:t xml:space="preserve">Restaurant-Level Adjusted EBITDA and Restaurant-Level Adjusted EBITDA Margin - </w:t>
      </w:r>
      <w:r>
        <w:rPr>
          <w:rFonts w:ascii="Arial Narrow;sans-serif" w:hAnsi="Arial Narrow;sans-serif"/>
          <w:b w:val="false"/>
          <w:color w:val="000000"/>
          <w:sz w:val="20"/>
        </w:rPr>
        <w:t>Restaurant-Level Adjusted EBITDA is defined as revenue, less restaurant operating expenses, which include food, beverage and packaging costs, labor expenses, occupancy expenses and other operating expenses. Restaurant-Level Adjusted EBITDA excludes corporate level expenses and depreciation and amortization on restaurant property and equipment. Restaurant-Level Adjusted EBITDA Margin represents Restaurant-Level Adjusted EBITDA as a percentage of revenues, net. See also “Non-GAAP Financial Measures.”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For more information about the Company’s Non-GAAP measures, how they are calculated and reconciled and why management believes that they are useful, see “Non-GAAP Financial Measures” below.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Earnings Conference Call</w:t>
      </w:r>
    </w:p>
    <w:p>
      <w:pPr>
        <w:pStyle w:val="TextBody"/>
        <w:bidi w:val="0"/>
        <w:spacing w:before="0" w:after="0"/>
        <w:jc w:val="both"/>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The Company will host a conference call to discuss its financial results for the second quarter on Wednesday, August 5, 2026, at 4:30 PM ET. The conference call can be accessed live over the phone by dialing 877-407-3982. A telephone replay will be available shortly after the call has concluded and can be accessed by dialing 844-512-2921, and using passcode #13748481. The webcast replay will be available at investors.portillos.com shortly after the call has concluded.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 Narrow;sans-serif" w:hAnsi="Arial Narrow;sans-serif"/>
                                <w:b w:val="false"/>
                                <w:color w:val="000000"/>
                                <w:sz w:val="20"/>
                              </w:rPr>
                            </w:pPr>
                            <w:r>
                              <w:rPr>
                                <w:rFonts w:ascii="Arial Narrow;sans-serif" w:hAnsi="Arial Narrow;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 Narrow;sans-serif" w:hAnsi="Arial Narrow;sans-serif"/>
                          <w:b w:val="false"/>
                          <w:color w:val="000000"/>
                          <w:sz w:val="20"/>
                        </w:rPr>
                      </w:pPr>
                      <w:r>
                        <w:rPr>
                          <w:rFonts w:ascii="Arial Narrow;sans-serif" w:hAnsi="Arial Narrow;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 xml:space="preserve">About Portillo’s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Portillo’s (NASDAQ: PTLO) is a one-of-a-kind brand that has grown from a small hot dog trailer in Chicago to more than 100 restaurants across 11 states. Known for its unique menu of craveable Italian beef sandwiches, Chicago-style hot dogs, char-grilled burgers, fresh salads and iconic chocolate cake, Portillo’s is beloved in both its home of Chicagoland and across new and growing markets. Portillo’s operates a company-owned model of not just restaurants – but experience-focused destinations that blend dine-in, drive-thru, takeout and delivery to serve guests with the food they crave. And now, after six decades of success and counting, Portillo’s is on a mission to bring its iconic food and unforgettable dining experience to guests across the country.</w:t>
      </w:r>
    </w:p>
    <w:p>
      <w:pPr>
        <w:pStyle w:val="TextBody"/>
        <w:bidi w:val="0"/>
        <w:spacing w:before="0" w:after="0"/>
        <w:jc w:val="left"/>
        <w:rPr/>
      </w:pPr>
      <w:r>
        <w:rPr/>
      </w:r>
    </w:p>
    <w:p>
      <w:pPr>
        <w:pStyle w:val="TextBody"/>
        <w:bidi w:val="0"/>
        <w:spacing w:lineRule="auto" w:line="288"/>
        <w:jc w:val="left"/>
        <w:rPr/>
      </w:pPr>
      <w:r>
        <w:rPr>
          <w:rFonts w:ascii="Arial Narrow;sans-serif" w:hAnsi="Arial Narrow;sans-serif"/>
          <w:b w:val="false"/>
          <w:color w:val="000000"/>
          <w:sz w:val="20"/>
          <w:shd w:fill="FFFFFF" w:val="clear"/>
        </w:rPr>
        <w:t>Guests can join Portillo’s Perks</w:t>
      </w:r>
      <w:r>
        <w:rPr>
          <w:color w:val="000000"/>
        </w:rPr>
        <w:t>™</w:t>
      </w:r>
      <w:r>
        <w:rPr>
          <w:rFonts w:ascii="Arial Narrow;sans-serif" w:hAnsi="Arial Narrow;sans-serif"/>
          <w:b w:val="false"/>
          <w:color w:val="000000"/>
          <w:sz w:val="20"/>
          <w:shd w:fill="FFFFFF" w:val="clear"/>
        </w:rPr>
        <w:t>, the brand’s loyalty program, at Portillos.com/perks to earn and redeem delicious rewards. Every visit brings fans closer to exclusive perks, badges and surprise offers. Fans can also download the Portillo’s App for iOS or Android or visit Portillo’s website to order ahead for pickup or delivery and get the best dill on these bun-believably delicious Chicago-style favorites and more. Plus, Portillo’s ships its craveworthy food to all 50 states via its website.</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 Narrow;sans-serif" w:hAnsi="Arial Narrow;sans-serif"/>
                                <w:b w:val="false"/>
                                <w:color w:val="000000"/>
                                <w:sz w:val="20"/>
                              </w:rPr>
                            </w:pPr>
                            <w:r>
                              <w:rPr>
                                <w:rFonts w:ascii="Arial Narrow;sans-serif" w:hAnsi="Arial Narrow;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 Narrow;sans-serif" w:hAnsi="Arial Narrow;sans-serif"/>
                          <w:b w:val="false"/>
                          <w:color w:val="000000"/>
                          <w:sz w:val="20"/>
                        </w:rPr>
                      </w:pPr>
                      <w:r>
                        <w:rPr>
                          <w:rFonts w:ascii="Arial Narrow;sans-serif" w:hAnsi="Arial Narrow;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Cautionary Note Regarding Forward-Looking Statements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This press release contains forward-looking statements, within the meaning of the Private Securities Litigation Reform Act of 1995 ("PSLRA"). All statements other than statements of historical fact are forward-looking statements. Forward-looking statements discuss our current expectations and projections relating to our financial position, results of operations, plans, objectives, future performance and business, and are based on currently available operating, financial and competitive information which are subject to various risks and uncertainties, so you should not place undue reliance on forward-looking statements. You can identify forward-looking statements by the fact that they do not relate strictly to historical or current facts. These statements may include words such as "aim," "anticipate," "believe," "commit," "estimate," "expect," "forecast," "outlook," "potential," "project," "projection," "plan," "intend," "seek," "may," "could," "would," "will," "should," "can," "can have," "likely," the negatives thereof and other similar expressions.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and the following: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risks related to or arising from our organizational structure;</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risks of food-borne illness and food safety and other health concerns about our food;</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shd w:fill="FFFFFF" w:val="clear"/>
        </w:rPr>
        <w:t>risks relating to the economy and financial markets, including in relation to trade and tax policy changes and other macroeconomic uncertainty, including, inflation, fluctuating interest rates, stock market volatility, recession concerns, and other factors;</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risks associated with onboarding new members of management, including the Chief Executive Officer and Chief Financial Officer and the related transition;</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the impact of unionization activities of our Team Members on our reputation, operations and profitability</w:t>
      </w:r>
      <w:r>
        <w:rPr>
          <w:rFonts w:ascii="Arial Narrow;sans-serif" w:hAnsi="Arial Narrow;sans-serif"/>
          <w:b w:val="false"/>
          <w:color w:val="000000"/>
          <w:sz w:val="20"/>
          <w:shd w:fill="FFFFFF" w:val="clear"/>
        </w:rPr>
        <w:t xml:space="preserve">; </w:t>
      </w:r>
    </w:p>
    <w:p>
      <w:pPr>
        <w:pStyle w:val="TextBody"/>
        <w:bidi w:val="0"/>
        <w:spacing w:lineRule="auto" w:line="288" w:before="0" w:after="0"/>
        <w:ind w:left="0" w:right="0" w:hanging="360"/>
        <w:jc w:val="left"/>
        <w:rPr/>
      </w:pPr>
      <w:r>
        <w:rPr>
          <w:color w:val="000000"/>
          <w:shd w:fill="FFFFFF" w:val="clear"/>
        </w:rPr>
        <w:t>•</w:t>
      </w:r>
      <w:r>
        <w:rPr>
          <w:rFonts w:ascii="Arial Narrow;sans-serif" w:hAnsi="Arial Narrow;sans-serif"/>
          <w:b w:val="false"/>
          <w:color w:val="000000"/>
          <w:sz w:val="20"/>
        </w:rPr>
        <w:t>risks associated with our reliance on certain information technology systems, and potential failures or interruptions;</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risks associated with data, privacy, cyber security and the use and implementation of information technology systems, including our digital ordering and payment platforms for our delivery business;</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risks associated with increased adoption, implementation and use of artificial intelligence technologies across our business;</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the impact of competition, including from our competitors in the restaurant industry or our own restaurants;</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the increasingly competitive labor market and our ability to attract and retain the best talent and qualified employees;</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the impact of federal, state or local government regulations relating to privacy, data protection, advertising and consumer protection, building and zoning requirements, labor and employment matters, costs of or ability to open new restaurants, or the sale of food and alcoholic beverages;</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inability to achieve our growth strategy, including as a result of, among other things, the availability of suitable new restaurant sites in existing and new markets and opening of new restaurants at the anticipated rate and on the anticipated timeline and cost structure;</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the impact of consumer sentiment and other economic factors on our sales;</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fluctuation in food and other operating costs, tariffs and import taxes, and supply shortages; and</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other risks identified in our filings with the Securities and Exchange Commission (the “SEC”).</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0"/>
        </w:rPr>
        <w:t>All forward-looking statements are expressly qualified in their entirety by these cautionary statements. You should evaluate all forward-looking statements made in this press release in the context of the risks and uncertainties disclosed in the Company’s most recent Annual Report on Form 10-K, filed with the SEC</w:t>
      </w:r>
      <w:r>
        <w:rPr>
          <w:rFonts w:ascii="Arial Narrow;sans-serif" w:hAnsi="Arial Narrow;sans-serif"/>
          <w:b w:val="false"/>
          <w:color w:val="000000"/>
          <w:sz w:val="20"/>
          <w:shd w:fill="FFFFFF" w:val="clear"/>
        </w:rPr>
        <w:t xml:space="preserve">. All of the Company’s SEC filings are available on the SEC’s website at www.sec.gov. The forward-looking statements included in this press </w:t>
      </w:r>
      <w:r>
        <w:rPr>
          <w:rFonts w:ascii="Arial Narrow;sans-serif" w:hAnsi="Arial Narrow;sans-serif"/>
          <w:b w:val="false"/>
          <w:color w:val="000000"/>
          <w:sz w:val="20"/>
        </w:rPr>
        <w:t>release are made only as of the date hereof. The Company undertakes no obligation to publicly update or revise any forward-looking statement as a result of new information, future events or otherwise, except as otherwise required by law.</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0"/>
          <w:shd w:fill="FFFFFF" w:val="clear"/>
        </w:rPr>
      </w:pPr>
      <w:r>
        <w:rPr>
          <w:rFonts w:ascii="Arial Narrow;sans-serif" w:hAnsi="Arial Narrow;sans-serif"/>
          <w:b/>
          <w:color w:val="000000"/>
          <w:sz w:val="20"/>
          <w:shd w:fill="FFFFFF" w:val="clear"/>
        </w:rPr>
        <w:t>Investor Contact:</w:t>
      </w:r>
    </w:p>
    <w:p>
      <w:pPr>
        <w:pStyle w:val="TextBody"/>
        <w:bidi w:val="0"/>
        <w:spacing w:lineRule="auto" w:line="288" w:before="0" w:after="0"/>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Chris Brandon, Vice President of Investor Relations</w:t>
      </w:r>
    </w:p>
    <w:p>
      <w:pPr>
        <w:pStyle w:val="TextBody"/>
        <w:bidi w:val="0"/>
        <w:spacing w:lineRule="auto" w:line="288" w:before="0" w:after="0"/>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312.931.5578</w:t>
      </w:r>
    </w:p>
    <w:p>
      <w:pPr>
        <w:pStyle w:val="TextBody"/>
        <w:bidi w:val="0"/>
        <w:spacing w:lineRule="auto" w:line="288" w:before="0" w:after="0"/>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cbrandon@portillos.com</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Media Contact:</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Sara Wirth, Director of Communications &amp; PR</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press@portillos.com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PORTILLO’S INC</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 Narrow;sans-serif" w:hAnsi="Arial Narrow;sans-serif"/>
                                <w:b w:val="false"/>
                                <w:color w:val="000000"/>
                                <w:sz w:val="20"/>
                              </w:rPr>
                            </w:pPr>
                            <w:r>
                              <w:rPr>
                                <w:rFonts w:ascii="Arial Narrow;sans-serif" w:hAnsi="Arial Narrow;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190.75pt;mso-position-horizontal:left;mso-position-horizontal-relative:text">
                <v:textbox>
                  <w:txbxContent>
                    <w:p>
                      <w:pPr>
                        <w:pStyle w:val="TextBody"/>
                        <w:bidi w:val="0"/>
                        <w:spacing w:lineRule="auto" w:line="288" w:before="0" w:after="0"/>
                        <w:jc w:val="right"/>
                        <w:rPr>
                          <w:rFonts w:ascii="Arial Narrow;sans-serif" w:hAnsi="Arial Narrow;sans-serif"/>
                          <w:b w:val="false"/>
                          <w:color w:val="000000"/>
                          <w:sz w:val="20"/>
                        </w:rPr>
                      </w:pPr>
                      <w:r>
                        <w:rPr>
                          <w:rFonts w:ascii="Arial Narrow;sans-serif" w:hAnsi="Arial Narrow;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CONSOLIDATED STATEMENTS OF OPERATIONS</w:t>
      </w:r>
    </w:p>
    <w:p>
      <w:pPr>
        <w:pStyle w:val="TextBody"/>
        <w:bidi w:val="0"/>
        <w:spacing w:lineRule="auto" w:line="288" w:before="0" w:after="0"/>
        <w:jc w:val="center"/>
        <w:rPr>
          <w:rFonts w:ascii="Arial Narrow;sans-serif" w:hAnsi="Arial Narrow;sans-serif"/>
          <w:b w:val="false"/>
          <w:color w:val="000000"/>
          <w:sz w:val="18"/>
        </w:rPr>
      </w:pPr>
      <w:r>
        <w:rPr>
          <w:rFonts w:ascii="Arial Narrow;sans-serif" w:hAnsi="Arial Narrow;sans-serif"/>
          <w:b w:val="false"/>
          <w:color w:val="000000"/>
          <w:sz w:val="18"/>
        </w:rPr>
        <w:t>(in thousands, except common share and per common share data)</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343" w:type="dxa"/>
        <w:jc w:val="left"/>
        <w:tblInd w:w="0" w:type="dxa"/>
        <w:tblLayout w:type="fixed"/>
        <w:tblCellMar>
          <w:top w:w="28" w:type="dxa"/>
          <w:left w:w="28" w:type="dxa"/>
          <w:bottom w:w="28" w:type="dxa"/>
          <w:right w:w="28" w:type="dxa"/>
        </w:tblCellMar>
      </w:tblPr>
      <w:tblGrid>
        <w:gridCol w:w="619"/>
        <w:gridCol w:w="320"/>
        <w:gridCol w:w="322"/>
        <w:gridCol w:w="184"/>
        <w:gridCol w:w="657"/>
        <w:gridCol w:w="109"/>
        <w:gridCol w:w="109"/>
        <w:gridCol w:w="109"/>
        <w:gridCol w:w="109"/>
        <w:gridCol w:w="248"/>
        <w:gridCol w:w="248"/>
        <w:gridCol w:w="241"/>
        <w:gridCol w:w="109"/>
        <w:gridCol w:w="109"/>
        <w:gridCol w:w="109"/>
        <w:gridCol w:w="184"/>
        <w:gridCol w:w="657"/>
        <w:gridCol w:w="109"/>
        <w:gridCol w:w="109"/>
        <w:gridCol w:w="109"/>
        <w:gridCol w:w="109"/>
        <w:gridCol w:w="248"/>
        <w:gridCol w:w="248"/>
        <w:gridCol w:w="241"/>
        <w:gridCol w:w="109"/>
        <w:gridCol w:w="109"/>
        <w:gridCol w:w="109"/>
        <w:gridCol w:w="184"/>
        <w:gridCol w:w="657"/>
        <w:gridCol w:w="109"/>
        <w:gridCol w:w="109"/>
        <w:gridCol w:w="109"/>
        <w:gridCol w:w="109"/>
        <w:gridCol w:w="248"/>
        <w:gridCol w:w="248"/>
        <w:gridCol w:w="241"/>
        <w:gridCol w:w="109"/>
        <w:gridCol w:w="109"/>
        <w:gridCol w:w="109"/>
        <w:gridCol w:w="184"/>
        <w:gridCol w:w="657"/>
        <w:gridCol w:w="109"/>
        <w:gridCol w:w="109"/>
        <w:gridCol w:w="109"/>
        <w:gridCol w:w="109"/>
        <w:gridCol w:w="248"/>
        <w:gridCol w:w="248"/>
        <w:gridCol w:w="286"/>
      </w:tblGrid>
      <w:tr>
        <w:trPr/>
        <w:tc>
          <w:tcPr>
            <w:tcW w:w="6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Two Quarters Ended</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r>
      <w:tr>
        <w:trPr/>
        <w:tc>
          <w:tcPr>
            <w:tcW w:w="12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REVENUES, NET</w:t>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364,893 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COST AND EXPENSES:</w:t>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Restaurant operating expenses:</w:t>
            </w:r>
          </w:p>
        </w:tc>
        <w:tc>
          <w:tcPr>
            <w:tcW w:w="9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Food, beverage and packaging costs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Labor</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51,094 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48,340 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100,289 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95,208 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Occupancy</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operating expenses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21,919 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47,456 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43,709 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restaurant operating expenses</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303,486 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283,756 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 expenses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Pre-opening expenses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0.9 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0.9 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attributable to equity method investment</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loss (income), net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OPERATING INCOME</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13,776 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17,531 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18,268 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27,912 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Tax Receivable Agreement liability adjustment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INCOME BEFORE INCOME TAXES</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8,924 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13,722 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8,251 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19,072 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INCOME</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7,155 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10,043 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6,646 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14,033 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attributable to non-controlling interests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INCOME ATTRIBUTABLE TO PORTILLO'S INC.</w:t>
            </w:r>
          </w:p>
        </w:tc>
        <w:tc>
          <w:tcPr>
            <w:tcW w:w="18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5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6,944 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5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8,704 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5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6,542 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5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12,017 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per common share attributable to Portillo’s Inc.:</w:t>
            </w:r>
          </w:p>
        </w:tc>
        <w:tc>
          <w:tcPr>
            <w:tcW w:w="9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w:t>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w:t>
            </w:r>
          </w:p>
        </w:tc>
        <w:tc>
          <w:tcPr>
            <w:tcW w:w="184"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57"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0.09 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57"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0.12 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57"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0.09 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57"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0.18 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common shares outstanding:</w:t>
            </w:r>
          </w:p>
        </w:tc>
        <w:tc>
          <w:tcPr>
            <w:tcW w:w="9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72,380,068 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67,595,224 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72,228,233 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65,716,582 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w:t>
            </w:r>
          </w:p>
        </w:tc>
        <w:tc>
          <w:tcPr>
            <w:tcW w:w="841" w:type="dxa"/>
            <w:gridSpan w:val="2"/>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73,171,001 </w:t>
            </w:r>
          </w:p>
        </w:tc>
        <w:tc>
          <w:tcPr>
            <w:tcW w:w="109"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69,867,802 </w:t>
            </w:r>
          </w:p>
        </w:tc>
        <w:tc>
          <w:tcPr>
            <w:tcW w:w="109"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73,154,368 </w:t>
            </w:r>
          </w:p>
        </w:tc>
        <w:tc>
          <w:tcPr>
            <w:tcW w:w="109"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68,174,864 </w:t>
            </w:r>
          </w:p>
        </w:tc>
        <w:tc>
          <w:tcPr>
            <w:tcW w:w="109"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PORTILLO’S INC.</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 Narrow;sans-serif" w:hAnsi="Arial Narrow;sans-serif"/>
                                <w:b w:val="false"/>
                                <w:color w:val="000000"/>
                                <w:sz w:val="20"/>
                              </w:rPr>
                            </w:pPr>
                            <w:r>
                              <w:rPr>
                                <w:rFonts w:ascii="Arial Narrow;sans-serif" w:hAnsi="Arial Narrow;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189.5pt;mso-position-horizontal:left;mso-position-horizontal-relative:text">
                <v:textbox>
                  <w:txbxContent>
                    <w:p>
                      <w:pPr>
                        <w:pStyle w:val="TextBody"/>
                        <w:bidi w:val="0"/>
                        <w:spacing w:lineRule="auto" w:line="288" w:before="0" w:after="0"/>
                        <w:jc w:val="right"/>
                        <w:rPr>
                          <w:rFonts w:ascii="Arial Narrow;sans-serif" w:hAnsi="Arial Narrow;sans-serif"/>
                          <w:b w:val="false"/>
                          <w:color w:val="000000"/>
                          <w:sz w:val="20"/>
                        </w:rPr>
                      </w:pPr>
                      <w:r>
                        <w:rPr>
                          <w:rFonts w:ascii="Arial Narrow;sans-serif" w:hAnsi="Arial Narrow;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CONSOLIDATED BALANCE SHEETS</w:t>
      </w:r>
    </w:p>
    <w:p>
      <w:pPr>
        <w:pStyle w:val="TextBody"/>
        <w:bidi w:val="0"/>
        <w:spacing w:lineRule="auto" w:line="288" w:before="0" w:after="0"/>
        <w:jc w:val="center"/>
        <w:rPr>
          <w:rFonts w:ascii="Arial Narrow;sans-serif" w:hAnsi="Arial Narrow;sans-serif"/>
          <w:b w:val="false"/>
          <w:color w:val="000000"/>
          <w:sz w:val="18"/>
        </w:rPr>
      </w:pPr>
      <w:r>
        <w:rPr>
          <w:rFonts w:ascii="Arial Narrow;sans-serif" w:hAnsi="Arial Narrow;sans-serif"/>
          <w:b w:val="false"/>
          <w:color w:val="000000"/>
          <w:sz w:val="18"/>
        </w:rPr>
        <w:t>(in thousands, except common share and per common share data)</w:t>
      </w:r>
    </w:p>
    <w:tbl>
      <w:tblPr>
        <w:tblW w:w="10205" w:type="dxa"/>
        <w:jc w:val="left"/>
        <w:tblInd w:w="0" w:type="dxa"/>
        <w:tblLayout w:type="fixed"/>
        <w:tblCellMar>
          <w:top w:w="28" w:type="dxa"/>
          <w:left w:w="28" w:type="dxa"/>
          <w:bottom w:w="28" w:type="dxa"/>
          <w:right w:w="28" w:type="dxa"/>
        </w:tblCellMar>
      </w:tblPr>
      <w:tblGrid>
        <w:gridCol w:w="2894"/>
        <w:gridCol w:w="2307"/>
        <w:gridCol w:w="2345"/>
        <w:gridCol w:w="181"/>
        <w:gridCol w:w="766"/>
        <w:gridCol w:w="109"/>
        <w:gridCol w:w="109"/>
        <w:gridCol w:w="109"/>
        <w:gridCol w:w="109"/>
        <w:gridCol w:w="209"/>
        <w:gridCol w:w="886"/>
        <w:gridCol w:w="181"/>
      </w:tblGrid>
      <w:tr>
        <w:trPr/>
        <w:tc>
          <w:tcPr>
            <w:tcW w:w="2894"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December 28, 2025</w:t>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ASSETS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10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19,963 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Accounts and tenant improvement receivables</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16,502 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Inventories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8,207 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6,844 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assets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51,516 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94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430,247 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420,263 </w:t>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assets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274,010 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261,086 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Goodwill</w:t>
            </w:r>
          </w:p>
        </w:tc>
        <w:tc>
          <w:tcPr>
            <w:tcW w:w="94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394,298 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394,298 </w:t>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Trade names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221,725 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intangible assets, net</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23,391 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method investment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15,696 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assets</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209,704 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211,267 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7,292 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other assets</w:t>
            </w:r>
          </w:p>
        </w:tc>
        <w:tc>
          <w:tcPr>
            <w:tcW w:w="94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870,491 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873,669 </w:t>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ASSETS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1,624,516 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1,606,534 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LIABILITIES AND STOCKHOLDERS’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10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43,210 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portion of long-term debt</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6,250 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portion of Tax Receivable Agreement liability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7,910 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Short-term debt</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90,000 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Deferred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7,472 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Short-term operating lease liabilities</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6,878 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32,236 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liabilities</w:t>
            </w:r>
          </w:p>
        </w:tc>
        <w:tc>
          <w:tcPr>
            <w:tcW w:w="94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188,816 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193,956 </w:t>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debt, net of current portion</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235,192 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237,977 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 Receivable Agreement liability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342,060 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344,524 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operating lease liabilities</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344,919 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329,190 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3,614 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long-term liabilities</w:t>
            </w:r>
          </w:p>
        </w:tc>
        <w:tc>
          <w:tcPr>
            <w:tcW w:w="94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925,748 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915,305 </w:t>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1,114,564 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1,109,261 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COMMITMENTS AND CONTINGENCIES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STOCKHOLDERS’ EQUITY:</w:t>
            </w:r>
          </w:p>
        </w:tc>
        <w:tc>
          <w:tcPr>
            <w:tcW w:w="10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Preferred stock, $0.01 par value per share, 10,000,000 shares authorized, none issued or outstanding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Class A common stock, $0.01 par value per share, 380,000,000 shares authorized, and 72,504,761 and 71,971,736 shares issued and outstanding at June 28, 2026 and December 28, 2025 , respectively.</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720 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Class B common stock, $0.00001 par value per share, 50,000,000 shares authorized, and 3,424,546 and 3,442,335 shares issued and outstanding at June 28, 2026 and December 28, 2025,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Additional paid-in-capital</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410,394 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404,603 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Retained earnings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62,474 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stockholders' equity attributable to Portillo's Inc.</w:t>
            </w:r>
          </w:p>
        </w:tc>
        <w:tc>
          <w:tcPr>
            <w:tcW w:w="94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480,135 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467,797 </w:t>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Non-controlling interest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29,476 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stockholders' equity</w:t>
            </w:r>
          </w:p>
        </w:tc>
        <w:tc>
          <w:tcPr>
            <w:tcW w:w="94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509,952 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497,273 </w:t>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LIABILITIES AND STOCKHOLDERS' EQUITY</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1,624,516 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1,606,534 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PORTILLO’S INC</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 Narrow;sans-serif" w:hAnsi="Arial Narrow;sans-serif"/>
                                <w:b w:val="false"/>
                                <w:color w:val="000000"/>
                                <w:sz w:val="20"/>
                              </w:rPr>
                            </w:pPr>
                            <w:r>
                              <w:rPr>
                                <w:rFonts w:ascii="Arial Narrow;sans-serif" w:hAnsi="Arial Narrow;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190.75pt;mso-position-horizontal:left;mso-position-horizontal-relative:text">
                <v:textbox>
                  <w:txbxContent>
                    <w:p>
                      <w:pPr>
                        <w:pStyle w:val="TextBody"/>
                        <w:bidi w:val="0"/>
                        <w:spacing w:lineRule="auto" w:line="288" w:before="0" w:after="0"/>
                        <w:jc w:val="right"/>
                        <w:rPr>
                          <w:rFonts w:ascii="Arial Narrow;sans-serif" w:hAnsi="Arial Narrow;sans-serif"/>
                          <w:b w:val="false"/>
                          <w:color w:val="000000"/>
                          <w:sz w:val="20"/>
                        </w:rPr>
                      </w:pPr>
                      <w:r>
                        <w:rPr>
                          <w:rFonts w:ascii="Arial Narrow;sans-serif" w:hAnsi="Arial Narrow;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CONSOLIDATED STATEMENTS OF CASH FLOWS</w:t>
      </w:r>
    </w:p>
    <w:p>
      <w:pPr>
        <w:pStyle w:val="TextBody"/>
        <w:bidi w:val="0"/>
        <w:spacing w:lineRule="auto" w:line="288" w:before="0" w:after="0"/>
        <w:jc w:val="center"/>
        <w:rPr>
          <w:rFonts w:ascii="Arial Narrow;sans-serif" w:hAnsi="Arial Narrow;sans-serif"/>
          <w:b w:val="false"/>
          <w:color w:val="000000"/>
          <w:sz w:val="18"/>
        </w:rPr>
      </w:pPr>
      <w:r>
        <w:rPr>
          <w:rFonts w:ascii="Arial Narrow;sans-serif" w:hAnsi="Arial Narrow;sans-serif"/>
          <w:b w:val="false"/>
          <w:color w:val="000000"/>
          <w:sz w:val="18"/>
        </w:rPr>
        <w:t>(in thousands)</w:t>
      </w:r>
    </w:p>
    <w:p>
      <w:pPr>
        <w:pStyle w:val="TextBody"/>
        <w:bidi w:val="0"/>
        <w:spacing w:before="0" w:after="0"/>
        <w:jc w:val="center"/>
        <w:rPr/>
      </w:pPr>
      <w:r>
        <w:rPr/>
      </w:r>
    </w:p>
    <w:p>
      <w:pPr>
        <w:pStyle w:val="TextBody"/>
        <w:bidi w:val="0"/>
        <w:spacing w:before="0" w:after="0"/>
        <w:jc w:val="left"/>
        <w:rPr/>
      </w:pPr>
      <w:r>
        <w:rPr/>
      </w:r>
    </w:p>
    <w:tbl>
      <w:tblPr>
        <w:tblW w:w="9100" w:type="dxa"/>
        <w:jc w:val="left"/>
        <w:tblInd w:w="0" w:type="dxa"/>
        <w:tblLayout w:type="fixed"/>
        <w:tblCellMar>
          <w:top w:w="28" w:type="dxa"/>
          <w:left w:w="28" w:type="dxa"/>
          <w:bottom w:w="28" w:type="dxa"/>
          <w:right w:w="28" w:type="dxa"/>
        </w:tblCellMar>
      </w:tblPr>
      <w:tblGrid>
        <w:gridCol w:w="2424"/>
        <w:gridCol w:w="2129"/>
        <w:gridCol w:w="2136"/>
        <w:gridCol w:w="214"/>
        <w:gridCol w:w="677"/>
        <w:gridCol w:w="129"/>
        <w:gridCol w:w="109"/>
        <w:gridCol w:w="109"/>
        <w:gridCol w:w="109"/>
        <w:gridCol w:w="212"/>
        <w:gridCol w:w="671"/>
        <w:gridCol w:w="181"/>
      </w:tblGrid>
      <w:tr>
        <w:trPr/>
        <w:tc>
          <w:tcPr>
            <w:tcW w:w="2424"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Two Quarters Ended</w:t>
            </w:r>
          </w:p>
        </w:tc>
      </w:tr>
      <w:tr>
        <w:trPr/>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OPERATING ACTIVITIES:</w:t>
            </w:r>
          </w:p>
        </w:tc>
        <w:tc>
          <w:tcPr>
            <w:tcW w:w="102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6,646 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14,033 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income to net cash provided by operating activities:</w:t>
            </w:r>
          </w:p>
        </w:tc>
        <w:tc>
          <w:tcPr>
            <w:tcW w:w="1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16,190 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14,177 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debt issuance costs and discount</w:t>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349 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sales of assets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Equity-based compensation</w:t>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5,834 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4,608 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 expense</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5,039 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 Receivable Agreement liability adjustment</w:t>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(1,172)</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(2,485)</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Gift card breakage</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Changes in operating assets and liabilities:</w:t>
            </w:r>
          </w:p>
        </w:tc>
        <w:tc>
          <w:tcPr>
            <w:tcW w:w="1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receivables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Receivables from related parties</w:t>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Inventories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current assets</w:t>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738 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1,161 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asset</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4,557 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w:t>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(7,439)</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expenses and other liabilities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(1,750)</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(1,607)</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lease incentives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5,045 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 and liabilities</w:t>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256 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1,077 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CASH PROVIDED BY OPERATING ACTIVITIES</w:t>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35,128 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28,693 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INVESTING ACTIVITIES:</w:t>
            </w:r>
          </w:p>
        </w:tc>
        <w:tc>
          <w:tcPr>
            <w:tcW w:w="102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of property and equipment</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(30,153)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(33,081)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CASH USED IN INVESTING ACTIVITIES</w:t>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(29,981)</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(33,076)</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FINANCING ACTIVITIES:</w:t>
            </w:r>
          </w:p>
        </w:tc>
        <w:tc>
          <w:tcPr>
            <w:tcW w:w="102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Proceeds from short-term debt, net</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of long-term debt</w:t>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(3,125)</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(38,750)</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Distributions paid to non-controlling interest holders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stock option exercises</w:t>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361 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2,727 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Employee withholding taxes related to net settled equity awards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Employee Stock Purchase Plan purchases</w:t>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203 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278 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of Tax Receivable Agreement liability</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(7,913)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 of deferred financing costs</w:t>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(1,263)</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18"/>
              </w:rPr>
              <w:t>Contributions from non-controlling interests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CASH USED IN FINANCING ACTIVITIES</w:t>
            </w:r>
          </w:p>
        </w:tc>
        <w:tc>
          <w:tcPr>
            <w:tcW w:w="8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(3,857)</w:t>
            </w:r>
          </w:p>
        </w:tc>
        <w:tc>
          <w:tcPr>
            <w:tcW w:w="12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(1,872)</w:t>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INCREASE (DECREASE) IN CASH AND CASH EQUIVALENTS AND RESTRICTED CASH</w:t>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(6,255)</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AND CASH EQUIVALENTS AND RESTRICTED CASH AT BEGINNING OF THE PERIOD</w:t>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19,963 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22,876 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AND CASH EQUIVALENTS AND RESTRICTED CASH AT END OF THE PERIOD</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21,253 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16,621 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PORTILLO’S INC</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 Narrow;sans-serif" w:hAnsi="Arial Narrow;sans-serif"/>
                                <w:b w:val="false"/>
                                <w:color w:val="000000"/>
                                <w:sz w:val="20"/>
                              </w:rPr>
                            </w:pPr>
                            <w:r>
                              <w:rPr>
                                <w:rFonts w:ascii="Arial Narrow;sans-serif" w:hAnsi="Arial Narrow;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190.75pt;mso-position-horizontal:left;mso-position-horizontal-relative:text">
                <v:textbox>
                  <w:txbxContent>
                    <w:p>
                      <w:pPr>
                        <w:pStyle w:val="TextBody"/>
                        <w:bidi w:val="0"/>
                        <w:spacing w:lineRule="auto" w:line="288" w:before="0" w:after="0"/>
                        <w:jc w:val="right"/>
                        <w:rPr>
                          <w:rFonts w:ascii="Arial Narrow;sans-serif" w:hAnsi="Arial Narrow;sans-serif"/>
                          <w:b w:val="false"/>
                          <w:color w:val="000000"/>
                          <w:sz w:val="20"/>
                        </w:rPr>
                      </w:pPr>
                      <w:r>
                        <w:rPr>
                          <w:rFonts w:ascii="Arial Narrow;sans-serif" w:hAnsi="Arial Narrow;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SELECTED OPERATING DATA AND NON-GAAP FINANCIAL MEASURES</w:t>
      </w:r>
    </w:p>
    <w:p>
      <w:pPr>
        <w:pStyle w:val="TextBody"/>
        <w:bidi w:val="0"/>
        <w:spacing w:before="0" w:after="0"/>
        <w:jc w:val="center"/>
        <w:rPr/>
      </w:pPr>
      <w:r>
        <w:rPr/>
      </w:r>
    </w:p>
    <w:p>
      <w:pPr>
        <w:pStyle w:val="TextBody"/>
        <w:bidi w:val="0"/>
        <w:spacing w:before="0" w:after="0"/>
        <w:jc w:val="center"/>
        <w:rPr/>
      </w:pPr>
      <w:r>
        <w:rPr/>
      </w:r>
    </w:p>
    <w:tbl>
      <w:tblPr>
        <w:tblW w:w="8630" w:type="dxa"/>
        <w:jc w:val="left"/>
        <w:tblInd w:w="0" w:type="dxa"/>
        <w:tblLayout w:type="fixed"/>
        <w:tblCellMar>
          <w:top w:w="28" w:type="dxa"/>
          <w:left w:w="28" w:type="dxa"/>
          <w:bottom w:w="28" w:type="dxa"/>
          <w:right w:w="28" w:type="dxa"/>
        </w:tblCellMar>
      </w:tblPr>
      <w:tblGrid>
        <w:gridCol w:w="1276"/>
        <w:gridCol w:w="1122"/>
        <w:gridCol w:w="1127"/>
        <w:gridCol w:w="186"/>
        <w:gridCol w:w="587"/>
        <w:gridCol w:w="247"/>
        <w:gridCol w:w="109"/>
        <w:gridCol w:w="109"/>
        <w:gridCol w:w="109"/>
        <w:gridCol w:w="186"/>
        <w:gridCol w:w="587"/>
        <w:gridCol w:w="247"/>
        <w:gridCol w:w="109"/>
        <w:gridCol w:w="109"/>
        <w:gridCol w:w="109"/>
        <w:gridCol w:w="214"/>
        <w:gridCol w:w="677"/>
        <w:gridCol w:w="129"/>
        <w:gridCol w:w="109"/>
        <w:gridCol w:w="109"/>
        <w:gridCol w:w="109"/>
        <w:gridCol w:w="212"/>
        <w:gridCol w:w="671"/>
        <w:gridCol w:w="181"/>
      </w:tblGrid>
      <w:tr>
        <w:trPr/>
        <w:tc>
          <w:tcPr>
            <w:tcW w:w="127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Two Quarters Ended</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r>
      <w:tr>
        <w:trPr/>
        <w:tc>
          <w:tcPr>
            <w:tcW w:w="35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Restaurants (a)</w:t>
            </w:r>
          </w:p>
        </w:tc>
        <w:tc>
          <w:tcPr>
            <w:tcW w:w="102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AUV (in millions) (a)</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 in same-restaurant sales (b)</w:t>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w:t>
            </w:r>
          </w:p>
        </w:tc>
        <w:tc>
          <w:tcPr>
            <w:tcW w:w="24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0.7 </w:t>
            </w:r>
          </w:p>
        </w:tc>
        <w:tc>
          <w:tcPr>
            <w:tcW w:w="24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Adjusted EBITDA (in thousands) (b)</w:t>
            </w:r>
          </w:p>
        </w:tc>
        <w:tc>
          <w:tcPr>
            <w:tcW w:w="1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29,819 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30,064 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48,272 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51,274 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Adjusted EBITDA Margin (b)</w:t>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15.0 </w:t>
            </w:r>
          </w:p>
        </w:tc>
        <w:tc>
          <w:tcPr>
            <w:tcW w:w="24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16.0 </w:t>
            </w:r>
          </w:p>
        </w:tc>
        <w:tc>
          <w:tcPr>
            <w:tcW w:w="24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Restaurant-Level Adjusted EBITDA (in thousands) (b)</w:t>
            </w:r>
          </w:p>
        </w:tc>
        <w:tc>
          <w:tcPr>
            <w:tcW w:w="1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43,247 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44,481 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78,091 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81,137 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Restaurant-Level Adjusted EBITDA Margin (b)</w:t>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21.7 </w:t>
            </w:r>
          </w:p>
        </w:tc>
        <w:tc>
          <w:tcPr>
            <w:tcW w:w="24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23.6 </w:t>
            </w:r>
          </w:p>
        </w:tc>
        <w:tc>
          <w:tcPr>
            <w:tcW w:w="24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22.2%</w:t>
            </w:r>
          </w:p>
        </w:tc>
      </w:tr>
    </w:tbl>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(a) Includes a restaurant that is owned by C&amp;O of which Portillo’s owns 50% of the equity. AUVs for the quarters ended June 28, 2026 and June 29, 2025 represent AUVs for the twelve months ended June 28, 2026 and June 29, 2025, respectively. Total restaurants indicated are as of June 28, 2026. </w:t>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(b) Excludes C&amp;O.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 Narrow;sans-serif" w:hAnsi="Arial Narrow;sans-serif"/>
                                <w:b w:val="false"/>
                                <w:color w:val="000000"/>
                                <w:sz w:val="20"/>
                              </w:rPr>
                            </w:pPr>
                            <w:r>
                              <w:rPr>
                                <w:rFonts w:ascii="Arial Narrow;sans-serif" w:hAnsi="Arial Narrow;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 Narrow;sans-serif" w:hAnsi="Arial Narrow;sans-serif"/>
                          <w:b w:val="false"/>
                          <w:color w:val="000000"/>
                          <w:sz w:val="20"/>
                        </w:rPr>
                      </w:pPr>
                      <w:r>
                        <w:rPr>
                          <w:rFonts w:ascii="Arial Narrow;sans-serif" w:hAnsi="Arial Narrow;sans-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PORTILLO’S INC.</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NON-GAAP FINANCIAL MEASURES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To supplement the consolidated financial statements, which are prepared and presented in accordance with GAAP, we use the following non-GAAP financial measures: Adjusted EBITDA and Adjusted EBITDA Margin, and Restaurant-Level Adjusted EBITDA and Restaurant-Level Adjusted EBITDA Margin. Accordingly, Restaurant-Level Adjusted EBITDA and Restaurant-Level Adjusted EBITDA Margin are not required by, nor presented in accordance with GAAP, but rather are supplemental measures of operating performance of our restaurants. You should be aware that these measures are not indicative of overall results for the Company and that Restaurant-Level Adjusted EBITDA and Restaurant-Level Adjusted EBITDA Margin do not accrue directly to the benefit of stockholders because of corporate-level expenses excluded from such measures. These measures are supplemental measures of operating performance and our calculations thereof may not be comparable to similar measures reported by other companies. These measures are important measures to evaluate the performance and profitability of our restaurants, individually and in the aggregate, but also have important limitations as analytical tools and should not be considered in isolation as substitutes for analysis of our results as reported under GAAP.</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 xml:space="preserve">Adjusted EBITDA and Adjusted EBITDA Margin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Adjusted EBITDA represents net income before depreciation and amortization, interest expense, interest income, and income taxes, adjusted for the impact of certain non-cash and other items that we do not consider in our evaluation of ongoing core operating performance as identified in the reconciliation of net income, the most directly comparable GAAP measure to Adjusted EBITDA. Adjusted EBITDA Margin represents Adjusted EBITDA as a percentage of total revenues.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We use Adjusted EBITDA and Adjusted EBITDA Margin (i) to evaluate our operating results and the effectiveness of our business strategies, (ii) internally as benchmarks to compare our performance to that of our competitors and (iii) as factors in evaluating management’s performance when determining incentive compensation.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We believe that Adjusted EBITDA and Adjusted EBITDA Margin are important measures of operating performance because they eliminate the impact of expenses that do not relate to our core operating performance.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are unable to reconcile the long-term outlook for Adjusted EBITDA to net income, the corresponding U.S. GAAP measure, due to variability and difficulty in making accurate forecasts and projections and because not all information necessary to prepare the reconciliation is available to us without unreasonable efforts. For the same reasons, we are unable to address the probable significance of the unavailable information because we cannot accurately predict all of the components of the adjusted calculations and the non-GAAP measure may be materially different than the GAAP measure.</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 xml:space="preserve">Restaurant-Level Adjusted EBITDA and Restaurant-Level Adjusted EBITDA Margin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Restaurant-Level Adjusted EBITDA is defined as revenue, less restaurant operating expenses, which include cost of goods sold (excluding depreciation and amortization), labor expenses, occupancy expenses and other operating expenses. Restaurant-Level Adjusted EBITDA excludes corporate level expenses and depreciation and amortization on restaurant property and equipment. Restaurant-Level Adjusted EBITDA Margin represents Restaurant-Level Adjusted EBITDA as a percentage of revenue.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We believe that Restaurant-Level Adjusted EBITDA and Restaurant-Level Adjusted EBITDA Margin are important measures to evaluate the performance and profitability of our restaurants, individually and in the aggregate.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 Narrow;sans-serif" w:hAnsi="Arial Narrow;sans-serif"/>
                                <w:b w:val="false"/>
                                <w:color w:val="000000"/>
                                <w:sz w:val="20"/>
                              </w:rPr>
                            </w:pPr>
                            <w:r>
                              <w:rPr>
                                <w:rFonts w:ascii="Arial Narrow;sans-serif" w:hAnsi="Arial Narrow;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 Narrow;sans-serif" w:hAnsi="Arial Narrow;sans-serif"/>
                          <w:b w:val="false"/>
                          <w:color w:val="000000"/>
                          <w:sz w:val="20"/>
                        </w:rPr>
                      </w:pPr>
                      <w:r>
                        <w:rPr>
                          <w:rFonts w:ascii="Arial Narrow;sans-serif" w:hAnsi="Arial Narrow;sans-serif"/>
                          <w:b w:val="false"/>
                          <w:color w:val="000000"/>
                          <w:sz w:val="20"/>
                        </w:rPr>
                        <w:t>10</w:t>
                      </w:r>
                    </w:p>
                  </w:txbxContent>
                </v:textbox>
                <w10:wrap type="none"/>
              </v:rect>
            </w:pict>
          </mc:Fallback>
        </mc:AlternateConten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See below for a reconciliation of net income, the most directly comparable GAAP measure, to Adjusted EBITDA and Adjusted EBITDA Margin (in thousands):</w:t>
      </w:r>
    </w:p>
    <w:tbl>
      <w:tblPr>
        <w:tblW w:w="9154" w:type="dxa"/>
        <w:jc w:val="left"/>
        <w:tblInd w:w="0" w:type="dxa"/>
        <w:tblLayout w:type="fixed"/>
        <w:tblCellMar>
          <w:top w:w="28" w:type="dxa"/>
          <w:left w:w="28" w:type="dxa"/>
          <w:bottom w:w="28" w:type="dxa"/>
          <w:right w:w="28" w:type="dxa"/>
        </w:tblCellMar>
      </w:tblPr>
      <w:tblGrid>
        <w:gridCol w:w="1469"/>
        <w:gridCol w:w="1284"/>
        <w:gridCol w:w="1296"/>
        <w:gridCol w:w="186"/>
        <w:gridCol w:w="587"/>
        <w:gridCol w:w="247"/>
        <w:gridCol w:w="109"/>
        <w:gridCol w:w="109"/>
        <w:gridCol w:w="109"/>
        <w:gridCol w:w="186"/>
        <w:gridCol w:w="587"/>
        <w:gridCol w:w="247"/>
        <w:gridCol w:w="109"/>
        <w:gridCol w:w="109"/>
        <w:gridCol w:w="109"/>
        <w:gridCol w:w="186"/>
        <w:gridCol w:w="587"/>
        <w:gridCol w:w="247"/>
        <w:gridCol w:w="109"/>
        <w:gridCol w:w="109"/>
        <w:gridCol w:w="109"/>
        <w:gridCol w:w="185"/>
        <w:gridCol w:w="586"/>
        <w:gridCol w:w="293"/>
      </w:tblGrid>
      <w:tr>
        <w:trPr/>
        <w:tc>
          <w:tcPr>
            <w:tcW w:w="146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Two Quarters Ended</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r>
      <w:tr>
        <w:trPr/>
        <w:tc>
          <w:tcPr>
            <w:tcW w:w="40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7,155 </w:t>
            </w:r>
          </w:p>
        </w:tc>
        <w:tc>
          <w:tcPr>
            <w:tcW w:w="24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10,043 </w:t>
            </w:r>
          </w:p>
        </w:tc>
        <w:tc>
          <w:tcPr>
            <w:tcW w:w="24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6,646 </w:t>
            </w:r>
          </w:p>
        </w:tc>
        <w:tc>
          <w:tcPr>
            <w:tcW w:w="24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14,033 </w:t>
            </w:r>
          </w:p>
        </w:tc>
        <w:tc>
          <w:tcPr>
            <w:tcW w:w="29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18"/>
              </w:rPr>
            </w:pPr>
            <w:r>
              <w:rPr>
                <w:rFonts w:ascii="Arial Narrow;sans-serif" w:hAnsi="Arial Narrow;sans-serif"/>
                <w:b w:val="false"/>
                <w:i/>
                <w:color w:val="000000"/>
                <w:sz w:val="18"/>
              </w:rPr>
              <w:t>Net income margin</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3.6 </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5.3 </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1.7 </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3.8 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w:t>
            </w:r>
          </w:p>
        </w:tc>
      </w:tr>
      <w:tr>
        <w:trPr/>
        <w:tc>
          <w:tcPr>
            <w:tcW w:w="40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8,254 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7,137 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16,190 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14,177 </w:t>
            </w:r>
          </w:p>
        </w:tc>
        <w:tc>
          <w:tcPr>
            <w:tcW w:w="2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5,672 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5,726 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11,299 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11,475 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w:t>
            </w:r>
          </w:p>
        </w:tc>
        <w:tc>
          <w:tcPr>
            <w:tcW w:w="2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5,039 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EBITDA</w:t>
            </w:r>
          </w:p>
        </w:tc>
        <w:tc>
          <w:tcPr>
            <w:tcW w:w="77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22,790 </w:t>
            </w:r>
          </w:p>
        </w:tc>
        <w:tc>
          <w:tcPr>
            <w:tcW w:w="24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26,506 </w:t>
            </w:r>
          </w:p>
        </w:tc>
        <w:tc>
          <w:tcPr>
            <w:tcW w:w="24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35,630 </w:t>
            </w:r>
          </w:p>
        </w:tc>
        <w:tc>
          <w:tcPr>
            <w:tcW w:w="24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44,574 </w:t>
            </w:r>
          </w:p>
        </w:tc>
        <w:tc>
          <w:tcPr>
            <w:tcW w:w="29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rent (1)</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3,232 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2,917 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Equity-based compensation</w:t>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2,604 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2,658 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5,834 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4,608 </w:t>
            </w:r>
          </w:p>
        </w:tc>
        <w:tc>
          <w:tcPr>
            <w:tcW w:w="2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Cloud-based software implementation costs (2)</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267 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cloud-based software implementation costs (3)</w:t>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278 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558 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514 </w:t>
            </w:r>
          </w:p>
        </w:tc>
        <w:tc>
          <w:tcPr>
            <w:tcW w:w="2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loss (4)</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Transaction-related fees and expenses (5)</w:t>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736 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736 </w:t>
            </w:r>
          </w:p>
        </w:tc>
        <w:tc>
          <w:tcPr>
            <w:tcW w:w="2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Legal contingency (6)</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Strategic realignment costs (7)</w:t>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907 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1,616 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Consulting fees (8)</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 Receivable Agreement liability adjustment (9)</w:t>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(760)</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(1,838)</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(1,172)</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(2,485)</w:t>
            </w:r>
          </w:p>
        </w:tc>
        <w:tc>
          <w:tcPr>
            <w:tcW w:w="2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Adjusted EBITDA</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29,819 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30,064 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48,272 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51,274 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18"/>
              </w:rPr>
            </w:pPr>
            <w:r>
              <w:rPr>
                <w:rFonts w:ascii="Arial Narrow;sans-serif" w:hAnsi="Arial Narrow;sans-serif"/>
                <w:b w:val="false"/>
                <w:i/>
                <w:color w:val="000000"/>
                <w:sz w:val="18"/>
              </w:rPr>
              <w:t>Adjusted EBITDA Margin (10)</w:t>
            </w:r>
          </w:p>
        </w:tc>
        <w:tc>
          <w:tcPr>
            <w:tcW w:w="773"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15.0 </w:t>
            </w:r>
          </w:p>
        </w:tc>
        <w:tc>
          <w:tcPr>
            <w:tcW w:w="24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16.0 </w:t>
            </w:r>
          </w:p>
        </w:tc>
        <w:tc>
          <w:tcPr>
            <w:tcW w:w="24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12.7 </w:t>
            </w:r>
          </w:p>
        </w:tc>
        <w:tc>
          <w:tcPr>
            <w:tcW w:w="24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14.1 </w:t>
            </w:r>
          </w:p>
        </w:tc>
        <w:tc>
          <w:tcPr>
            <w:tcW w:w="29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w:t>
            </w:r>
          </w:p>
        </w:tc>
      </w:tr>
    </w:tbl>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(1) Represents the difference between cash rent payments and the recognition of straight-line rent expense recognized over the lease term. </w:t>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(2) Represents non-capitalized third party consulting and software licensing costs incurred in connection with the implementation of a new HCM system which are included within general and administrative expenses.</w:t>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(3) Represents amortization of capitalized cloud-based ERP and HCM system implementation costs that are included within general and administrative expenses.</w:t>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(4) Represents loss on disposal of property and equipment included within other loss (income), net.</w:t>
      </w:r>
    </w:p>
    <w:p>
      <w:pPr>
        <w:pStyle w:val="TextBody"/>
        <w:bidi w:val="0"/>
        <w:spacing w:lineRule="auto" w:line="268" w:before="0" w:after="0"/>
        <w:jc w:val="left"/>
        <w:rPr>
          <w:rFonts w:ascii="Arial Narrow;sans-serif" w:hAnsi="Arial Narrow;sans-serif"/>
          <w:b w:val="false"/>
          <w:color w:val="000000"/>
          <w:sz w:val="18"/>
        </w:rPr>
      </w:pPr>
      <w:r>
        <w:rPr>
          <w:rFonts w:ascii="Arial Narrow;sans-serif" w:hAnsi="Arial Narrow;sans-serif"/>
          <w:b w:val="false"/>
          <w:color w:val="000000"/>
          <w:sz w:val="18"/>
        </w:rPr>
        <w:t>(5) Represents certain expenses that management believes are not indicative of ongoing operations, consisting primarily of certain professional fees included within general and administrative expenses.</w:t>
      </w:r>
    </w:p>
    <w:p>
      <w:pPr>
        <w:pStyle w:val="TextBody"/>
        <w:bidi w:val="0"/>
        <w:spacing w:lineRule="auto" w:line="268" w:before="0" w:after="0"/>
        <w:jc w:val="left"/>
        <w:rPr>
          <w:rFonts w:ascii="Arial Narrow;sans-serif" w:hAnsi="Arial Narrow;sans-serif"/>
          <w:b w:val="false"/>
          <w:color w:val="000000"/>
          <w:sz w:val="18"/>
        </w:rPr>
      </w:pPr>
      <w:r>
        <w:rPr>
          <w:rFonts w:ascii="Arial Narrow;sans-serif" w:hAnsi="Arial Narrow;sans-serif"/>
          <w:b w:val="false"/>
          <w:color w:val="000000"/>
          <w:sz w:val="18"/>
        </w:rPr>
        <w:t>(6) Represents a legal contingency recorded in connection with the Maverick arbitration, included within other loss (income), net.</w:t>
      </w:r>
    </w:p>
    <w:p>
      <w:pPr>
        <w:pStyle w:val="TextBody"/>
        <w:bidi w:val="0"/>
        <w:spacing w:lineRule="auto" w:line="268" w:before="0" w:after="0"/>
        <w:jc w:val="left"/>
        <w:rPr>
          <w:rFonts w:ascii="Arial Narrow;sans-serif" w:hAnsi="Arial Narrow;sans-serif"/>
          <w:b w:val="false"/>
          <w:color w:val="000000"/>
          <w:sz w:val="18"/>
        </w:rPr>
      </w:pPr>
      <w:r>
        <w:rPr>
          <w:rFonts w:ascii="Arial Narrow;sans-serif" w:hAnsi="Arial Narrow;sans-serif"/>
          <w:b w:val="false"/>
          <w:color w:val="000000"/>
          <w:sz w:val="18"/>
        </w:rPr>
        <w:t>(7) Represents costs related to the Company's strategic reset of its development and growth plans and CEO transition and replacement costs. These costs are included within general and administrative expenses.</w:t>
      </w:r>
    </w:p>
    <w:p>
      <w:pPr>
        <w:pStyle w:val="TextBody"/>
        <w:bidi w:val="0"/>
        <w:spacing w:lineRule="auto" w:line="268" w:before="0" w:after="0"/>
        <w:jc w:val="left"/>
        <w:rPr>
          <w:rFonts w:ascii="Arial Narrow;sans-serif" w:hAnsi="Arial Narrow;sans-serif"/>
          <w:b w:val="false"/>
          <w:color w:val="000000"/>
          <w:sz w:val="18"/>
        </w:rPr>
      </w:pPr>
      <w:r>
        <w:rPr>
          <w:rFonts w:ascii="Arial Narrow;sans-serif" w:hAnsi="Arial Narrow;sans-serif"/>
          <w:b w:val="false"/>
          <w:color w:val="000000"/>
          <w:sz w:val="18"/>
        </w:rPr>
        <w:t>(8) Represents fees incurred for discrete, project-based strategic initiatives that are not part of the Company's ongoing operations and are included within general and administrative expense. These costs consist primarily of third-party consulting fees related to a brand study and a spend optimization study. Given the magnitude and scope of these initiatives and that they are not expected to recur in the foreseeable future, the Company considers the associated consulting fees not reflective of the ongoing costs to operate its business.</w:t>
      </w:r>
    </w:p>
    <w:p>
      <w:pPr>
        <w:pStyle w:val="TextBody"/>
        <w:bidi w:val="0"/>
        <w:spacing w:lineRule="auto" w:line="268" w:before="0" w:after="0"/>
        <w:jc w:val="left"/>
        <w:rPr>
          <w:rFonts w:ascii="Arial Narrow;sans-serif" w:hAnsi="Arial Narrow;sans-serif"/>
          <w:b w:val="false"/>
          <w:color w:val="000000"/>
          <w:sz w:val="18"/>
        </w:rPr>
      </w:pPr>
      <w:r>
        <w:rPr>
          <w:rFonts w:ascii="Arial Narrow;sans-serif" w:hAnsi="Arial Narrow;sans-serif"/>
          <w:b w:val="false"/>
          <w:color w:val="000000"/>
          <w:sz w:val="18"/>
        </w:rPr>
        <w:t>(9) Represents remeasurement of the Tax Receivable Agreement liability.</w:t>
      </w:r>
    </w:p>
    <w:p>
      <w:pPr>
        <w:pStyle w:val="TextBody"/>
        <w:bidi w:val="0"/>
        <w:spacing w:lineRule="auto" w:line="268" w:before="0" w:after="0"/>
        <w:jc w:val="left"/>
        <w:rPr>
          <w:rFonts w:ascii="Arial Narrow;sans-serif" w:hAnsi="Arial Narrow;sans-serif"/>
          <w:b w:val="false"/>
          <w:color w:val="000000"/>
          <w:sz w:val="18"/>
        </w:rPr>
      </w:pPr>
      <w:r>
        <w:rPr>
          <w:rFonts w:ascii="Arial Narrow;sans-serif" w:hAnsi="Arial Narrow;sans-serif"/>
          <w:b w:val="false"/>
          <w:color w:val="000000"/>
          <w:sz w:val="18"/>
        </w:rPr>
        <w:t>(10) Adjusted EBITDA Margin is defined as Adjusted EBITDA divided by Revenues, net.</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 Narrow;sans-serif" w:hAnsi="Arial Narrow;sans-serif"/>
                                <w:b w:val="false"/>
                                <w:color w:val="000000"/>
                                <w:sz w:val="20"/>
                              </w:rPr>
                            </w:pPr>
                            <w:r>
                              <w:rPr>
                                <w:rFonts w:ascii="Arial Narrow;sans-serif" w:hAnsi="Arial Narrow;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 Narrow;sans-serif" w:hAnsi="Arial Narrow;sans-serif"/>
                          <w:b w:val="false"/>
                          <w:color w:val="000000"/>
                          <w:sz w:val="20"/>
                        </w:rPr>
                      </w:pPr>
                      <w:r>
                        <w:rPr>
                          <w:rFonts w:ascii="Arial Narrow;sans-serif" w:hAnsi="Arial Narrow;sans-serif"/>
                          <w:b w:val="false"/>
                          <w:color w:val="000000"/>
                          <w:sz w:val="20"/>
                        </w:rPr>
                        <w:t>11</w:t>
                      </w:r>
                    </w:p>
                  </w:txbxContent>
                </v:textbox>
                <w10:wrap type="none"/>
              </v:rect>
            </w:pict>
          </mc:Fallback>
        </mc:AlternateContent>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See below for a reconciliation of operating income, the most directly comparable GAAP measure, to Restaurant-Level Adjusted EBITDA and Restaurant-Level Adjusted EBITDA Margin (in thousands):</w:t>
      </w:r>
    </w:p>
    <w:tbl>
      <w:tblPr>
        <w:tblW w:w="8517" w:type="dxa"/>
        <w:jc w:val="left"/>
        <w:tblInd w:w="0" w:type="dxa"/>
        <w:tblLayout w:type="fixed"/>
        <w:tblCellMar>
          <w:top w:w="28" w:type="dxa"/>
          <w:left w:w="28" w:type="dxa"/>
          <w:bottom w:w="28" w:type="dxa"/>
          <w:right w:w="28" w:type="dxa"/>
        </w:tblCellMar>
      </w:tblPr>
      <w:tblGrid>
        <w:gridCol w:w="1230"/>
        <w:gridCol w:w="1083"/>
        <w:gridCol w:w="1092"/>
        <w:gridCol w:w="186"/>
        <w:gridCol w:w="587"/>
        <w:gridCol w:w="247"/>
        <w:gridCol w:w="109"/>
        <w:gridCol w:w="109"/>
        <w:gridCol w:w="109"/>
        <w:gridCol w:w="186"/>
        <w:gridCol w:w="587"/>
        <w:gridCol w:w="247"/>
        <w:gridCol w:w="109"/>
        <w:gridCol w:w="109"/>
        <w:gridCol w:w="109"/>
        <w:gridCol w:w="181"/>
        <w:gridCol w:w="571"/>
        <w:gridCol w:w="271"/>
        <w:gridCol w:w="109"/>
        <w:gridCol w:w="109"/>
        <w:gridCol w:w="109"/>
        <w:gridCol w:w="181"/>
        <w:gridCol w:w="571"/>
        <w:gridCol w:w="316"/>
      </w:tblGrid>
      <w:tr>
        <w:trPr/>
        <w:tc>
          <w:tcPr>
            <w:tcW w:w="123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Two Quarters Ended</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r>
      <w:tr>
        <w:trPr/>
        <w:tc>
          <w:tcPr>
            <w:tcW w:w="340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Operating income</w:t>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13,776 </w:t>
            </w:r>
          </w:p>
        </w:tc>
        <w:tc>
          <w:tcPr>
            <w:tcW w:w="24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17,531 </w:t>
            </w:r>
          </w:p>
        </w:tc>
        <w:tc>
          <w:tcPr>
            <w:tcW w:w="24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18,268 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27,912 </w:t>
            </w:r>
          </w:p>
        </w:tc>
        <w:tc>
          <w:tcPr>
            <w:tcW w:w="3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18"/>
              </w:rPr>
            </w:pPr>
            <w:r>
              <w:rPr>
                <w:rFonts w:ascii="Arial Narrow;sans-serif" w:hAnsi="Arial Narrow;sans-serif"/>
                <w:b w:val="false"/>
                <w:i/>
                <w:color w:val="000000"/>
                <w:sz w:val="18"/>
              </w:rPr>
              <w:t>Operating income margin</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6.9 </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9.3 </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7.6 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r>
      <w:tr>
        <w:trPr/>
        <w:tc>
          <w:tcPr>
            <w:tcW w:w="34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Plus:</w:t>
            </w:r>
          </w:p>
        </w:tc>
        <w:tc>
          <w:tcPr>
            <w:tcW w:w="1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 expenses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19,563 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18,798 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39,922 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37,701 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Pre-opening expenses</w:t>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938 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1,697 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2,205 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8,254 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7,137 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14,177 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attributable to equity method investment</w:t>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(404)</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(382)</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(610)</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(546)</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loss (income), net</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Restaurant-Level Adjusted EBITDA</w:t>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43,247 </w:t>
            </w:r>
          </w:p>
        </w:tc>
        <w:tc>
          <w:tcPr>
            <w:tcW w:w="24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44,481 </w:t>
            </w:r>
          </w:p>
        </w:tc>
        <w:tc>
          <w:tcPr>
            <w:tcW w:w="24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78,091 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81,137 </w:t>
            </w:r>
          </w:p>
        </w:tc>
        <w:tc>
          <w:tcPr>
            <w:tcW w:w="3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18"/>
              </w:rPr>
            </w:pPr>
            <w:r>
              <w:rPr>
                <w:rFonts w:ascii="Arial Narrow;sans-serif" w:hAnsi="Arial Narrow;sans-serif"/>
                <w:b w:val="false"/>
                <w:i/>
                <w:color w:val="000000"/>
                <w:sz w:val="18"/>
              </w:rPr>
              <w:t>Restaurant-Level Adjusted EBITDA Margin (1)</w:t>
            </w:r>
          </w:p>
        </w:tc>
        <w:tc>
          <w:tcPr>
            <w:tcW w:w="7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21.7 </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23.6 </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20.5 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22.2 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w:t>
            </w:r>
          </w:p>
        </w:tc>
      </w:tr>
    </w:tbl>
    <w:p>
      <w:pPr>
        <w:pStyle w:val="TextBody"/>
        <w:bidi w:val="0"/>
        <w:spacing w:lineRule="auto" w:line="288"/>
        <w:jc w:val="left"/>
        <w:rPr>
          <w:rFonts w:ascii="Arial Narrow;sans-serif" w:hAnsi="Arial Narrow;sans-serif"/>
          <w:b w:val="false"/>
          <w:color w:val="000000"/>
          <w:sz w:val="18"/>
        </w:rPr>
      </w:pPr>
      <w:r>
        <w:rPr>
          <w:rFonts w:ascii="Arial Narrow;sans-serif" w:hAnsi="Arial Narrow;sans-serif"/>
          <w:b w:val="false"/>
          <w:color w:val="000000"/>
          <w:sz w:val="18"/>
        </w:rPr>
        <w:t>(1) Restaurant-Level Adjusted EBITDA Margin is defined as Restaurant-Level Adjusted EBITDA divided by Revenues, net.</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 Narrow;sans-serif" w:hAnsi="Arial Narrow;sans-serif"/>
                                <w:b w:val="false"/>
                                <w:color w:val="000000"/>
                                <w:sz w:val="20"/>
                              </w:rPr>
                            </w:pPr>
                            <w:r>
                              <w:rPr>
                                <w:rFonts w:ascii="Arial Narrow;sans-serif" w:hAnsi="Arial Narrow;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 Narrow;sans-serif" w:hAnsi="Arial Narrow;sans-serif"/>
                          <w:b w:val="false"/>
                          <w:color w:val="000000"/>
                          <w:sz w:val="20"/>
                        </w:rPr>
                      </w:pPr>
                      <w:r>
                        <w:rPr>
                          <w:rFonts w:ascii="Arial Narrow;sans-serif" w:hAnsi="Arial Narrow;sans-serif"/>
                          <w:b w:val="false"/>
                          <w:color w:val="000000"/>
                          <w:sz w:val="20"/>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5363</Words>
  <Characters>30560</Characters>
  <CharactersWithSpaces>35342</CharactersWithSpaces>
  <Paragraphs>1013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