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610"/>
        <w:gridCol w:w="535"/>
        <w:gridCol w:w="7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44"/>
              </w:rPr>
            </w:pPr>
            <w:r>
              <w:rPr>
                <w:rFonts w:ascii="Arial Narrow;sans-serif" w:hAnsi="Arial Narrow;sans-serif"/>
                <w:b/>
                <w:color w:val="000000"/>
                <w:sz w:val="44"/>
              </w:rPr>
              <w:t>FORM 8-K</w:t>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CURRENT REPORT</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Date of Report (Date of earliest event reported): October 05, 2026</w:t>
      </w:r>
    </w:p>
    <w:p>
      <w:pPr>
        <w:pStyle w:val="TextBody"/>
        <w:bidi w:val="0"/>
        <w:spacing w:before="0" w:after="0"/>
        <w:jc w:val="center"/>
        <w:rPr/>
      </w:pPr>
      <w:r>
        <w:rPr/>
      </w:r>
    </w:p>
    <w:p>
      <w:pPr>
        <w:pStyle w:val="TextBody"/>
        <w:bidi w:val="0"/>
        <w:spacing w:before="0" w:after="0"/>
        <w:jc w:val="center"/>
        <w:rPr/>
      </w:pPr>
      <w:r>
        <w:rPr/>
        <w:drawing>
          <wp:inline distT="0" distB="0" distL="0" distR="0">
            <wp:extent cx="25336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239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PORTILLO'S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7874" w:type="dxa"/>
        <w:jc w:val="center"/>
        <w:tblInd w:w="0" w:type="dxa"/>
        <w:tblLayout w:type="fixed"/>
        <w:tblCellMar>
          <w:top w:w="28" w:type="dxa"/>
          <w:left w:w="28" w:type="dxa"/>
          <w:bottom w:w="28" w:type="dxa"/>
          <w:right w:w="28" w:type="dxa"/>
        </w:tblCellMar>
      </w:tblPr>
      <w:tblGrid>
        <w:gridCol w:w="1350"/>
        <w:gridCol w:w="1186"/>
        <w:gridCol w:w="1199"/>
        <w:gridCol w:w="592"/>
        <w:gridCol w:w="592"/>
        <w:gridCol w:w="600"/>
        <w:gridCol w:w="688"/>
        <w:gridCol w:w="688"/>
        <w:gridCol w:w="979"/>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 xml:space="preserve">Delaware </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001-40951</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87-1104304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(Commission File Number)</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2001 Spring Road, Suite 400, Oak Brook, Illinois 60523</w:t>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(630) 954-3773</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tbl>
      <w:tblPr>
        <w:tblW w:w="4034" w:type="dxa"/>
        <w:jc w:val="center"/>
        <w:tblInd w:w="0" w:type="dxa"/>
        <w:tblLayout w:type="fixed"/>
        <w:tblCellMar>
          <w:top w:w="28" w:type="dxa"/>
          <w:left w:w="28" w:type="dxa"/>
          <w:bottom w:w="28" w:type="dxa"/>
          <w:right w:w="28" w:type="dxa"/>
        </w:tblCellMar>
      </w:tblPr>
      <w:tblGrid>
        <w:gridCol w:w="1291"/>
        <w:gridCol w:w="1131"/>
        <w:gridCol w:w="1612"/>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(Former name or former address, if changed since last report)</w:t>
            </w:r>
          </w:p>
        </w:tc>
      </w:tr>
    </w:tbl>
    <w:p>
      <w:pPr>
        <w:pStyle w:val="TextBody"/>
        <w:bidi w:val="0"/>
        <w:spacing w:before="0" w:after="0"/>
        <w:jc w:val="center"/>
        <w:rPr/>
      </w:pPr>
      <w:r>
        <w:rPr/>
      </w:r>
    </w:p>
    <w:p>
      <w:pPr>
        <w:pStyle w:val="TextBody"/>
        <w:bidi w:val="0"/>
        <w:spacing w:lineRule="auto" w:line="288" w:before="0" w:after="0"/>
        <w:jc w:val="left"/>
        <w:rPr/>
      </w:pPr>
      <w:r>
        <w:rPr>
          <w:rFonts w:ascii="Arial Narrow;sans-serif" w:hAnsi="Arial Narrow;sans-serif"/>
          <w:b w:val="false"/>
          <w:color w:val="000000"/>
          <w:sz w:val="18"/>
        </w:rPr>
        <w:t>Check the appropriate box below if the Form 8-K filing is intended to simultaneously satisfy the filing obligation of the registrant under any of the following provisions (</w:t>
      </w:r>
      <w:r>
        <w:rPr>
          <w:rFonts w:ascii="Arial Narrow;sans-serif" w:hAnsi="Arial Narrow;sans-serif"/>
          <w:b w:val="false"/>
          <w:color w:val="000000"/>
          <w:sz w:val="18"/>
          <w:u w:val="single"/>
        </w:rPr>
        <w:t>see</w:t>
      </w:r>
      <w:r>
        <w:rPr>
          <w:color w:val="000000"/>
        </w:rPr>
        <w:t xml:space="preserve"> </w:t>
      </w:r>
      <w:r>
        <w:rPr>
          <w:rFonts w:ascii="Arial Narrow;sans-serif" w:hAnsi="Arial Narrow;sans-serif"/>
          <w:b w:val="false"/>
          <w:color w:val="000000"/>
          <w:sz w:val="18"/>
        </w:rPr>
        <w:t>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7768" w:type="dxa"/>
        <w:jc w:val="left"/>
        <w:tblInd w:w="0" w:type="dxa"/>
        <w:tblLayout w:type="fixed"/>
        <w:tblCellMar>
          <w:top w:w="28" w:type="dxa"/>
          <w:left w:w="28" w:type="dxa"/>
          <w:bottom w:w="28" w:type="dxa"/>
          <w:right w:w="28" w:type="dxa"/>
        </w:tblCellMar>
      </w:tblPr>
      <w:tblGrid>
        <w:gridCol w:w="1207"/>
        <w:gridCol w:w="1063"/>
        <w:gridCol w:w="1075"/>
        <w:gridCol w:w="409"/>
        <w:gridCol w:w="409"/>
        <w:gridCol w:w="411"/>
        <w:gridCol w:w="934"/>
        <w:gridCol w:w="934"/>
        <w:gridCol w:w="1326"/>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PTLO</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Emerging growth company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1" w:before="0" w:after="0"/>
        <w:jc w:val="left"/>
        <w:rPr>
          <w:rFonts w:ascii="Arial Narrow;sans-serif" w:hAnsi="Arial Narrow;sans-serif"/>
          <w:b/>
          <w:color w:val="000000"/>
          <w:sz w:val="24"/>
        </w:rPr>
      </w:pPr>
      <w:r>
        <w:rPr>
          <w:rFonts w:ascii="Arial Narrow;sans-serif" w:hAnsi="Arial Narrow;sans-serif"/>
          <w:b/>
          <w:color w:val="000000"/>
          <w:sz w:val="24"/>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Arial Narrow;sans-serif" w:hAnsi="Arial Narrow;sans-serif"/>
          <w:b/>
          <w:i/>
          <w:color w:val="000000"/>
          <w:sz w:val="20"/>
        </w:rPr>
      </w:pPr>
      <w:r>
        <w:rPr>
          <w:rFonts w:ascii="Arial Narrow;sans-serif" w:hAnsi="Arial Narrow;sans-serif"/>
          <w:b/>
          <w:i/>
          <w:color w:val="000000"/>
          <w:sz w:val="20"/>
        </w:rPr>
        <w:t>Departure of Jill Waite as Chief People Officer</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On October 5, 2026, Portillo’s, Inc. (the “Company”) and Jill Waite, the Company’s Chief People Officer, agreed that Ms. Waite will depart from the Company effective November 1, 2026 (“Termination Date”).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Ms. Waite’s departure from the Company will be treated as a qualifying termination entitling her to certain benefits under the Company’s Senior Executive Severance Plan (the “SESP”). The Company intends to enter into a Separation Agreement with Ms. Waite at a later date, which the Company expects will include a general release of claims and certain customary protective covenants in favor of the Company, including certain confidentiality, non-competition, employee and customer non-solicitation, non-disparagement provisions, and an agreement to cooperate and assist with claims (the “Release”). The Company also expects that the Separation Agreement will provide for the payment of accrued obligations and, subject to Ms. Waite’s timely execution and non-revocation of the Release, for compensation to be paid consistent with the terms and conditions of the SESP as follows: (a) an amount in cash equal to Ms. Waite’s Annual Base Salary, which shall be payable in substantially equal installments over the applicable Severance Period in accordance with the Company’s normal payroll practices; (b) any earned 2026 Annual Bonus, prorated and payable in a lump sum in cash on the date on which the Company pays out the applicable Annual Bonus; (c) if Ms. Waite timely elects COBRA coverage, reimbursement for the cost of health insurance continuation coverage under COBRA in excess of the cost that employees are otherwise required to pay for health insurance benefits under the plan until the earlier of (i) the end of the COBRA Period and (ii) the date on which Ms. Waite obtains comparable alternative insurance coverage; and (d) outplacement services for up to 12 months from the Termination Date, up to a maximum value of $25,000. In addition, Ms. Waite’s outstanding stock option awards granted to her on August 7, 2019 will remain exercisable until the 10th anniversary of the grant date.</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Additionally, and subject to the timely execution and non-revocation of the Release, the Company expects that the Separation Agreement will provide for Ms. Waite’s 19,795 and 6,282 Restricted Stock Units, which were scheduled to vest on April 15, 2027 and May 2, 2027, respectively, to vest effective as of November 2, 2026. Any other equity awards that are outstanding as of the Termination Date will be forfeited effective on the date following the Termination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 Narrow;sans-serif" w:hAnsi="Arial Narrow;sans-serif"/>
          <w:b/>
          <w:color w:val="414042"/>
          <w:sz w:val="20"/>
        </w:rPr>
      </w:pPr>
      <w:r>
        <w:rPr>
          <w:rFonts w:ascii="Arial Narrow;sans-serif" w:hAnsi="Arial Narrow;sans-serif"/>
          <w:b/>
          <w:color w:val="414042"/>
          <w:sz w:val="20"/>
        </w:rPr>
        <w:t xml:space="preserve">SIGNATURES </w:t>
      </w:r>
    </w:p>
    <w:p>
      <w:pPr>
        <w:pStyle w:val="TextBody"/>
        <w:bidi w:val="0"/>
        <w:spacing w:before="0" w:after="0"/>
        <w:jc w:val="center"/>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tbl>
      <w:tblPr>
        <w:tblW w:w="5202" w:type="dxa"/>
        <w:jc w:val="left"/>
        <w:tblInd w:w="0" w:type="dxa"/>
        <w:tblLayout w:type="fixed"/>
        <w:tblCellMar>
          <w:top w:w="28" w:type="dxa"/>
          <w:left w:w="28" w:type="dxa"/>
          <w:bottom w:w="28" w:type="dxa"/>
          <w:right w:w="28" w:type="dxa"/>
        </w:tblCellMar>
      </w:tblPr>
      <w:tblGrid>
        <w:gridCol w:w="619"/>
        <w:gridCol w:w="542"/>
        <w:gridCol w:w="549"/>
        <w:gridCol w:w="109"/>
        <w:gridCol w:w="109"/>
        <w:gridCol w:w="109"/>
        <w:gridCol w:w="110"/>
        <w:gridCol w:w="110"/>
        <w:gridCol w:w="110"/>
        <w:gridCol w:w="827"/>
        <w:gridCol w:w="827"/>
        <w:gridCol w:w="1181"/>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Portillo's Inc.</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October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Kevin Kalicak</w:t>
            </w:r>
          </w:p>
        </w:tc>
      </w:tr>
      <w:tr>
        <w:trPr/>
        <w:tc>
          <w:tcPr>
            <w:tcW w:w="171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Kevin Kalicak</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Chief Financial Officer and Treasurer </w:t>
              <w:br/>
              <w:t xml:space="preserve">(Principal Financial Officer)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4355</Characters>
  <CharactersWithSpaces>5104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