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44"/>
              </w:rPr>
            </w:pPr>
            <w:r>
              <w:rPr>
                <w:rFonts w:ascii="Arial Narrow;sans-serif" w:hAnsi="Arial Narrow;sans-serif"/>
                <w:b/>
                <w:color w:val="000000"/>
                <w:sz w:val="44"/>
              </w:rPr>
              <w:t>FORM 8-K</w:t>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CURRENT REPORT</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Date of Report (Date of earliest event reported): August 03, 2026</w:t>
      </w:r>
    </w:p>
    <w:p>
      <w:pPr>
        <w:pStyle w:val="TextBody"/>
        <w:bidi w:val="0"/>
        <w:spacing w:before="0" w:after="0"/>
        <w:jc w:val="center"/>
        <w:rPr/>
      </w:pPr>
      <w:r>
        <w:rPr/>
      </w:r>
    </w:p>
    <w:p>
      <w:pPr>
        <w:pStyle w:val="TextBody"/>
        <w:bidi w:val="0"/>
        <w:spacing w:before="0" w:after="0"/>
        <w:jc w:val="center"/>
        <w:rPr/>
      </w:pPr>
      <w:r>
        <w:rPr/>
        <w:drawing>
          <wp:inline distT="0" distB="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7874" w:type="dxa"/>
        <w:jc w:val="center"/>
        <w:tblInd w:w="0" w:type="dxa"/>
        <w:tblLayout w:type="fixed"/>
        <w:tblCellMar>
          <w:top w:w="28" w:type="dxa"/>
          <w:left w:w="28" w:type="dxa"/>
          <w:bottom w:w="28" w:type="dxa"/>
          <w:right w:w="28" w:type="dxa"/>
        </w:tblCellMar>
      </w:tblPr>
      <w:tblGrid>
        <w:gridCol w:w="1350"/>
        <w:gridCol w:w="1186"/>
        <w:gridCol w:w="1199"/>
        <w:gridCol w:w="592"/>
        <w:gridCol w:w="592"/>
        <w:gridCol w:w="600"/>
        <w:gridCol w:w="688"/>
        <w:gridCol w:w="688"/>
        <w:gridCol w:w="979"/>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001-40951</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(Commission File Number)</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(630) 954-3773</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4034" w:type="dxa"/>
        <w:jc w:val="center"/>
        <w:tblInd w:w="0" w:type="dxa"/>
        <w:tblLayout w:type="fixed"/>
        <w:tblCellMar>
          <w:top w:w="28" w:type="dxa"/>
          <w:left w:w="28" w:type="dxa"/>
          <w:bottom w:w="28" w:type="dxa"/>
          <w:right w:w="28" w:type="dxa"/>
        </w:tblCellMar>
      </w:tblPr>
      <w:tblGrid>
        <w:gridCol w:w="1291"/>
        <w:gridCol w:w="1131"/>
        <w:gridCol w:w="161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or former address, if changed since last report)</w:t>
            </w:r>
          </w:p>
        </w:tc>
      </w:tr>
    </w:tbl>
    <w:p>
      <w:pPr>
        <w:pStyle w:val="TextBody"/>
        <w:bidi w:val="0"/>
        <w:spacing w:before="0" w:after="0"/>
        <w:jc w:val="center"/>
        <w:rPr/>
      </w:pPr>
      <w:r>
        <w:rPr/>
      </w:r>
    </w:p>
    <w:p>
      <w:pPr>
        <w:pStyle w:val="TextBody"/>
        <w:bidi w:val="0"/>
        <w:spacing w:lineRule="auto" w:line="288" w:before="0" w:after="0"/>
        <w:jc w:val="left"/>
        <w:rPr/>
      </w:pPr>
      <w:r>
        <w:rPr>
          <w:rFonts w:ascii="Arial Narrow;sans-serif" w:hAnsi="Arial Narrow;sans-serif"/>
          <w:b w:val="false"/>
          <w:color w:val="000000"/>
          <w:sz w:val="18"/>
        </w:rPr>
        <w:t>Check the appropriate box below if the Form 8-K filing is intended to simultaneously satisfy the filing obligation of the registrant under any of the following provisions (</w:t>
      </w:r>
      <w:r>
        <w:rPr>
          <w:rFonts w:ascii="Arial Narrow;sans-serif" w:hAnsi="Arial Narrow;sans-serif"/>
          <w:b w:val="false"/>
          <w:color w:val="000000"/>
          <w:sz w:val="18"/>
          <w:u w:val="single"/>
        </w:rPr>
        <w:t>see</w:t>
      </w:r>
      <w:r>
        <w:rPr>
          <w:color w:val="000000"/>
        </w:rPr>
        <w:t xml:space="preserve"> </w:t>
      </w:r>
      <w:r>
        <w:rPr>
          <w:rFonts w:ascii="Arial Narrow;sans-serif" w:hAnsi="Arial Narrow;sans-serif"/>
          <w:b w:val="false"/>
          <w:color w:val="000000"/>
          <w:sz w:val="18"/>
        </w:rPr>
        <w:t>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 Narrow;sans-serif" w:hAnsi="Arial Narrow;sans-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68" w:type="dxa"/>
        <w:jc w:val="left"/>
        <w:tblInd w:w="0" w:type="dxa"/>
        <w:tblLayout w:type="fixed"/>
        <w:tblCellMar>
          <w:top w:w="28" w:type="dxa"/>
          <w:left w:w="28" w:type="dxa"/>
          <w:bottom w:w="28" w:type="dxa"/>
          <w:right w:w="28" w:type="dxa"/>
        </w:tblCellMar>
      </w:tblPr>
      <w:tblGrid>
        <w:gridCol w:w="1207"/>
        <w:gridCol w:w="1063"/>
        <w:gridCol w:w="1075"/>
        <w:gridCol w:w="409"/>
        <w:gridCol w:w="409"/>
        <w:gridCol w:w="411"/>
        <w:gridCol w:w="934"/>
        <w:gridCol w:w="934"/>
        <w:gridCol w:w="1326"/>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3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1" w:before="0" w:after="0"/>
        <w:jc w:val="left"/>
        <w:rPr>
          <w:rFonts w:ascii="Arial Narrow;sans-serif" w:hAnsi="Arial Narrow;sans-serif"/>
          <w:b/>
          <w:color w:val="000000"/>
          <w:sz w:val="24"/>
        </w:rPr>
      </w:pPr>
      <w:r>
        <w:rPr>
          <w:rFonts w:ascii="Arial Narrow;sans-serif" w:hAnsi="Arial Narrow;sans-serif"/>
          <w:b/>
          <w:color w:val="000000"/>
          <w:sz w:val="24"/>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On August 4, 2026, Portillo’s Inc. (the “Company” or the “Registrant”) announced that Kevin Kalicak, 53, who most recently served as an Officer of Darden Restaurants, Inc. and Senior Vice President of Finance for Olive Garden, will join the Company as its Chief Financial Officer and Treasurer (Principal Financial Officer and Principal Accounting Officer), effective September 7, 2026. Mr. Kalicak will succeed Ms. Pamela Smith, who has served as the Company’s Interim Chief Financial Officer since May 20, 2026.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Prior to assuming his role as Senior Vice President of Finance for Olive Garden in 2024, Mr. Kalicak served as Darden’s Senior Vice President, Finance and Investor Relations from 2021 to 2024. Before that, he led Financial Planning and Analysis and Investor Relations for Darden from 2015 to 2021. He graduated with a Bachelor of Business Administration – Accounting from Georgia Southern University and earned a Master of Business Administration from the University of Central Florida with a concentration in Finance.</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There are no arrangements or understandings between Mr. Kalicak and any other persons pursuant to which he was selected as Chief Financial Officer and Treasurer. There are also no family relationships between Mr. Kalicak and any director or executive officer of the Company, and he 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 connection with his appointment as the Company’s Chief Financial Officer and Treasurer, the Company entered into an offer letter (the “Offer Letter”) with Mr. Kalicak on August 3, 2026. Pursuant to the Offer Letter, Mr. Kalicak will receive a base salary of $500,000 per year and be eligible to participate in the Company’s annual bonus program with a target of 75% of base salary, and Long-Term Incentive Plan with a target of $750,000, of which 50% is comprised of restricted stock units (“RSUs”), subject to a 3-year vesting period, and 50% is comprised of Performance Stock Units, subject to certain time- and/or performance-based requirements. Mr. Kalicak will also receive a one-time sign-on cash award of $100,000; guaranteed 2026 annual incentive payment of $187,500; and relocation reimbursement of up to $100,000.</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 connection with his appointment and pursuant to the terms of his Offer Letter, the Company will grant Mr. Kalicak a one</w:t>
        <w:noBreakHyphen/>
        <w:t>time sign</w:t>
        <w:noBreakHyphen/>
        <w:t>on award of an amount of RSUs with a grant</w:t>
        <w:noBreakHyphen/>
        <w:t xml:space="preserve">date value of $825,000 to be determined on the grant date, which RSUs will vest ratably over three years, subject to Mr. Kalicak’s continued employment with the Company through each vesting date.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All equity grants are subject to the terms of the award agreement and the Company’s equity incentive plan, as applicable. Consistent with benefits available to other executives of the Company, Mr. Kalicak will also be eligible for family medical, dental, vision and short-term disability coverage, participation in each of the Company’s 401(k), senior executive severance and non-qualified deferred compensation plans, and unlimited Paid Time Off. The foregoing description of the Offer Letter is a summary only and is qualified in its entirety by the full text of the Offer Letter, which the Company expects to file as an exhibit to its Quarterly Report on Form 10-Q for the quarter ending September 27,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August 4, 2026, the Company issued a press release relating to Mr. Kalicak’s appointment, which release is being furnished as Exhibit 99.1 to this Current Report on Form 8-K. Exhibit 99.1 shall not be deemed “filed” for purposes of Section 18 of the Securities Exchange Act of 1934, as amended (the “Exchange Act”) or otherwise subject to the liabilities under that Section and shall not be deemed to be incorporated by reference into any filing of the Registrant under the Securities Act of 1933, as amended,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414042"/>
          <w:sz w:val="20"/>
        </w:rPr>
      </w:pPr>
      <w:r>
        <w:rPr>
          <w:rFonts w:ascii="Arial Narrow;sans-serif" w:hAnsi="Arial Narrow;sans-serif"/>
          <w:b w:val="false"/>
          <w:color w:val="414042"/>
          <w:sz w:val="20"/>
        </w:rPr>
        <w:t>(d) Exhibits.</w:t>
      </w:r>
    </w:p>
    <w:tbl>
      <w:tblPr>
        <w:tblW w:w="7420" w:type="dxa"/>
        <w:jc w:val="left"/>
        <w:tblInd w:w="0" w:type="dxa"/>
        <w:tblLayout w:type="fixed"/>
        <w:tblCellMar>
          <w:top w:w="28" w:type="dxa"/>
          <w:left w:w="28" w:type="dxa"/>
          <w:bottom w:w="28" w:type="dxa"/>
          <w:right w:w="28" w:type="dxa"/>
        </w:tblCellMar>
      </w:tblPr>
      <w:tblGrid>
        <w:gridCol w:w="482"/>
        <w:gridCol w:w="424"/>
        <w:gridCol w:w="428"/>
        <w:gridCol w:w="109"/>
        <w:gridCol w:w="109"/>
        <w:gridCol w:w="109"/>
        <w:gridCol w:w="1685"/>
        <w:gridCol w:w="1685"/>
        <w:gridCol w:w="2389"/>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Description</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htm">
              <w:r>
                <w:rPr>
                  <w:rStyle w:val="InternetLink"/>
                  <w:rFonts w:ascii="Arial Narrow;sans-serif" w:hAnsi="Arial Narrow;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htm">
              <w:r>
                <w:rPr>
                  <w:rStyle w:val="InternetLink"/>
                  <w:rFonts w:ascii="Arial Narrow;sans-serif" w:hAnsi="Arial Narrow;sans-serif"/>
                  <w:b w:val="false"/>
                  <w:color w:val="0000FF"/>
                  <w:sz w:val="20"/>
                  <w:u w:val="single"/>
                </w:rPr>
                <w:t>Press release of the Registrant, dated August 4, 2026</w:t>
              </w:r>
            </w:hyperlink>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 Narrow;sans-serif" w:hAnsi="Arial Narrow;sans-serif"/>
          <w:b/>
          <w:color w:val="414042"/>
          <w:sz w:val="20"/>
        </w:rPr>
      </w:pPr>
      <w:r>
        <w:rPr>
          <w:rFonts w:ascii="Arial Narrow;sans-serif" w:hAnsi="Arial Narrow;sans-serif"/>
          <w:b/>
          <w:color w:val="414042"/>
          <w:sz w:val="20"/>
        </w:rPr>
        <w:t xml:space="preserve">SIGNATURES </w:t>
      </w:r>
    </w:p>
    <w:p>
      <w:pPr>
        <w:pStyle w:val="TextBody"/>
        <w:bidi w:val="0"/>
        <w:spacing w:before="0" w:after="0"/>
        <w:jc w:val="center"/>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tbl>
      <w:tblPr>
        <w:tblW w:w="4692" w:type="dxa"/>
        <w:jc w:val="left"/>
        <w:tblInd w:w="0" w:type="dxa"/>
        <w:tblLayout w:type="fixed"/>
        <w:tblCellMar>
          <w:top w:w="28" w:type="dxa"/>
          <w:left w:w="28" w:type="dxa"/>
          <w:bottom w:w="28" w:type="dxa"/>
          <w:right w:w="28" w:type="dxa"/>
        </w:tblCellMar>
      </w:tblPr>
      <w:tblGrid>
        <w:gridCol w:w="592"/>
        <w:gridCol w:w="518"/>
        <w:gridCol w:w="525"/>
        <w:gridCol w:w="109"/>
        <w:gridCol w:w="109"/>
        <w:gridCol w:w="109"/>
        <w:gridCol w:w="110"/>
        <w:gridCol w:w="110"/>
        <w:gridCol w:w="110"/>
        <w:gridCol w:w="700"/>
        <w:gridCol w:w="700"/>
        <w:gridCol w:w="1000"/>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Kelly M. Kaiser</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Kelly M. Kaiser</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057400" cy="457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057400" cy="457200"/>
                    </a:xfrm>
                    <a:prstGeom prst="rect">
                      <a:avLst/>
                    </a:prstGeom>
                  </pic:spPr>
                </pic:pic>
              </a:graphicData>
            </a:graphic>
          </wp:inline>
        </w:drawing>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5.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sans-serif" w:hAnsi="sans-serif"/>
          <w:b/>
          <w:color w:val="000000"/>
          <w:sz w:val="36"/>
        </w:rPr>
      </w:pPr>
      <w:r>
        <w:rPr>
          <w:rFonts w:ascii="sans-serif" w:hAnsi="sans-serif"/>
          <w:b/>
          <w:color w:val="000000"/>
          <w:sz w:val="36"/>
        </w:rPr>
        <w:t>Portillo’s Appoints Kevin Kalicak as Chief Financial Officer</w:t>
      </w:r>
    </w:p>
    <w:p>
      <w:pPr>
        <w:pStyle w:val="TextBody"/>
        <w:bidi w:val="0"/>
        <w:spacing w:before="0" w:after="0"/>
        <w:jc w:val="center"/>
        <w:rPr/>
      </w:pPr>
      <w:r>
        <w:rPr/>
      </w:r>
    </w:p>
    <w:p>
      <w:pPr>
        <w:pStyle w:val="TextBody"/>
        <w:bidi w:val="0"/>
        <w:spacing w:lineRule="auto" w:line="276" w:before="0" w:after="0"/>
        <w:jc w:val="left"/>
        <w:rPr/>
      </w:pPr>
      <w:r>
        <w:rPr>
          <w:rFonts w:ascii="sans-serif" w:hAnsi="sans-serif"/>
          <w:b/>
          <w:color w:val="000000"/>
          <w:sz w:val="22"/>
        </w:rPr>
        <w:t>CHICAGO – August 4, 2026</w:t>
      </w:r>
      <w:r>
        <w:rPr>
          <w:color w:val="000000"/>
        </w:rPr>
        <w:t xml:space="preserve"> – </w:t>
      </w:r>
      <w:r>
        <w:rPr>
          <w:rFonts w:ascii="sans-serif" w:hAnsi="sans-serif"/>
          <w:b w:val="false"/>
          <w:color w:val="000000"/>
          <w:sz w:val="22"/>
        </w:rPr>
        <w:t xml:space="preserve">Portillo’s </w:t>
      </w:r>
      <w:r>
        <w:rPr>
          <w:rFonts w:ascii="sans-serif" w:hAnsi="sans-serif"/>
          <w:b w:val="false"/>
          <w:color w:val="000000"/>
          <w:sz w:val="24"/>
        </w:rPr>
        <w:t>(NASDAQ: PTLO), the fast-casual restaurant concept known for serving Chicago-style favorites for more than 60 years, today announced the appointment of Kevin Kalicak as Chief Financial Officer and Treasurer, effective September 7,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Mr. Kalicak joins Portillo’s bringing decades of financial leadership within the restaurant industry, serving in various roles with Darden Restaurants for more than 25 years. As Chief Financial Officer of Portillo’s, he will oversee the company’s finance organization, including financial planning and analysis, accounting, investor relations, internal audit, tax, supply chain and other corporate financial functions.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4"/>
        </w:rPr>
        <w:t>Kevin is a proven financial leader with deep restaurant industry expertise, a strong track record of driving profitable growth and a collaborative leadership style that aligns well with the direction of the Portillo’s brand,” said Brett Patterson, President and Chief Executive Officer of Portillo’s. “As we refine and execute our strategy, his experience leading high-performing finance organizations to support operational excellence and ultimately drive shareholder value will be instrumental as we strengthen our business and position Portillo’s for long-term growth.”</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Most recently, Mr. Kalicak served as Senior Vice President of Finance for Olive Garden, where he was responsible for the financial leadership of a brand with more than 900 restaurants and $5 billion in annual sales. He has held several positions across various areas of brand finance, business analytics, enterprise finance and investor relations within Darden’s portfolio, bringing to Portillo’s his experience in driving company-owned operations while scaling an organization effectively.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4"/>
        </w:rPr>
        <w:t xml:space="preserve">I’m honored to join Portillo’s at such an exciting point in the company’s journey,” said Mr. Kalicak. “Portillo’s is a beloved brand with a passionate team and strong foundation for future growth. I look forward to partnering with Brett, the leadership team and our restaurant teams to further strengthen the business and execute the long-term strategy to create value for our guests, team members and shareholders.” </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4"/>
        </w:rPr>
        <w:t>About Portillo’s</w:t>
      </w:r>
      <w:r>
        <w:rPr>
          <w:color w:val="000000"/>
        </w:rPr>
        <w:t xml:space="preserve"> </w:t>
      </w:r>
    </w:p>
    <w:p>
      <w:pPr>
        <w:pStyle w:val="TextBody"/>
        <w:bidi w:val="0"/>
        <w:spacing w:lineRule="auto" w:line="276" w:before="0" w:after="0"/>
        <w:jc w:val="left"/>
        <w:rPr/>
      </w:pPr>
      <w:r>
        <w:rPr>
          <w:rFonts w:ascii="sans-serif" w:hAnsi="sans-serif"/>
          <w:b w:val="false"/>
          <w:color w:val="000000"/>
          <w:sz w:val="24"/>
        </w:rPr>
        <w:t>Portillo’s (NASDAQ: PTLO) is a one-of-a-kind brand that has grown from a small hot dog trailer in Chicago to more than 100 restaurants across 11 states. Known for its unique menu of craveable Italian beef sandwiches, Chicago-style hot dogs, char-broiled burgers, fresh salads and iconic chocolate cake, Portillo’s is beloved in both its home of Chicagoland and across new and growing markets. Portillo’s operates a company-owned model of not just restaurants – but experience-focused destinations that blend dine-in, drive-thru, takeout and delivery to serve guests with the food they crave. And now, after six decades of success and counting, Portillo’s is on a mission to bring its iconic food and unforgettable dining experience to guests across the country.</w:t>
      </w:r>
      <w:r>
        <w:rPr>
          <w:color w:val="000000"/>
        </w:rPr>
        <w:t xml:space="preserv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drawing>
          <wp:inline distT="0" distB="0" distL="0" distR="0">
            <wp:extent cx="2057400" cy="4572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057400" cy="4572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5.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Guests can join Portillo’s Perks, the brand’s loyalty program, at Portillos.com/perks to earn and redeem delicious rewards. Every visit brings fans closer to exclusive perks, badges and surprise offers. Fans can also download the Portillo’s App for iOS or Android or visit Portillo’s website to order ahead for pickup or delivery and get the best dill on these bun-believably delicious Chicago-style favorites and more. Plus, Portillo’s ships its craveworthy food to all 50 states via its website.</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CFO Inducement Grant Under Nasdaq Listing Rule 5635(c)(4)</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Kevin Kalicak will join the Company as Chief Financial Officer, effective September 7, 2026. In connection with his appointment and pursuant to the terms of his employment agreement, on September 7, 2026, the Company will grant Mr. Kalicak a one</w:t>
        <w:noBreakHyphen/>
        <w:t>time sign</w:t>
        <w:noBreakHyphen/>
        <w:t>on award with a grant</w:t>
        <w:noBreakHyphen/>
        <w:t>date value of $825,000 based on the closing stock price on September 4, 2026. The RSUs vest ratably over three years, subject to Mr. Kalicak’s continued employment with the Company through each vesting date.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The RSU award was approved by the Compensation Committee of the Company’s Board of Directors and will be granted as an inducement material to Mr. Kalicak’s acceptance of employment with the Company. The award will be made in accordance with, and in reliance upon, the employment inducement award exception provided under Nasdaq Listing Rule 5635(c)(4).</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 xml:space="preserve">Media Contact: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Sara Wirth</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Director, PR &amp; Communications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Press@portillos.com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 xml:space="preserve">Investor Contact: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Chris Brandon</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VP, Investor Relations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cbrandon@portillos.com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1713</Words>
  <Characters>9494</Characters>
  <CharactersWithSpaces>11141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