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2805430</wp:posOffset>
            </wp:positionH>
            <wp:positionV relativeFrom="paragraph">
              <wp:posOffset>175260</wp:posOffset>
            </wp:positionV>
            <wp:extent cx="1540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39"/>
          <w:szCs w:val="39"/>
          <w:b w:val="1"/>
          <w:bCs w:val="1"/>
          <w:u w:val="single" w:color="auto"/>
          <w:color w:val="auto"/>
        </w:rPr>
        <w:t>FORM 10-Q</w:t>
      </w:r>
    </w:p>
    <w:p>
      <w:pPr>
        <w:spacing w:after="0" w:line="200" w:lineRule="exact"/>
        <w:rPr>
          <w:sz w:val="24"/>
          <w:szCs w:val="24"/>
          <w:color w:val="auto"/>
        </w:rPr>
      </w:pPr>
    </w:p>
    <w:p>
      <w:pPr>
        <w:spacing w:after="0" w:line="222" w:lineRule="exact"/>
        <w:rPr>
          <w:sz w:val="24"/>
          <w:szCs w:val="24"/>
          <w:color w:val="auto"/>
        </w:rPr>
      </w:pPr>
    </w:p>
    <w:p>
      <w:pPr>
        <w:ind w:left="860" w:hanging="482"/>
        <w:spacing w:after="0"/>
        <w:tabs>
          <w:tab w:leader="none" w:pos="860" w:val="left"/>
        </w:tabs>
        <w:numPr>
          <w:ilvl w:val="1"/>
          <w:numId w:val="1"/>
        </w:numPr>
        <w:rPr>
          <w:rFonts w:ascii="MS PGothic" w:cs="MS PGothic" w:eastAsia="MS PGothic" w:hAnsi="MS PGothic"/>
          <w:sz w:val="21"/>
          <w:szCs w:val="21"/>
          <w:color w:val="auto"/>
        </w:rPr>
      </w:pPr>
      <w:r>
        <w:rPr>
          <w:rFonts w:ascii="Arial" w:cs="Arial" w:eastAsia="Arial" w:hAnsi="Arial"/>
          <w:sz w:val="20"/>
          <w:szCs w:val="20"/>
          <w:color w:val="auto"/>
        </w:rPr>
        <w:t>QUARTERLY REPORT PURSUANT TO SECTION 13 OR 15(d) OF THE SECURITIES EXCHANGE ACT OF 1934</w:t>
      </w:r>
    </w:p>
    <w:p>
      <w:pPr>
        <w:spacing w:after="0" w:line="237" w:lineRule="exact"/>
        <w:rPr>
          <w:rFonts w:ascii="MS PGothic" w:cs="MS PGothic" w:eastAsia="MS PGothic" w:hAnsi="MS PGothic"/>
          <w:sz w:val="21"/>
          <w:szCs w:val="21"/>
          <w:color w:val="auto"/>
        </w:rPr>
      </w:pPr>
    </w:p>
    <w:p>
      <w:pPr>
        <w:ind w:left="2840"/>
        <w:spacing w:after="0"/>
        <w:rPr>
          <w:rFonts w:ascii="MS PGothic" w:cs="MS PGothic" w:eastAsia="MS PGothic" w:hAnsi="MS PGothic"/>
          <w:sz w:val="21"/>
          <w:szCs w:val="21"/>
          <w:color w:val="auto"/>
        </w:rPr>
      </w:pPr>
      <w:r>
        <w:rPr>
          <w:rFonts w:ascii="Arial" w:cs="Arial" w:eastAsia="Arial" w:hAnsi="Arial"/>
          <w:sz w:val="20"/>
          <w:szCs w:val="20"/>
          <w:b w:val="1"/>
          <w:bCs w:val="1"/>
          <w:color w:val="auto"/>
        </w:rPr>
        <w:t>FOR THE QUARTERLY PERIOD ENDED September 25, 2022</w:t>
      </w:r>
    </w:p>
    <w:p>
      <w:pPr>
        <w:spacing w:after="0" w:line="254" w:lineRule="exact"/>
        <w:rPr>
          <w:rFonts w:ascii="MS PGothic" w:cs="MS PGothic" w:eastAsia="MS PGothic" w:hAnsi="MS PGothic"/>
          <w:sz w:val="21"/>
          <w:szCs w:val="21"/>
          <w:color w:val="auto"/>
        </w:rPr>
      </w:pPr>
    </w:p>
    <w:p>
      <w:pPr>
        <w:ind w:left="600" w:hanging="433"/>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7"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17"/>
          <w:szCs w:val="17"/>
          <w:color w:val="auto"/>
        </w:rPr>
        <w:t>TO</w:t>
      </w: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16510</wp:posOffset>
            </wp:positionV>
            <wp:extent cx="226441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4410" cy="6470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PORTILLO'S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320" w:top="1113" w:right="379" w:bottom="1440"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84" w:lineRule="exact"/>
        <w:rPr>
          <w:sz w:val="24"/>
          <w:szCs w:val="24"/>
          <w:color w:val="auto"/>
        </w:rPr>
      </w:pPr>
    </w:p>
    <w:p>
      <w:pPr>
        <w:sectPr>
          <w:pgSz w:w="11900" w:h="16838" w:orient="portrait"/>
          <w:cols w:equalWidth="0" w:num="2">
            <w:col w:w="7280" w:space="720"/>
            <w:col w:w="3200"/>
          </w:cols>
          <w:pgMar w:left="320" w:top="1113" w:right="379" w:bottom="1440" w:gutter="0" w:footer="0" w:header="0"/>
          <w:type w:val="continuous"/>
        </w:sectPr>
      </w:pPr>
    </w:p>
    <w:p>
      <w:pPr>
        <w:ind w:left="10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4" w:lineRule="exact"/>
        <w:rPr>
          <w:sz w:val="24"/>
          <w:szCs w:val="24"/>
          <w:color w:val="auto"/>
        </w:rPr>
      </w:pPr>
    </w:p>
    <w:p>
      <w:pPr>
        <w:sectPr>
          <w:pgSz w:w="11900" w:h="16838" w:orient="portrait"/>
          <w:cols w:equalWidth="0" w:num="2">
            <w:col w:w="6640" w:space="720"/>
            <w:col w:w="3840"/>
          </w:cols>
          <w:pgMar w:left="320" w:top="1113" w:right="379" w:bottom="144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(630) 954-3773</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71" w:lineRule="exact"/>
        <w:rPr>
          <w:sz w:val="24"/>
          <w:szCs w:val="24"/>
          <w:color w:val="auto"/>
        </w:rPr>
      </w:pPr>
    </w:p>
    <w:p>
      <w:pPr>
        <w:ind w:left="30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1113" w:right="379" w:bottom="1440" w:gutter="0" w:footer="0" w:header="0"/>
          <w:type w:val="continuous"/>
        </w:sectPr>
      </w:pPr>
    </w:p>
    <w:p>
      <w:pPr>
        <w:spacing w:after="0" w:line="57"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580" w:space="720"/>
            <w:col w:w="1220" w:space="720"/>
            <w:col w:w="3960"/>
          </w:cols>
          <w:pgMar w:left="320" w:top="1113" w:right="37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211" w:lineRule="exact"/>
        <w:rPr>
          <w:sz w:val="24"/>
          <w:szCs w:val="24"/>
          <w:color w:val="auto"/>
        </w:rPr>
      </w:pPr>
    </w:p>
    <w:p>
      <w:pPr>
        <w:sectPr>
          <w:pgSz w:w="11900" w:h="16838" w:orient="portrait"/>
          <w:cols w:equalWidth="0" w:num="3">
            <w:col w:w="4980" w:space="720"/>
            <w:col w:w="1480" w:space="720"/>
            <w:col w:w="3300"/>
          </w:cols>
          <w:pgMar w:left="320" w:top="1113" w:right="379" w:bottom="1440" w:gutter="0" w:footer="0" w:header="0"/>
          <w:type w:val="continuous"/>
        </w:sectPr>
      </w:pPr>
    </w:p>
    <w:p>
      <w:pPr>
        <w:spacing w:after="0" w:line="166"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4" w:lineRule="exact"/>
        <w:rPr>
          <w:sz w:val="24"/>
          <w:szCs w:val="24"/>
          <w:color w:val="auto"/>
        </w:rPr>
      </w:pPr>
    </w:p>
    <w:p>
      <w:pPr>
        <w:ind w:right="2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660" w:type="dxa"/>
        <w:tblCellMar>
          <w:top w:w="0" w:type="dxa"/>
          <w:left w:w="0" w:type="dxa"/>
          <w:bottom w:w="0" w:type="dxa"/>
          <w:right w:w="0" w:type="dxa"/>
        </w:tblCellMar>
      </w:tblPr>
      <w:tr>
        <w:trPr>
          <w:trHeight w:val="241"/>
        </w:trPr>
        <w:tc>
          <w:tcPr>
            <w:tcW w:w="2040" w:type="dxa"/>
            <w:vAlign w:val="bottom"/>
          </w:tcPr>
          <w:p>
            <w:pPr>
              <w:jc w:val="center"/>
              <w:ind w:right="380"/>
              <w:spacing w:after="0"/>
              <w:rPr>
                <w:sz w:val="20"/>
                <w:szCs w:val="20"/>
                <w:color w:val="auto"/>
              </w:rPr>
            </w:pPr>
            <w:r>
              <w:rPr>
                <w:rFonts w:ascii="Arial" w:cs="Arial" w:eastAsia="Arial" w:hAnsi="Arial"/>
                <w:sz w:val="16"/>
                <w:szCs w:val="16"/>
                <w:color w:val="auto"/>
                <w:w w:val="99"/>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1"/>
        </w:trPr>
        <w:tc>
          <w:tcPr>
            <w:tcW w:w="2040" w:type="dxa"/>
            <w:vAlign w:val="bottom"/>
          </w:tcPr>
          <w:p>
            <w:pPr>
              <w:jc w:val="center"/>
              <w:ind w:right="380"/>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3"/>
        </w:trPr>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780" w:type="dxa"/>
            <w:vAlign w:val="bottom"/>
          </w:tcPr>
          <w:p>
            <w:pPr>
              <w:jc w:val="center"/>
              <w:ind w:left="3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7" w:lineRule="exact"/>
        <w:rPr>
          <w:sz w:val="24"/>
          <w:szCs w:val="24"/>
          <w:color w:val="auto"/>
        </w:rPr>
      </w:pPr>
    </w:p>
    <w:p>
      <w:pPr>
        <w:ind w:right="1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6" w:lineRule="exact"/>
        <w:rPr>
          <w:sz w:val="24"/>
          <w:szCs w:val="24"/>
          <w:color w:val="auto"/>
        </w:rPr>
      </w:pPr>
    </w:p>
    <w:p>
      <w:pPr>
        <w:ind w:left="5280" w:hanging="371"/>
        <w:spacing w:after="0" w:line="184" w:lineRule="exact"/>
        <w:tabs>
          <w:tab w:leader="none" w:pos="52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26, 2022, there were 42,403,098 shares of the registrant's Class A common stock, par value $0.01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464820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13"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20320</wp:posOffset>
            </wp:positionV>
            <wp:extent cx="5924550" cy="323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455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3"/>
          </w:tcPr>
          <w:p>
            <w:pPr>
              <w:ind w:left="20"/>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720" w:type="dxa"/>
            <w:vAlign w:val="bottom"/>
            <w:gridSpan w:val="2"/>
          </w:tcPr>
          <w:p>
            <w:pPr>
              <w:jc w:val="right"/>
              <w:ind w:right="620"/>
              <w:spacing w:after="0"/>
              <w:rPr>
                <w:sz w:val="20"/>
                <w:szCs w:val="20"/>
                <w:color w:val="auto"/>
              </w:rPr>
            </w:pPr>
            <w:r>
              <w:rPr>
                <w:rFonts w:ascii="Arial" w:cs="Arial" w:eastAsia="Arial" w:hAnsi="Arial"/>
                <w:sz w:val="18"/>
                <w:szCs w:val="18"/>
                <w:color w:val="auto"/>
                <w:w w:val="79"/>
              </w:rPr>
              <w:t>1</w:t>
            </w:r>
          </w:p>
        </w:tc>
      </w:tr>
      <w:tr>
        <w:trPr>
          <w:trHeight w:val="47"/>
        </w:trPr>
        <w:tc>
          <w:tcPr>
            <w:tcW w:w="20" w:type="dxa"/>
            <w:vAlign w:val="bottom"/>
          </w:tcPr>
          <w:p>
            <w:pPr>
              <w:spacing w:after="0"/>
              <w:rPr>
                <w:sz w:val="4"/>
                <w:szCs w:val="4"/>
                <w:color w:val="auto"/>
              </w:rPr>
            </w:pPr>
          </w:p>
        </w:tc>
        <w:tc>
          <w:tcPr>
            <w:tcW w:w="4860" w:type="dxa"/>
            <w:vAlign w:val="bottom"/>
            <w:tcBorders>
              <w:top w:val="single" w:sz="8" w:color="auto"/>
            </w:tcBorders>
          </w:tcPr>
          <w:p>
            <w:pPr>
              <w:spacing w:after="0"/>
              <w:rPr>
                <w:sz w:val="4"/>
                <w:szCs w:val="4"/>
                <w:color w:val="auto"/>
              </w:rPr>
            </w:pPr>
          </w:p>
        </w:tc>
        <w:tc>
          <w:tcPr>
            <w:tcW w:w="56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r>
      <w:tr>
        <w:trPr>
          <w:trHeight w:val="268"/>
        </w:trPr>
        <w:tc>
          <w:tcPr>
            <w:tcW w:w="20" w:type="dxa"/>
            <w:vAlign w:val="bottom"/>
            <w:shd w:val="clear" w:color="auto" w:fill="DBDBDB"/>
          </w:tcPr>
          <w:p>
            <w:pPr>
              <w:spacing w:after="0"/>
              <w:rPr>
                <w:sz w:val="23"/>
                <w:szCs w:val="23"/>
                <w:color w:val="auto"/>
              </w:rPr>
            </w:pPr>
          </w:p>
        </w:tc>
        <w:tc>
          <w:tcPr>
            <w:tcW w:w="4860" w:type="dxa"/>
            <w:vAlign w:val="bottom"/>
            <w:shd w:val="clear" w:color="auto" w:fill="DBDBDB"/>
          </w:tcPr>
          <w:p>
            <w:pPr>
              <w:spacing w:after="0"/>
              <w:rPr>
                <w:sz w:val="23"/>
                <w:szCs w:val="23"/>
                <w:color w:val="auto"/>
              </w:rPr>
            </w:pPr>
          </w:p>
        </w:tc>
        <w:tc>
          <w:tcPr>
            <w:tcW w:w="5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 w:type="dxa"/>
            <w:vAlign w:val="bottom"/>
            <w:gridSpan w:val="3"/>
          </w:tcPr>
          <w:p>
            <w:pPr>
              <w:ind w:left="20"/>
              <w:spacing w:after="0" w:line="214" w:lineRule="exact"/>
              <w:rPr>
                <w:sz w:val="20"/>
                <w:szCs w:val="20"/>
                <w:color w:val="auto"/>
              </w:rPr>
            </w:pPr>
            <w:r>
              <w:rPr>
                <w:rFonts w:ascii="Arial" w:cs="Arial" w:eastAsia="Arial" w:hAnsi="Arial"/>
                <w:sz w:val="20"/>
                <w:szCs w:val="20"/>
                <w:b w:val="1"/>
                <w:bCs w:val="1"/>
                <w:color w:val="auto"/>
              </w:rPr>
              <w:t>Part I</w:t>
            </w:r>
          </w:p>
        </w:tc>
        <w:tc>
          <w:tcPr>
            <w:tcW w:w="9700" w:type="dxa"/>
            <w:vAlign w:val="bottom"/>
            <w:gridSpan w:val="16"/>
          </w:tcPr>
          <w:p>
            <w:pPr>
              <w:ind w:left="240"/>
              <w:spacing w:after="0" w:line="214" w:lineRule="exact"/>
              <w:rPr>
                <w:sz w:val="20"/>
                <w:szCs w:val="20"/>
                <w:color w:val="auto"/>
              </w:rPr>
            </w:pPr>
            <w:r>
              <w:rPr>
                <w:rFonts w:ascii="Arial" w:cs="Arial" w:eastAsia="Arial" w:hAnsi="Arial"/>
                <w:sz w:val="20"/>
                <w:szCs w:val="20"/>
                <w:b w:val="1"/>
                <w:bCs w:val="1"/>
                <w:color w:val="auto"/>
              </w:rPr>
              <w:t>Financial Information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8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rPr>
              <w:t>Item 1.</w:t>
            </w:r>
          </w:p>
        </w:tc>
        <w:tc>
          <w:tcPr>
            <w:tcW w:w="868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Financial Statements (Unaudited)</w:t>
            </w:r>
          </w:p>
        </w:tc>
        <w:tc>
          <w:tcPr>
            <w:tcW w:w="200" w:type="dxa"/>
            <w:vAlign w:val="bottom"/>
            <w:gridSpan w:val="3"/>
            <w:shd w:val="clear" w:color="auto" w:fill="DBDBDB"/>
          </w:tcPr>
          <w:p>
            <w:pPr>
              <w:jc w:val="center"/>
              <w:spacing w:after="0" w:line="201"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c>
          <w:tcPr>
            <w:tcW w:w="14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gridSpan w:val="12"/>
          </w:tcPr>
          <w:p>
            <w:pPr>
              <w:ind w:left="100"/>
              <w:spacing w:after="0" w:line="201" w:lineRule="exact"/>
              <w:rPr>
                <w:sz w:val="20"/>
                <w:szCs w:val="20"/>
                <w:color w:val="auto"/>
              </w:rPr>
            </w:pPr>
            <w:r>
              <w:rPr>
                <w:rFonts w:ascii="Arial" w:cs="Arial" w:eastAsia="Arial" w:hAnsi="Arial"/>
                <w:sz w:val="18"/>
                <w:szCs w:val="18"/>
                <w:color w:val="auto"/>
              </w:rPr>
              <w:t>Condensed Consolidated Balance Sheets</w:t>
            </w:r>
          </w:p>
        </w:tc>
        <w:tc>
          <w:tcPr>
            <w:tcW w:w="2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9"/>
              </w:rPr>
              <w:t>3</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360" w:type="dxa"/>
            <w:vAlign w:val="bottom"/>
            <w:gridSpan w:val="11"/>
            <w:shd w:val="clear" w:color="auto" w:fill="DBDBDB"/>
          </w:tcPr>
          <w:p>
            <w:pPr>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200" w:type="dxa"/>
            <w:vAlign w:val="bottom"/>
            <w:gridSpan w:val="3"/>
            <w:shd w:val="clear" w:color="auto" w:fill="DBDBDB"/>
          </w:tcPr>
          <w:p>
            <w:pPr>
              <w:jc w:val="center"/>
              <w:spacing w:after="0" w:line="201" w:lineRule="exact"/>
              <w:rPr>
                <w:sz w:val="20"/>
                <w:szCs w:val="20"/>
                <w:color w:val="auto"/>
              </w:rPr>
            </w:pPr>
            <w:r>
              <w:rPr>
                <w:rFonts w:ascii="Arial" w:cs="Arial" w:eastAsia="Arial" w:hAnsi="Arial"/>
                <w:sz w:val="18"/>
                <w:szCs w:val="18"/>
                <w:color w:val="auto"/>
                <w:w w:val="99"/>
              </w:rPr>
              <w:t>4</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c>
          <w:tcPr>
            <w:tcW w:w="14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1"/>
          </w:tcPr>
          <w:p>
            <w:pPr>
              <w:spacing w:after="0" w:line="201" w:lineRule="exact"/>
              <w:rPr>
                <w:sz w:val="20"/>
                <w:szCs w:val="20"/>
                <w:color w:val="auto"/>
              </w:rPr>
            </w:pPr>
            <w:r>
              <w:rPr>
                <w:rFonts w:ascii="Arial" w:cs="Arial" w:eastAsia="Arial" w:hAnsi="Arial"/>
                <w:sz w:val="18"/>
                <w:szCs w:val="18"/>
                <w:color w:val="auto"/>
              </w:rPr>
              <w:t>Condensed Consolidated Statements of Stockholders' and Members' Equity</w:t>
            </w:r>
          </w:p>
        </w:tc>
        <w:tc>
          <w:tcPr>
            <w:tcW w:w="2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9"/>
              </w:rPr>
              <w:t>5</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360" w:type="dxa"/>
            <w:vAlign w:val="bottom"/>
            <w:gridSpan w:val="11"/>
            <w:shd w:val="clear" w:color="auto" w:fill="DBDBDB"/>
          </w:tcPr>
          <w:p>
            <w:pPr>
              <w:spacing w:after="0" w:line="201" w:lineRule="exact"/>
              <w:rPr>
                <w:sz w:val="20"/>
                <w:szCs w:val="20"/>
                <w:color w:val="auto"/>
              </w:rPr>
            </w:pPr>
            <w:r>
              <w:rPr>
                <w:rFonts w:ascii="Arial" w:cs="Arial" w:eastAsia="Arial" w:hAnsi="Arial"/>
                <w:sz w:val="18"/>
                <w:szCs w:val="18"/>
                <w:color w:val="auto"/>
              </w:rPr>
              <w:t>Condensed Consolidated Statements of Cash Flows</w:t>
            </w:r>
          </w:p>
        </w:tc>
        <w:tc>
          <w:tcPr>
            <w:tcW w:w="200" w:type="dxa"/>
            <w:vAlign w:val="bottom"/>
            <w:gridSpan w:val="3"/>
            <w:shd w:val="clear" w:color="auto" w:fill="DBDBDB"/>
          </w:tcPr>
          <w:p>
            <w:pPr>
              <w:jc w:val="center"/>
              <w:spacing w:after="0" w:line="201" w:lineRule="exact"/>
              <w:rPr>
                <w:sz w:val="20"/>
                <w:szCs w:val="20"/>
                <w:color w:val="auto"/>
              </w:rPr>
            </w:pPr>
            <w:r>
              <w:rPr>
                <w:rFonts w:ascii="Arial" w:cs="Arial" w:eastAsia="Arial" w:hAnsi="Arial"/>
                <w:sz w:val="18"/>
                <w:szCs w:val="18"/>
                <w:color w:val="auto"/>
                <w:w w:val="99"/>
              </w:rPr>
              <w:t>7</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c>
          <w:tcPr>
            <w:tcW w:w="14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gridSpan w:val="11"/>
          </w:tcPr>
          <w:p>
            <w:pPr>
              <w:spacing w:after="0" w:line="201" w:lineRule="exact"/>
              <w:rPr>
                <w:sz w:val="20"/>
                <w:szCs w:val="20"/>
                <w:color w:val="auto"/>
              </w:rPr>
            </w:pPr>
            <w:r>
              <w:rPr>
                <w:rFonts w:ascii="Arial" w:cs="Arial" w:eastAsia="Arial" w:hAnsi="Arial"/>
                <w:sz w:val="18"/>
                <w:szCs w:val="18"/>
                <w:color w:val="auto"/>
              </w:rPr>
              <w:t>Notes to Condensed Consolidated Financial Statements</w:t>
            </w:r>
          </w:p>
        </w:tc>
        <w:tc>
          <w:tcPr>
            <w:tcW w:w="2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9"/>
              </w:rPr>
              <w:t>9</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8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rPr>
              <w:t>Item 2.</w:t>
            </w:r>
          </w:p>
        </w:tc>
        <w:tc>
          <w:tcPr>
            <w:tcW w:w="868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gridSpan w:val="4"/>
            <w:shd w:val="clear" w:color="auto" w:fill="DBDBDB"/>
          </w:tcPr>
          <w:p>
            <w:pPr>
              <w:jc w:val="center"/>
              <w:ind w:right="580"/>
              <w:spacing w:after="0" w:line="201" w:lineRule="exact"/>
              <w:rPr>
                <w:sz w:val="20"/>
                <w:szCs w:val="20"/>
                <w:color w:val="auto"/>
              </w:rPr>
            </w:pPr>
            <w:r>
              <w:rPr>
                <w:rFonts w:ascii="Arial" w:cs="Arial" w:eastAsia="Arial" w:hAnsi="Arial"/>
                <w:sz w:val="18"/>
                <w:szCs w:val="18"/>
                <w:color w:val="auto"/>
                <w:w w:val="99"/>
              </w:rPr>
              <w:t>22</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1420" w:type="dxa"/>
            <w:vAlign w:val="bottom"/>
            <w:tcBorders>
              <w:top w:val="single" w:sz="8" w:color="auto"/>
            </w:tcBorders>
            <w:shd w:val="clear" w:color="auto" w:fill="DBDBDB"/>
          </w:tcPr>
          <w:p>
            <w:pPr>
              <w:spacing w:after="0"/>
              <w:rPr>
                <w:sz w:val="4"/>
                <w:szCs w:val="4"/>
                <w:color w:val="auto"/>
              </w:rPr>
            </w:pPr>
          </w:p>
        </w:tc>
        <w:tc>
          <w:tcPr>
            <w:tcW w:w="920" w:type="dxa"/>
            <w:vAlign w:val="bottom"/>
            <w:tcBorders>
              <w:top w:val="single" w:sz="8" w:color="auto"/>
            </w:tcBorders>
            <w:shd w:val="clear" w:color="auto" w:fill="DBDBDB"/>
          </w:tcPr>
          <w:p>
            <w:pPr>
              <w:spacing w:after="0"/>
              <w:rPr>
                <w:sz w:val="4"/>
                <w:szCs w:val="4"/>
                <w:color w:val="auto"/>
              </w:rPr>
            </w:pPr>
          </w:p>
        </w:tc>
        <w:tc>
          <w:tcPr>
            <w:tcW w:w="14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spacing w:after="0" w:line="201" w:lineRule="exact"/>
              <w:rPr>
                <w:sz w:val="20"/>
                <w:szCs w:val="20"/>
                <w:color w:val="auto"/>
              </w:rPr>
            </w:pPr>
            <w:r>
              <w:rPr>
                <w:rFonts w:ascii="Arial" w:cs="Arial" w:eastAsia="Arial" w:hAnsi="Arial"/>
                <w:sz w:val="18"/>
                <w:szCs w:val="18"/>
                <w:color w:val="auto"/>
              </w:rPr>
              <w:t>Item 3.</w:t>
            </w:r>
          </w:p>
        </w:tc>
        <w:tc>
          <w:tcPr>
            <w:tcW w:w="8680" w:type="dxa"/>
            <w:vAlign w:val="bottom"/>
            <w:gridSpan w:val="13"/>
          </w:tcPr>
          <w:p>
            <w:pPr>
              <w:ind w:left="220"/>
              <w:spacing w:after="0" w:line="201" w:lineRule="exact"/>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gridSpan w:val="4"/>
          </w:tcPr>
          <w:p>
            <w:pPr>
              <w:jc w:val="center"/>
              <w:ind w:right="580"/>
              <w:spacing w:after="0" w:line="201" w:lineRule="exact"/>
              <w:rPr>
                <w:sz w:val="20"/>
                <w:szCs w:val="20"/>
                <w:color w:val="auto"/>
              </w:rPr>
            </w:pPr>
            <w:r>
              <w:rPr>
                <w:rFonts w:ascii="Arial" w:cs="Arial" w:eastAsia="Arial" w:hAnsi="Arial"/>
                <w:sz w:val="18"/>
                <w:szCs w:val="18"/>
                <w:color w:val="auto"/>
                <w:w w:val="99"/>
              </w:rPr>
              <w:t>36</w:t>
            </w: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20" w:type="dxa"/>
            <w:vAlign w:val="bottom"/>
            <w:gridSpan w:val="3"/>
            <w:shd w:val="clear" w:color="auto" w:fill="DBDBDB"/>
          </w:tcPr>
          <w:p>
            <w:pPr>
              <w:ind w:left="240"/>
              <w:spacing w:after="0" w:line="201" w:lineRule="exact"/>
              <w:rPr>
                <w:sz w:val="20"/>
                <w:szCs w:val="20"/>
                <w:color w:val="auto"/>
              </w:rPr>
            </w:pPr>
            <w:r>
              <w:rPr>
                <w:rFonts w:ascii="Arial" w:cs="Arial" w:eastAsia="Arial" w:hAnsi="Arial"/>
                <w:sz w:val="18"/>
                <w:szCs w:val="18"/>
                <w:color w:val="auto"/>
              </w:rPr>
              <w:t>Item 4.</w:t>
            </w:r>
          </w:p>
        </w:tc>
        <w:tc>
          <w:tcPr>
            <w:tcW w:w="868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Controls and Procedures</w:t>
            </w:r>
          </w:p>
        </w:tc>
        <w:tc>
          <w:tcPr>
            <w:tcW w:w="780" w:type="dxa"/>
            <w:vAlign w:val="bottom"/>
            <w:gridSpan w:val="4"/>
            <w:shd w:val="clear" w:color="auto" w:fill="DBDBDB"/>
          </w:tcPr>
          <w:p>
            <w:pPr>
              <w:jc w:val="center"/>
              <w:ind w:right="580"/>
              <w:spacing w:after="0" w:line="201" w:lineRule="exact"/>
              <w:rPr>
                <w:sz w:val="20"/>
                <w:szCs w:val="20"/>
                <w:color w:val="auto"/>
              </w:rPr>
            </w:pPr>
            <w:r>
              <w:rPr>
                <w:rFonts w:ascii="Arial" w:cs="Arial" w:eastAsia="Arial" w:hAnsi="Arial"/>
                <w:sz w:val="18"/>
                <w:szCs w:val="18"/>
                <w:color w:val="auto"/>
                <w:w w:val="99"/>
              </w:rPr>
              <w:t>36</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c>
          <w:tcPr>
            <w:tcW w:w="14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gridSpan w:val="3"/>
            <w:shd w:val="clear" w:color="auto" w:fill="DBDBDB"/>
          </w:tcPr>
          <w:p>
            <w:pPr>
              <w:ind w:left="20"/>
              <w:spacing w:after="0"/>
              <w:rPr>
                <w:sz w:val="20"/>
                <w:szCs w:val="20"/>
                <w:color w:val="auto"/>
              </w:rPr>
            </w:pPr>
            <w:r>
              <w:rPr>
                <w:rFonts w:ascii="Arial" w:cs="Arial" w:eastAsia="Arial" w:hAnsi="Arial"/>
                <w:sz w:val="20"/>
                <w:szCs w:val="20"/>
                <w:b w:val="1"/>
                <w:bCs w:val="1"/>
                <w:color w:val="auto"/>
              </w:rPr>
              <w:t>Part II</w:t>
            </w:r>
          </w:p>
        </w:tc>
        <w:tc>
          <w:tcPr>
            <w:tcW w:w="9680" w:type="dxa"/>
            <w:vAlign w:val="bottom"/>
            <w:gridSpan w:val="15"/>
            <w:shd w:val="clear" w:color="auto" w:fill="DBDBDB"/>
          </w:tcPr>
          <w:p>
            <w:pPr>
              <w:ind w:left="220"/>
              <w:spacing w:after="0"/>
              <w:rPr>
                <w:sz w:val="20"/>
                <w:szCs w:val="20"/>
                <w:color w:val="auto"/>
              </w:rPr>
            </w:pPr>
            <w:r>
              <w:rPr>
                <w:rFonts w:ascii="Arial" w:cs="Arial" w:eastAsia="Arial" w:hAnsi="Arial"/>
                <w:sz w:val="20"/>
                <w:szCs w:val="20"/>
                <w:b w:val="1"/>
                <w:bCs w:val="1"/>
                <w:color w:val="auto"/>
              </w:rPr>
              <w:t>Other Information</w:t>
            </w: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r>
      <w:tr>
        <w:trPr>
          <w:trHeight w:val="60"/>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auto"/>
            </w:tcBorders>
            <w:shd w:val="clear" w:color="auto" w:fill="DBDBDB"/>
          </w:tcPr>
          <w:p>
            <w:pPr>
              <w:spacing w:after="0"/>
              <w:rPr>
                <w:sz w:val="5"/>
                <w:szCs w:val="5"/>
                <w:color w:val="auto"/>
              </w:rPr>
            </w:pPr>
          </w:p>
        </w:tc>
        <w:tc>
          <w:tcPr>
            <w:tcW w:w="120" w:type="dxa"/>
            <w:vAlign w:val="bottom"/>
            <w:tcBorders>
              <w:top w:val="single" w:sz="8" w:color="auto"/>
            </w:tcBorders>
            <w:shd w:val="clear" w:color="auto" w:fill="DBDBDB"/>
          </w:tcPr>
          <w:p>
            <w:pPr>
              <w:spacing w:after="0"/>
              <w:rPr>
                <w:sz w:val="5"/>
                <w:szCs w:val="5"/>
                <w:color w:val="auto"/>
              </w:rPr>
            </w:pPr>
          </w:p>
        </w:tc>
        <w:tc>
          <w:tcPr>
            <w:tcW w:w="20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80" w:type="dxa"/>
            <w:vAlign w:val="bottom"/>
            <w:tcBorders>
              <w:top w:val="single" w:sz="8" w:color="auto"/>
            </w:tcBorders>
            <w:shd w:val="clear" w:color="auto" w:fill="DBDBDB"/>
          </w:tcPr>
          <w:p>
            <w:pPr>
              <w:spacing w:after="0"/>
              <w:rPr>
                <w:sz w:val="5"/>
                <w:szCs w:val="5"/>
                <w:color w:val="auto"/>
              </w:rPr>
            </w:pPr>
          </w:p>
        </w:tc>
        <w:tc>
          <w:tcPr>
            <w:tcW w:w="6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4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0" w:type="dxa"/>
            <w:vAlign w:val="bottom"/>
            <w:tcBorders>
              <w:top w:val="single" w:sz="8" w:color="DBDBDB"/>
            </w:tcBorders>
            <w:shd w:val="clear" w:color="auto" w:fill="DBDBDB"/>
          </w:tcPr>
          <w:p>
            <w:pPr>
              <w:spacing w:after="0"/>
              <w:rPr>
                <w:sz w:val="5"/>
                <w:szCs w:val="5"/>
                <w:color w:val="auto"/>
              </w:rPr>
            </w:pPr>
          </w:p>
        </w:tc>
        <w:tc>
          <w:tcPr>
            <w:tcW w:w="2300" w:type="dxa"/>
            <w:vAlign w:val="bottom"/>
            <w:tcBorders>
              <w:top w:val="single" w:sz="8" w:color="DBDBDB"/>
            </w:tcBorders>
            <w:shd w:val="clear" w:color="auto" w:fill="DBDBDB"/>
          </w:tcPr>
          <w:p>
            <w:pPr>
              <w:spacing w:after="0"/>
              <w:rPr>
                <w:sz w:val="5"/>
                <w:szCs w:val="5"/>
                <w:color w:val="auto"/>
              </w:rPr>
            </w:pPr>
          </w:p>
        </w:tc>
        <w:tc>
          <w:tcPr>
            <w:tcW w:w="36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580" w:type="dxa"/>
            <w:vAlign w:val="bottom"/>
            <w:tcBorders>
              <w:top w:val="single" w:sz="8" w:color="DBDBDB"/>
            </w:tcBorders>
            <w:shd w:val="clear" w:color="auto" w:fill="DBDBDB"/>
          </w:tcPr>
          <w:p>
            <w:pPr>
              <w:spacing w:after="0"/>
              <w:rPr>
                <w:sz w:val="5"/>
                <w:szCs w:val="5"/>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5"/>
          </w:tcPr>
          <w:p>
            <w:pPr>
              <w:ind w:left="220"/>
              <w:spacing w:after="0" w:line="201" w:lineRule="exact"/>
              <w:rPr>
                <w:sz w:val="20"/>
                <w:szCs w:val="20"/>
                <w:color w:val="auto"/>
              </w:rPr>
            </w:pPr>
            <w:r>
              <w:rPr>
                <w:rFonts w:ascii="Arial" w:cs="Arial" w:eastAsia="Arial" w:hAnsi="Arial"/>
                <w:sz w:val="18"/>
                <w:szCs w:val="18"/>
                <w:color w:val="auto"/>
              </w:rPr>
              <w:t>Item 1.</w:t>
            </w:r>
          </w:p>
        </w:tc>
        <w:tc>
          <w:tcPr>
            <w:tcW w:w="854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Legal Proceedings</w:t>
            </w:r>
          </w:p>
        </w:tc>
        <w:tc>
          <w:tcPr>
            <w:tcW w:w="7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w w:val="89"/>
              </w:rPr>
              <w:t>37</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1" w:lineRule="exact"/>
              <w:rPr>
                <w:sz w:val="20"/>
                <w:szCs w:val="20"/>
                <w:color w:val="auto"/>
              </w:rPr>
            </w:pPr>
            <w:r>
              <w:rPr>
                <w:rFonts w:ascii="Arial" w:cs="Arial" w:eastAsia="Arial" w:hAnsi="Arial"/>
                <w:sz w:val="18"/>
                <w:szCs w:val="18"/>
                <w:color w:val="auto"/>
              </w:rPr>
              <w:t>Item 1A.</w:t>
            </w:r>
          </w:p>
        </w:tc>
        <w:tc>
          <w:tcPr>
            <w:tcW w:w="854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Risk Factors</w:t>
            </w:r>
          </w:p>
        </w:tc>
        <w:tc>
          <w:tcPr>
            <w:tcW w:w="780" w:type="dxa"/>
            <w:vAlign w:val="bottom"/>
            <w:gridSpan w:val="2"/>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w w:val="89"/>
              </w:rPr>
              <w:t>37</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36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spacing w:after="0" w:line="201" w:lineRule="exact"/>
              <w:rPr>
                <w:sz w:val="20"/>
                <w:szCs w:val="20"/>
                <w:color w:val="auto"/>
              </w:rPr>
            </w:pPr>
            <w:r>
              <w:rPr>
                <w:rFonts w:ascii="Arial" w:cs="Arial" w:eastAsia="Arial" w:hAnsi="Arial"/>
                <w:sz w:val="18"/>
                <w:szCs w:val="18"/>
                <w:color w:val="auto"/>
              </w:rPr>
              <w:t>Item 2.</w:t>
            </w:r>
          </w:p>
        </w:tc>
        <w:tc>
          <w:tcPr>
            <w:tcW w:w="260" w:type="dxa"/>
            <w:vAlign w:val="bottom"/>
            <w:gridSpan w:val="2"/>
          </w:tcPr>
          <w:p>
            <w:pPr>
              <w:spacing w:after="0"/>
              <w:rPr>
                <w:sz w:val="17"/>
                <w:szCs w:val="17"/>
                <w:color w:val="auto"/>
              </w:rPr>
            </w:pPr>
          </w:p>
        </w:tc>
        <w:tc>
          <w:tcPr>
            <w:tcW w:w="854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w w:val="89"/>
              </w:rPr>
              <w:t>37</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1" w:lineRule="exact"/>
              <w:rPr>
                <w:sz w:val="20"/>
                <w:szCs w:val="20"/>
                <w:color w:val="auto"/>
              </w:rPr>
            </w:pPr>
            <w:r>
              <w:rPr>
                <w:rFonts w:ascii="Arial" w:cs="Arial" w:eastAsia="Arial" w:hAnsi="Arial"/>
                <w:sz w:val="18"/>
                <w:szCs w:val="18"/>
                <w:color w:val="auto"/>
              </w:rPr>
              <w:t>Item 3.</w:t>
            </w:r>
          </w:p>
        </w:tc>
        <w:tc>
          <w:tcPr>
            <w:tcW w:w="854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Defaults Upon Senior Securities</w:t>
            </w:r>
          </w:p>
        </w:tc>
        <w:tc>
          <w:tcPr>
            <w:tcW w:w="780" w:type="dxa"/>
            <w:vAlign w:val="bottom"/>
            <w:gridSpan w:val="2"/>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w w:val="89"/>
              </w:rPr>
              <w:t>37</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36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4"/>
          </w:tcPr>
          <w:p>
            <w:pPr>
              <w:spacing w:after="0" w:line="201" w:lineRule="exact"/>
              <w:rPr>
                <w:sz w:val="20"/>
                <w:szCs w:val="20"/>
                <w:color w:val="auto"/>
              </w:rPr>
            </w:pPr>
            <w:r>
              <w:rPr>
                <w:rFonts w:ascii="Arial" w:cs="Arial" w:eastAsia="Arial" w:hAnsi="Arial"/>
                <w:sz w:val="18"/>
                <w:szCs w:val="18"/>
                <w:color w:val="auto"/>
              </w:rPr>
              <w:t>Item 4.</w:t>
            </w:r>
          </w:p>
        </w:tc>
        <w:tc>
          <w:tcPr>
            <w:tcW w:w="854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Mine Safety Disclosures</w:t>
            </w:r>
          </w:p>
        </w:tc>
        <w:tc>
          <w:tcPr>
            <w:tcW w:w="7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w w:val="89"/>
              </w:rPr>
              <w:t>37</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1" w:lineRule="exact"/>
              <w:rPr>
                <w:sz w:val="20"/>
                <w:szCs w:val="20"/>
                <w:color w:val="auto"/>
              </w:rPr>
            </w:pPr>
            <w:r>
              <w:rPr>
                <w:rFonts w:ascii="Arial" w:cs="Arial" w:eastAsia="Arial" w:hAnsi="Arial"/>
                <w:sz w:val="18"/>
                <w:szCs w:val="18"/>
                <w:color w:val="auto"/>
              </w:rPr>
              <w:t>Item 5.</w:t>
            </w:r>
          </w:p>
        </w:tc>
        <w:tc>
          <w:tcPr>
            <w:tcW w:w="854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Other Information</w:t>
            </w:r>
          </w:p>
        </w:tc>
        <w:tc>
          <w:tcPr>
            <w:tcW w:w="780" w:type="dxa"/>
            <w:vAlign w:val="bottom"/>
            <w:gridSpan w:val="2"/>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w w:val="89"/>
              </w:rPr>
              <w:t>37</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36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4"/>
          </w:tcPr>
          <w:p>
            <w:pPr>
              <w:spacing w:after="0" w:line="201" w:lineRule="exact"/>
              <w:rPr>
                <w:sz w:val="20"/>
                <w:szCs w:val="20"/>
                <w:color w:val="auto"/>
              </w:rPr>
            </w:pPr>
            <w:r>
              <w:rPr>
                <w:rFonts w:ascii="Arial" w:cs="Arial" w:eastAsia="Arial" w:hAnsi="Arial"/>
                <w:sz w:val="18"/>
                <w:szCs w:val="18"/>
                <w:color w:val="auto"/>
              </w:rPr>
              <w:t>Item 6.</w:t>
            </w:r>
          </w:p>
        </w:tc>
        <w:tc>
          <w:tcPr>
            <w:tcW w:w="854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Exhibits</w:t>
            </w:r>
          </w:p>
        </w:tc>
        <w:tc>
          <w:tcPr>
            <w:tcW w:w="7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w w:val="89"/>
              </w:rPr>
              <w:t>38</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68"/>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00" w:type="dxa"/>
            <w:vAlign w:val="bottom"/>
            <w:shd w:val="clear" w:color="auto" w:fill="DBDBDB"/>
          </w:tcPr>
          <w:p>
            <w:pPr>
              <w:spacing w:after="0"/>
              <w:rPr>
                <w:sz w:val="23"/>
                <w:szCs w:val="23"/>
                <w:color w:val="auto"/>
              </w:rPr>
            </w:pPr>
          </w:p>
        </w:tc>
        <w:tc>
          <w:tcPr>
            <w:tcW w:w="2300" w:type="dxa"/>
            <w:vAlign w:val="bottom"/>
            <w:shd w:val="clear" w:color="auto" w:fill="DBDBDB"/>
          </w:tcPr>
          <w:p>
            <w:pPr>
              <w:spacing w:after="0"/>
              <w:rPr>
                <w:sz w:val="23"/>
                <w:szCs w:val="23"/>
                <w:color w:val="auto"/>
              </w:rPr>
            </w:pPr>
          </w:p>
        </w:tc>
        <w:tc>
          <w:tcPr>
            <w:tcW w:w="364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5"/>
          </w:tcPr>
          <w:p>
            <w:pPr>
              <w:ind w:left="220"/>
              <w:spacing w:after="0" w:line="201" w:lineRule="exact"/>
              <w:rPr>
                <w:sz w:val="20"/>
                <w:szCs w:val="20"/>
                <w:color w:val="auto"/>
              </w:rPr>
            </w:pPr>
            <w:r>
              <w:rPr>
                <w:rFonts w:ascii="Arial" w:cs="Arial" w:eastAsia="Arial" w:hAnsi="Arial"/>
                <w:sz w:val="18"/>
                <w:szCs w:val="18"/>
                <w:color w:val="auto"/>
              </w:rPr>
              <w:t>Signatures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8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w w:val="89"/>
              </w:rPr>
              <w:t>39</w:t>
            </w:r>
          </w:p>
        </w:tc>
      </w:tr>
      <w:tr>
        <w:trPr>
          <w:trHeight w:val="1864"/>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20320</wp:posOffset>
            </wp:positionV>
            <wp:extent cx="5924550" cy="323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455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26, 2021 filed with the Securities and Exchange Commission (the "SEC") on March 10, 2022, which is available on the SEC's website at www.sec.gov.</w:t>
      </w:r>
    </w:p>
    <w:p>
      <w:pPr>
        <w:spacing w:after="0" w:line="206"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20320</wp:posOffset>
            </wp:positionV>
            <wp:extent cx="5924550" cy="323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2455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Item 1. Financial Statements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120" w:type="dxa"/>
            <w:vAlign w:val="bottom"/>
            <w:gridSpan w:val="5"/>
          </w:tcPr>
          <w:p>
            <w:pPr>
              <w:ind w:left="4160"/>
              <w:spacing w:after="0"/>
              <w:rPr>
                <w:sz w:val="20"/>
                <w:szCs w:val="20"/>
                <w:color w:val="auto"/>
              </w:rPr>
            </w:pPr>
            <w:r>
              <w:rPr>
                <w:rFonts w:ascii="Arial" w:cs="Arial" w:eastAsia="Arial" w:hAnsi="Arial"/>
                <w:sz w:val="18"/>
                <w:szCs w:val="18"/>
                <w:b w:val="1"/>
                <w:bCs w:val="1"/>
                <w:color w:val="auto"/>
              </w:rPr>
              <w:t>Page</w:t>
            </w:r>
          </w:p>
        </w:tc>
      </w:tr>
      <w:tr>
        <w:trPr>
          <w:trHeight w:val="208"/>
        </w:trPr>
        <w:tc>
          <w:tcPr>
            <w:tcW w:w="6120" w:type="dxa"/>
            <w:vAlign w:val="bottom"/>
            <w:gridSpan w:val="20"/>
            <w:shd w:val="clear" w:color="auto" w:fill="DBDBDB"/>
          </w:tcPr>
          <w:p>
            <w:pPr>
              <w:ind w:left="140"/>
              <w:spacing w:after="0"/>
              <w:rPr>
                <w:sz w:val="20"/>
                <w:szCs w:val="20"/>
                <w:color w:val="auto"/>
              </w:rPr>
            </w:pPr>
            <w:r>
              <w:rPr>
                <w:rFonts w:ascii="Arial" w:cs="Arial" w:eastAsia="Arial" w:hAnsi="Arial"/>
                <w:sz w:val="18"/>
                <w:szCs w:val="18"/>
                <w:color w:val="auto"/>
              </w:rPr>
              <w:t>Condensed Consolidated Balance Sheets</w:t>
            </w:r>
          </w:p>
        </w:tc>
        <w:tc>
          <w:tcPr>
            <w:tcW w:w="4420" w:type="dxa"/>
            <w:vAlign w:val="bottom"/>
            <w:gridSpan w:val="3"/>
            <w:shd w:val="clear" w:color="auto" w:fill="DBDBDB"/>
          </w:tcPr>
          <w:p>
            <w:pPr>
              <w:jc w:val="center"/>
              <w:ind w:left="4231"/>
              <w:spacing w:after="0"/>
              <w:rPr>
                <w:sz w:val="20"/>
                <w:szCs w:val="20"/>
                <w:color w:val="auto"/>
              </w:rPr>
            </w:pPr>
            <w:r>
              <w:rPr>
                <w:rFonts w:ascii="Arial" w:cs="Arial" w:eastAsia="Arial" w:hAnsi="Arial"/>
                <w:sz w:val="18"/>
                <w:szCs w:val="18"/>
                <w:color w:val="auto"/>
                <w:w w:val="99"/>
              </w:rPr>
              <w:t>3</w:t>
            </w:r>
          </w:p>
        </w:tc>
        <w:tc>
          <w:tcPr>
            <w:tcW w:w="6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6120" w:type="dxa"/>
            <w:vAlign w:val="bottom"/>
            <w:gridSpan w:val="20"/>
          </w:tcPr>
          <w:p>
            <w:pPr>
              <w:ind w:left="140"/>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4420" w:type="dxa"/>
            <w:vAlign w:val="bottom"/>
            <w:gridSpan w:val="3"/>
          </w:tcPr>
          <w:p>
            <w:pPr>
              <w:jc w:val="center"/>
              <w:ind w:left="4231"/>
              <w:spacing w:after="0" w:line="201"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6120" w:type="dxa"/>
            <w:vAlign w:val="bottom"/>
            <w:gridSpan w:val="20"/>
            <w:shd w:val="clear" w:color="auto" w:fill="DBDBDB"/>
          </w:tcPr>
          <w:p>
            <w:pPr>
              <w:ind w:left="140"/>
              <w:spacing w:after="0" w:line="201" w:lineRule="exact"/>
              <w:rPr>
                <w:sz w:val="20"/>
                <w:szCs w:val="20"/>
                <w:color w:val="auto"/>
              </w:rPr>
            </w:pPr>
            <w:r>
              <w:rPr>
                <w:rFonts w:ascii="Arial" w:cs="Arial" w:eastAsia="Arial" w:hAnsi="Arial"/>
                <w:sz w:val="18"/>
                <w:szCs w:val="18"/>
                <w:color w:val="auto"/>
                <w:w w:val="98"/>
              </w:rPr>
              <w:t>Condensed Consolidated Statements of Stockholders' and Members' Equity</w:t>
            </w:r>
          </w:p>
        </w:tc>
        <w:tc>
          <w:tcPr>
            <w:tcW w:w="4420" w:type="dxa"/>
            <w:vAlign w:val="bottom"/>
            <w:gridSpan w:val="3"/>
            <w:shd w:val="clear" w:color="auto" w:fill="DBDBDB"/>
          </w:tcPr>
          <w:p>
            <w:pPr>
              <w:jc w:val="center"/>
              <w:ind w:left="4231"/>
              <w:spacing w:after="0" w:line="201" w:lineRule="exact"/>
              <w:rPr>
                <w:sz w:val="20"/>
                <w:szCs w:val="20"/>
                <w:color w:val="auto"/>
              </w:rPr>
            </w:pPr>
            <w:r>
              <w:rPr>
                <w:rFonts w:ascii="Arial" w:cs="Arial" w:eastAsia="Arial" w:hAnsi="Arial"/>
                <w:sz w:val="18"/>
                <w:szCs w:val="18"/>
                <w:color w:val="auto"/>
                <w:w w:val="99"/>
              </w:rPr>
              <w:t>5</w:t>
            </w:r>
          </w:p>
        </w:tc>
        <w:tc>
          <w:tcPr>
            <w:tcW w:w="6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1540" w:type="dxa"/>
            <w:vAlign w:val="bottom"/>
            <w:tcBorders>
              <w:top w:val="single" w:sz="8" w:color="auto"/>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6120" w:type="dxa"/>
            <w:vAlign w:val="bottom"/>
            <w:gridSpan w:val="20"/>
          </w:tcPr>
          <w:p>
            <w:pPr>
              <w:ind w:left="140"/>
              <w:spacing w:after="0" w:line="201" w:lineRule="exact"/>
              <w:rPr>
                <w:sz w:val="20"/>
                <w:szCs w:val="20"/>
                <w:color w:val="auto"/>
              </w:rPr>
            </w:pPr>
            <w:r>
              <w:rPr>
                <w:rFonts w:ascii="Arial" w:cs="Arial" w:eastAsia="Arial" w:hAnsi="Arial"/>
                <w:sz w:val="18"/>
                <w:szCs w:val="18"/>
                <w:color w:val="auto"/>
              </w:rPr>
              <w:t>Condensed Consolidated Statements of Cash Flows</w:t>
            </w:r>
          </w:p>
        </w:tc>
        <w:tc>
          <w:tcPr>
            <w:tcW w:w="4420" w:type="dxa"/>
            <w:vAlign w:val="bottom"/>
            <w:gridSpan w:val="3"/>
          </w:tcPr>
          <w:p>
            <w:pPr>
              <w:jc w:val="center"/>
              <w:ind w:left="4231"/>
              <w:spacing w:after="0" w:line="201"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48"/>
        </w:trPr>
        <w:tc>
          <w:tcPr>
            <w:tcW w:w="6120" w:type="dxa"/>
            <w:vAlign w:val="bottom"/>
            <w:gridSpan w:val="20"/>
            <w:shd w:val="clear" w:color="auto" w:fill="DBDBDB"/>
          </w:tcPr>
          <w:p>
            <w:pPr>
              <w:ind w:left="140"/>
              <w:spacing w:after="0" w:line="201" w:lineRule="exact"/>
              <w:rPr>
                <w:sz w:val="20"/>
                <w:szCs w:val="20"/>
                <w:color w:val="auto"/>
              </w:rPr>
            </w:pPr>
            <w:r>
              <w:rPr>
                <w:rFonts w:ascii="Arial" w:cs="Arial" w:eastAsia="Arial" w:hAnsi="Arial"/>
                <w:sz w:val="18"/>
                <w:szCs w:val="18"/>
                <w:color w:val="auto"/>
              </w:rPr>
              <w:t>Notes to Condensed Consolidated Financial Statements</w:t>
            </w:r>
          </w:p>
        </w:tc>
        <w:tc>
          <w:tcPr>
            <w:tcW w:w="4420" w:type="dxa"/>
            <w:vAlign w:val="bottom"/>
            <w:gridSpan w:val="3"/>
            <w:shd w:val="clear" w:color="auto" w:fill="DBDBDB"/>
          </w:tcPr>
          <w:p>
            <w:pPr>
              <w:jc w:val="center"/>
              <w:ind w:left="4231"/>
              <w:spacing w:after="0" w:line="201" w:lineRule="exact"/>
              <w:rPr>
                <w:sz w:val="20"/>
                <w:szCs w:val="20"/>
                <w:color w:val="auto"/>
              </w:rPr>
            </w:pPr>
            <w:r>
              <w:rPr>
                <w:rFonts w:ascii="Arial" w:cs="Arial" w:eastAsia="Arial" w:hAnsi="Arial"/>
                <w:sz w:val="18"/>
                <w:szCs w:val="18"/>
                <w:color w:val="auto"/>
                <w:w w:val="99"/>
              </w:rPr>
              <w:t>9</w:t>
            </w:r>
          </w:p>
        </w:tc>
        <w:tc>
          <w:tcPr>
            <w:tcW w:w="6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r>
      <w:tr>
        <w:trPr>
          <w:trHeight w:val="201"/>
        </w:trPr>
        <w:tc>
          <w:tcPr>
            <w:tcW w:w="140" w:type="dxa"/>
            <w:vAlign w:val="bottom"/>
            <w:tcBorders>
              <w:top w:val="single" w:sz="8" w:color="DBDBDB"/>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gridSpan w:val="17"/>
          </w:tcPr>
          <w:p>
            <w:pPr>
              <w:spacing w:after="0" w:line="201" w:lineRule="exact"/>
              <w:rPr>
                <w:sz w:val="20"/>
                <w:szCs w:val="20"/>
                <w:color w:val="auto"/>
              </w:rPr>
            </w:pPr>
            <w:r>
              <w:rPr>
                <w:rFonts w:ascii="Arial" w:cs="Arial" w:eastAsia="Arial" w:hAnsi="Arial"/>
                <w:sz w:val="18"/>
                <w:szCs w:val="18"/>
                <w:color w:val="auto"/>
              </w:rPr>
              <w:t>Note 1. Description Of Business</w:t>
            </w:r>
          </w:p>
        </w:tc>
        <w:tc>
          <w:tcPr>
            <w:tcW w:w="1540" w:type="dxa"/>
            <w:vAlign w:val="bottom"/>
            <w:tcBorders>
              <w:top w:val="single" w:sz="8" w:color="DBDBDB"/>
            </w:tcBorders>
          </w:tcPr>
          <w:p>
            <w:pPr>
              <w:spacing w:after="0"/>
              <w:rPr>
                <w:sz w:val="17"/>
                <w:szCs w:val="17"/>
                <w:color w:val="auto"/>
              </w:rPr>
            </w:pPr>
          </w:p>
        </w:tc>
        <w:tc>
          <w:tcPr>
            <w:tcW w:w="4320" w:type="dxa"/>
            <w:vAlign w:val="bottom"/>
            <w:tcBorders>
              <w:top w:val="single" w:sz="8" w:color="DBDBDB"/>
            </w:tcBorders>
            <w:gridSpan w:val="2"/>
          </w:tcPr>
          <w:p>
            <w:pPr>
              <w:spacing w:after="0"/>
              <w:rPr>
                <w:sz w:val="17"/>
                <w:szCs w:val="17"/>
                <w:color w:val="auto"/>
              </w:rPr>
            </w:pPr>
          </w:p>
        </w:tc>
        <w:tc>
          <w:tcPr>
            <w:tcW w:w="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9</w:t>
            </w:r>
          </w:p>
        </w:tc>
        <w:tc>
          <w:tcPr>
            <w:tcW w:w="60" w:type="dxa"/>
            <w:vAlign w:val="bottom"/>
            <w:tcBorders>
              <w:top w:val="single" w:sz="8" w:color="DBDBDB"/>
            </w:tcBorders>
          </w:tcPr>
          <w:p>
            <w:pPr>
              <w:spacing w:after="0"/>
              <w:rPr>
                <w:sz w:val="17"/>
                <w:szCs w:val="17"/>
                <w:color w:val="auto"/>
              </w:rPr>
            </w:pPr>
          </w:p>
        </w:tc>
        <w:tc>
          <w:tcPr>
            <w:tcW w:w="640" w:type="dxa"/>
            <w:vAlign w:val="bottom"/>
            <w:tcBorders>
              <w:top w:val="single" w:sz="8" w:color="DBDBDB"/>
            </w:tcBorders>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80" w:type="dxa"/>
            <w:vAlign w:val="bottom"/>
            <w:gridSpan w:val="18"/>
            <w:shd w:val="clear" w:color="auto" w:fill="DBDBDB"/>
          </w:tcPr>
          <w:p>
            <w:pPr>
              <w:spacing w:after="0" w:line="201" w:lineRule="exact"/>
              <w:rPr>
                <w:sz w:val="20"/>
                <w:szCs w:val="20"/>
                <w:color w:val="auto"/>
              </w:rPr>
            </w:pPr>
            <w:r>
              <w:rPr>
                <w:rFonts w:ascii="Arial" w:cs="Arial" w:eastAsia="Arial" w:hAnsi="Arial"/>
                <w:sz w:val="18"/>
                <w:szCs w:val="18"/>
                <w:color w:val="auto"/>
              </w:rPr>
              <w:t>Note 2. Summary Of Significant Accounting Policies</w:t>
            </w: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10</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gridSpan w:val="16"/>
          </w:tcPr>
          <w:p>
            <w:pPr>
              <w:spacing w:after="0" w:line="201" w:lineRule="exact"/>
              <w:rPr>
                <w:sz w:val="20"/>
                <w:szCs w:val="20"/>
                <w:color w:val="auto"/>
              </w:rPr>
            </w:pPr>
            <w:r>
              <w:rPr>
                <w:rFonts w:ascii="Arial" w:cs="Arial" w:eastAsia="Arial" w:hAnsi="Arial"/>
                <w:sz w:val="18"/>
                <w:szCs w:val="18"/>
                <w:color w:val="auto"/>
              </w:rPr>
              <w:t>Note 3. Revenue Recognition</w:t>
            </w:r>
          </w:p>
        </w:tc>
        <w:tc>
          <w:tcPr>
            <w:tcW w:w="1780" w:type="dxa"/>
            <w:vAlign w:val="bottom"/>
            <w:gridSpan w:val="2"/>
          </w:tcPr>
          <w:p>
            <w:pPr>
              <w:spacing w:after="0"/>
              <w:rPr>
                <w:sz w:val="17"/>
                <w:szCs w:val="17"/>
                <w:color w:val="auto"/>
              </w:rPr>
            </w:pPr>
          </w:p>
        </w:tc>
        <w:tc>
          <w:tcPr>
            <w:tcW w:w="5120" w:type="dxa"/>
            <w:vAlign w:val="bottom"/>
            <w:gridSpan w:val="5"/>
          </w:tcPr>
          <w:p>
            <w:pPr>
              <w:jc w:val="center"/>
              <w:ind w:left="3551"/>
              <w:spacing w:after="0" w:line="201" w:lineRule="exact"/>
              <w:rPr>
                <w:sz w:val="20"/>
                <w:szCs w:val="20"/>
                <w:color w:val="auto"/>
              </w:rPr>
            </w:pPr>
            <w:r>
              <w:rPr>
                <w:rFonts w:ascii="Arial" w:cs="Arial" w:eastAsia="Arial" w:hAnsi="Arial"/>
                <w:sz w:val="18"/>
                <w:szCs w:val="18"/>
                <w:color w:val="auto"/>
                <w:w w:val="99"/>
              </w:rPr>
              <w:t>12</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0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w w:val="97"/>
              </w:rPr>
              <w:t>Note 4. Inventories</w:t>
            </w:r>
          </w:p>
        </w:tc>
        <w:tc>
          <w:tcPr>
            <w:tcW w:w="4380" w:type="dxa"/>
            <w:vAlign w:val="bottom"/>
            <w:gridSpan w:val="16"/>
            <w:shd w:val="clear" w:color="auto" w:fill="DBDBDB"/>
          </w:tcPr>
          <w:p>
            <w:pPr>
              <w:spacing w:after="0"/>
              <w:rPr>
                <w:sz w:val="17"/>
                <w:szCs w:val="17"/>
                <w:color w:val="auto"/>
              </w:rPr>
            </w:pP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13</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18"/>
          </w:tcPr>
          <w:p>
            <w:pPr>
              <w:spacing w:after="0" w:line="201" w:lineRule="exact"/>
              <w:rPr>
                <w:sz w:val="20"/>
                <w:szCs w:val="20"/>
                <w:color w:val="auto"/>
              </w:rPr>
            </w:pPr>
            <w:r>
              <w:rPr>
                <w:rFonts w:ascii="Arial" w:cs="Arial" w:eastAsia="Arial" w:hAnsi="Arial"/>
                <w:sz w:val="18"/>
                <w:szCs w:val="18"/>
                <w:color w:val="auto"/>
              </w:rPr>
              <w:t>Note 5. Property &amp; Equipment, Net</w:t>
            </w:r>
          </w:p>
        </w:tc>
        <w:tc>
          <w:tcPr>
            <w:tcW w:w="5120" w:type="dxa"/>
            <w:vAlign w:val="bottom"/>
            <w:gridSpan w:val="5"/>
          </w:tcPr>
          <w:p>
            <w:pPr>
              <w:jc w:val="center"/>
              <w:ind w:left="3551"/>
              <w:spacing w:after="0" w:line="201" w:lineRule="exact"/>
              <w:rPr>
                <w:sz w:val="20"/>
                <w:szCs w:val="20"/>
                <w:color w:val="auto"/>
              </w:rPr>
            </w:pPr>
            <w:r>
              <w:rPr>
                <w:rFonts w:ascii="Arial" w:cs="Arial" w:eastAsia="Arial" w:hAnsi="Arial"/>
                <w:sz w:val="18"/>
                <w:szCs w:val="18"/>
                <w:color w:val="auto"/>
                <w:w w:val="99"/>
              </w:rPr>
              <w:t>13</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80" w:type="dxa"/>
            <w:vAlign w:val="bottom"/>
            <w:gridSpan w:val="18"/>
            <w:shd w:val="clear" w:color="auto" w:fill="DBDBDB"/>
          </w:tcPr>
          <w:p>
            <w:pPr>
              <w:spacing w:after="0" w:line="201" w:lineRule="exact"/>
              <w:rPr>
                <w:sz w:val="20"/>
                <w:szCs w:val="20"/>
                <w:color w:val="auto"/>
              </w:rPr>
            </w:pPr>
            <w:r>
              <w:rPr>
                <w:rFonts w:ascii="Arial" w:cs="Arial" w:eastAsia="Arial" w:hAnsi="Arial"/>
                <w:sz w:val="18"/>
                <w:szCs w:val="18"/>
                <w:color w:val="auto"/>
              </w:rPr>
              <w:t>Note 6. Goodwill &amp; Intangible Assets</w:t>
            </w: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14</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18"/>
          </w:tcPr>
          <w:p>
            <w:pPr>
              <w:spacing w:after="0" w:line="201" w:lineRule="exact"/>
              <w:rPr>
                <w:sz w:val="20"/>
                <w:szCs w:val="20"/>
                <w:color w:val="auto"/>
              </w:rPr>
            </w:pPr>
            <w:r>
              <w:rPr>
                <w:rFonts w:ascii="Arial" w:cs="Arial" w:eastAsia="Arial" w:hAnsi="Arial"/>
                <w:sz w:val="18"/>
                <w:szCs w:val="18"/>
                <w:color w:val="auto"/>
              </w:rPr>
              <w:t>Note 7. Fair Value of Financial Instruments</w:t>
            </w:r>
          </w:p>
        </w:tc>
        <w:tc>
          <w:tcPr>
            <w:tcW w:w="5120" w:type="dxa"/>
            <w:vAlign w:val="bottom"/>
            <w:gridSpan w:val="5"/>
          </w:tcPr>
          <w:p>
            <w:pPr>
              <w:jc w:val="center"/>
              <w:ind w:left="3551"/>
              <w:spacing w:after="0" w:line="201" w:lineRule="exact"/>
              <w:rPr>
                <w:sz w:val="20"/>
                <w:szCs w:val="20"/>
                <w:color w:val="auto"/>
              </w:rPr>
            </w:pPr>
            <w:r>
              <w:rPr>
                <w:rFonts w:ascii="Arial" w:cs="Arial" w:eastAsia="Arial" w:hAnsi="Arial"/>
                <w:sz w:val="18"/>
                <w:szCs w:val="18"/>
                <w:color w:val="auto"/>
                <w:w w:val="99"/>
              </w:rPr>
              <w:t>14</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80" w:type="dxa"/>
            <w:vAlign w:val="bottom"/>
            <w:gridSpan w:val="18"/>
            <w:shd w:val="clear" w:color="auto" w:fill="DBDBDB"/>
          </w:tcPr>
          <w:p>
            <w:pPr>
              <w:spacing w:after="0" w:line="201" w:lineRule="exact"/>
              <w:rPr>
                <w:sz w:val="20"/>
                <w:szCs w:val="20"/>
                <w:color w:val="auto"/>
              </w:rPr>
            </w:pPr>
            <w:r>
              <w:rPr>
                <w:rFonts w:ascii="Arial" w:cs="Arial" w:eastAsia="Arial" w:hAnsi="Arial"/>
                <w:sz w:val="18"/>
                <w:szCs w:val="18"/>
                <w:color w:val="auto"/>
              </w:rPr>
              <w:t>Note 8. Debt</w:t>
            </w: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16</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80" w:type="dxa"/>
            <w:vAlign w:val="bottom"/>
            <w:gridSpan w:val="18"/>
          </w:tcPr>
          <w:p>
            <w:pPr>
              <w:spacing w:after="0" w:line="201" w:lineRule="exact"/>
              <w:rPr>
                <w:sz w:val="20"/>
                <w:szCs w:val="20"/>
                <w:color w:val="auto"/>
              </w:rPr>
            </w:pPr>
            <w:r>
              <w:rPr>
                <w:rFonts w:ascii="Arial" w:cs="Arial" w:eastAsia="Arial" w:hAnsi="Arial"/>
                <w:sz w:val="18"/>
                <w:szCs w:val="18"/>
                <w:color w:val="auto"/>
              </w:rPr>
              <w:t>Note 9. Non-Controlling Interests</w:t>
            </w:r>
          </w:p>
        </w:tc>
        <w:tc>
          <w:tcPr>
            <w:tcW w:w="5120" w:type="dxa"/>
            <w:vAlign w:val="bottom"/>
            <w:gridSpan w:val="5"/>
          </w:tcPr>
          <w:p>
            <w:pPr>
              <w:jc w:val="center"/>
              <w:ind w:left="3551"/>
              <w:spacing w:after="0" w:line="201" w:lineRule="exact"/>
              <w:rPr>
                <w:sz w:val="20"/>
                <w:szCs w:val="20"/>
                <w:color w:val="auto"/>
              </w:rPr>
            </w:pPr>
            <w:r>
              <w:rPr>
                <w:rFonts w:ascii="Arial" w:cs="Arial" w:eastAsia="Arial" w:hAnsi="Arial"/>
                <w:sz w:val="18"/>
                <w:szCs w:val="18"/>
                <w:color w:val="auto"/>
                <w:w w:val="99"/>
              </w:rPr>
              <w:t>18</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80" w:type="dxa"/>
            <w:vAlign w:val="bottom"/>
            <w:gridSpan w:val="18"/>
            <w:shd w:val="clear" w:color="auto" w:fill="DBDBDB"/>
          </w:tcPr>
          <w:p>
            <w:pPr>
              <w:spacing w:after="0" w:line="201" w:lineRule="exact"/>
              <w:rPr>
                <w:sz w:val="20"/>
                <w:szCs w:val="20"/>
                <w:color w:val="auto"/>
              </w:rPr>
            </w:pPr>
            <w:r>
              <w:rPr>
                <w:rFonts w:ascii="Arial" w:cs="Arial" w:eastAsia="Arial" w:hAnsi="Arial"/>
                <w:sz w:val="18"/>
                <w:szCs w:val="18"/>
                <w:color w:val="auto"/>
              </w:rPr>
              <w:t>Note 10. Equity-Based Compensation</w:t>
            </w: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11"/>
          </w:tcPr>
          <w:p>
            <w:pPr>
              <w:spacing w:after="0" w:line="201" w:lineRule="exact"/>
              <w:rPr>
                <w:sz w:val="20"/>
                <w:szCs w:val="20"/>
                <w:color w:val="auto"/>
              </w:rPr>
            </w:pPr>
            <w:r>
              <w:rPr>
                <w:rFonts w:ascii="Arial" w:cs="Arial" w:eastAsia="Arial" w:hAnsi="Arial"/>
                <w:sz w:val="18"/>
                <w:szCs w:val="18"/>
                <w:color w:val="auto"/>
              </w:rPr>
              <w:t>Note 11. Income Taxes</w:t>
            </w:r>
          </w:p>
        </w:tc>
        <w:tc>
          <w:tcPr>
            <w:tcW w:w="2900" w:type="dxa"/>
            <w:vAlign w:val="bottom"/>
            <w:gridSpan w:val="7"/>
          </w:tcPr>
          <w:p>
            <w:pPr>
              <w:spacing w:after="0"/>
              <w:rPr>
                <w:sz w:val="17"/>
                <w:szCs w:val="17"/>
                <w:color w:val="auto"/>
              </w:rPr>
            </w:pPr>
          </w:p>
        </w:tc>
        <w:tc>
          <w:tcPr>
            <w:tcW w:w="5120" w:type="dxa"/>
            <w:vAlign w:val="bottom"/>
            <w:gridSpan w:val="5"/>
          </w:tcPr>
          <w:p>
            <w:pPr>
              <w:jc w:val="center"/>
              <w:ind w:left="355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80" w:type="dxa"/>
            <w:vAlign w:val="bottom"/>
            <w:gridSpan w:val="18"/>
            <w:shd w:val="clear" w:color="auto" w:fill="DBDBDB"/>
          </w:tcPr>
          <w:p>
            <w:pPr>
              <w:spacing w:after="0" w:line="201" w:lineRule="exact"/>
              <w:rPr>
                <w:sz w:val="20"/>
                <w:szCs w:val="20"/>
                <w:color w:val="auto"/>
              </w:rPr>
            </w:pPr>
            <w:r>
              <w:rPr>
                <w:rFonts w:ascii="Arial" w:cs="Arial" w:eastAsia="Arial" w:hAnsi="Arial"/>
                <w:sz w:val="18"/>
                <w:szCs w:val="18"/>
                <w:color w:val="auto"/>
              </w:rPr>
              <w:t>Note 12. Earnings Per Share</w:t>
            </w: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5"/>
          </w:tcPr>
          <w:p>
            <w:pPr>
              <w:spacing w:after="0" w:line="201" w:lineRule="exact"/>
              <w:rPr>
                <w:sz w:val="20"/>
                <w:szCs w:val="20"/>
                <w:color w:val="auto"/>
              </w:rPr>
            </w:pPr>
            <w:r>
              <w:rPr>
                <w:rFonts w:ascii="Arial" w:cs="Arial" w:eastAsia="Arial" w:hAnsi="Arial"/>
                <w:sz w:val="18"/>
                <w:szCs w:val="18"/>
                <w:color w:val="auto"/>
              </w:rPr>
              <w:t>Note 13. Contingencies</w:t>
            </w:r>
          </w:p>
        </w:tc>
        <w:tc>
          <w:tcPr>
            <w:tcW w:w="3600" w:type="dxa"/>
            <w:vAlign w:val="bottom"/>
            <w:gridSpan w:val="13"/>
          </w:tcPr>
          <w:p>
            <w:pPr>
              <w:spacing w:after="0"/>
              <w:rPr>
                <w:sz w:val="17"/>
                <w:szCs w:val="17"/>
                <w:color w:val="auto"/>
              </w:rPr>
            </w:pPr>
          </w:p>
        </w:tc>
        <w:tc>
          <w:tcPr>
            <w:tcW w:w="5120" w:type="dxa"/>
            <w:vAlign w:val="bottom"/>
            <w:gridSpan w:val="5"/>
          </w:tcPr>
          <w:p>
            <w:pPr>
              <w:jc w:val="center"/>
              <w:ind w:left="3551"/>
              <w:spacing w:after="0" w:line="201" w:lineRule="exact"/>
              <w:rPr>
                <w:sz w:val="20"/>
                <w:szCs w:val="20"/>
                <w:color w:val="auto"/>
              </w:rPr>
            </w:pPr>
            <w:r>
              <w:rPr>
                <w:rFonts w:ascii="Arial" w:cs="Arial" w:eastAsia="Arial" w:hAnsi="Arial"/>
                <w:sz w:val="18"/>
                <w:szCs w:val="18"/>
                <w:color w:val="auto"/>
                <w:w w:val="99"/>
              </w:rPr>
              <w:t>20</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2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80" w:type="dxa"/>
            <w:vAlign w:val="bottom"/>
            <w:gridSpan w:val="18"/>
            <w:shd w:val="clear" w:color="auto" w:fill="DBDBDB"/>
          </w:tcPr>
          <w:p>
            <w:pPr>
              <w:spacing w:after="0" w:line="201" w:lineRule="exact"/>
              <w:rPr>
                <w:sz w:val="20"/>
                <w:szCs w:val="20"/>
                <w:color w:val="auto"/>
              </w:rPr>
            </w:pPr>
            <w:r>
              <w:rPr>
                <w:rFonts w:ascii="Arial" w:cs="Arial" w:eastAsia="Arial" w:hAnsi="Arial"/>
                <w:sz w:val="18"/>
                <w:szCs w:val="18"/>
                <w:color w:val="auto"/>
              </w:rPr>
              <w:t>Note 14. Related Party Transactions</w:t>
            </w:r>
          </w:p>
        </w:tc>
        <w:tc>
          <w:tcPr>
            <w:tcW w:w="5120" w:type="dxa"/>
            <w:vAlign w:val="bottom"/>
            <w:gridSpan w:val="5"/>
            <w:shd w:val="clear" w:color="auto" w:fill="DBDBDB"/>
          </w:tcPr>
          <w:p>
            <w:pPr>
              <w:jc w:val="center"/>
              <w:ind w:left="3551"/>
              <w:spacing w:after="0" w:line="201" w:lineRule="exact"/>
              <w:rPr>
                <w:sz w:val="20"/>
                <w:szCs w:val="20"/>
                <w:color w:val="auto"/>
              </w:rPr>
            </w:pPr>
            <w:r>
              <w:rPr>
                <w:rFonts w:ascii="Arial" w:cs="Arial" w:eastAsia="Arial" w:hAnsi="Arial"/>
                <w:sz w:val="18"/>
                <w:szCs w:val="18"/>
                <w:color w:val="auto"/>
                <w:w w:val="99"/>
              </w:rPr>
              <w:t>20</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42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45"/>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46,722</w:t>
            </w:r>
          </w:p>
        </w:tc>
        <w:tc>
          <w:tcPr>
            <w:tcW w:w="120" w:type="dxa"/>
            <w:vAlign w:val="bottom"/>
          </w:tcPr>
          <w:p>
            <w:pPr>
              <w:spacing w:after="0"/>
              <w:rPr>
                <w:sz w:val="20"/>
                <w:szCs w:val="20"/>
                <w:color w:val="auto"/>
              </w:rPr>
            </w:pP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39,263</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8,110</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7,840</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5,934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6,078</w:t>
            </w:r>
          </w:p>
        </w:tc>
      </w:tr>
      <w:tr>
        <w:trPr>
          <w:trHeight w:val="242"/>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4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4,170</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5,836</w:t>
            </w:r>
          </w:p>
        </w:tc>
      </w:tr>
      <w:tr>
        <w:trPr>
          <w:trHeight w:val="235"/>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64,936</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59,017</w:t>
            </w:r>
          </w:p>
        </w:tc>
      </w:tr>
      <w:tr>
        <w:trPr>
          <w:trHeight w:val="235"/>
        </w:trPr>
        <w:tc>
          <w:tcPr>
            <w:tcW w:w="792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Property and equipment, net</w:t>
            </w: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211,741</w:t>
            </w:r>
          </w:p>
        </w:tc>
        <w:tc>
          <w:tcPr>
            <w:tcW w:w="12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190,834</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33,478</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35,832</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16,245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16,170</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assets</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115,202</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74,455</w:t>
            </w:r>
          </w:p>
        </w:tc>
      </w:tr>
      <w:tr>
        <w:trPr>
          <w:trHeight w:val="235"/>
        </w:trPr>
        <w:tc>
          <w:tcPr>
            <w:tcW w:w="7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r>
      <w:tr>
        <w:trPr>
          <w:trHeight w:val="235"/>
        </w:trPr>
        <w:tc>
          <w:tcPr>
            <w:tcW w:w="792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6"/>
                <w:szCs w:val="16"/>
                <w:color w:val="auto"/>
              </w:rPr>
              <w:t>Total other assets</w:t>
            </w: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787,395</w:t>
            </w:r>
          </w:p>
        </w:tc>
        <w:tc>
          <w:tcPr>
            <w:tcW w:w="12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749,722</w:t>
            </w:r>
          </w:p>
        </w:tc>
      </w:tr>
      <w:tr>
        <w:trPr>
          <w:trHeight w:val="23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1,064,072</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4"/>
        </w:trPr>
        <w:tc>
          <w:tcPr>
            <w:tcW w:w="7920" w:type="dxa"/>
            <w:vAlign w:val="bottom"/>
            <w:shd w:val="clear" w:color="auto" w:fill="DBDBDB"/>
          </w:tcPr>
          <w:p>
            <w:pPr>
              <w:spacing w:after="0"/>
              <w:rPr>
                <w:sz w:val="5"/>
                <w:szCs w:val="5"/>
                <w:color w:val="auto"/>
              </w:rPr>
            </w:pPr>
          </w:p>
        </w:tc>
        <w:tc>
          <w:tcPr>
            <w:tcW w:w="46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520" w:type="dxa"/>
            <w:vAlign w:val="bottom"/>
            <w:shd w:val="clear" w:color="auto" w:fill="DBDBDB"/>
          </w:tcPr>
          <w:p>
            <w:pPr>
              <w:spacing w:after="0"/>
              <w:rPr>
                <w:sz w:val="5"/>
                <w:szCs w:val="5"/>
                <w:color w:val="auto"/>
              </w:rPr>
            </w:pPr>
          </w:p>
        </w:tc>
        <w:tc>
          <w:tcPr>
            <w:tcW w:w="1080" w:type="dxa"/>
            <w:vAlign w:val="bottom"/>
            <w:shd w:val="clear" w:color="auto" w:fill="DBDBDB"/>
          </w:tcPr>
          <w:p>
            <w:pPr>
              <w:spacing w:after="0"/>
              <w:rPr>
                <w:sz w:val="5"/>
                <w:szCs w:val="5"/>
                <w:color w:val="auto"/>
              </w:rPr>
            </w:pPr>
          </w:p>
        </w:tc>
      </w:tr>
      <w:tr>
        <w:trPr>
          <w:trHeight w:val="238"/>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27,442</w:t>
            </w:r>
          </w:p>
        </w:tc>
        <w:tc>
          <w:tcPr>
            <w:tcW w:w="120" w:type="dxa"/>
            <w:vAlign w:val="bottom"/>
          </w:tcPr>
          <w:p>
            <w:pPr>
              <w:spacing w:after="0"/>
              <w:rPr>
                <w:sz w:val="20"/>
                <w:szCs w:val="20"/>
                <w:color w:val="auto"/>
              </w:rPr>
            </w:pP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27,249</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Current deferred revenue</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6,893</w:t>
            </w:r>
          </w:p>
        </w:tc>
      </w:tr>
      <w:tr>
        <w:trPr>
          <w:trHeight w:val="242"/>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23,264</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r>
      <w:tr>
        <w:trPr>
          <w:trHeight w:val="234"/>
        </w:trPr>
        <w:tc>
          <w:tcPr>
            <w:tcW w:w="792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58,063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66,938</w:t>
            </w:r>
          </w:p>
        </w:tc>
      </w:tr>
      <w:tr>
        <w:trPr>
          <w:trHeight w:val="249"/>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LIABILITIES:</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315,288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315,829</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rent</w:t>
            </w:r>
          </w:p>
        </w:tc>
        <w:tc>
          <w:tcPr>
            <w:tcW w:w="46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37,564</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32,174</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205,287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156,638</w:t>
            </w:r>
          </w:p>
        </w:tc>
      </w:tr>
      <w:tr>
        <w:trPr>
          <w:trHeight w:val="242"/>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Other long-term liabilities</w:t>
            </w:r>
          </w:p>
        </w:tc>
        <w:tc>
          <w:tcPr>
            <w:tcW w:w="4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3,745</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4,588</w:t>
            </w:r>
          </w:p>
        </w:tc>
      </w:tr>
      <w:tr>
        <w:trPr>
          <w:trHeight w:val="235"/>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long-term liabilities</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561,884</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509,229</w:t>
            </w:r>
          </w:p>
        </w:tc>
      </w:tr>
      <w:tr>
        <w:trPr>
          <w:trHeight w:val="241"/>
        </w:trPr>
        <w:tc>
          <w:tcPr>
            <w:tcW w:w="792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619,947</w:t>
            </w:r>
          </w:p>
        </w:tc>
        <w:tc>
          <w:tcPr>
            <w:tcW w:w="12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576,167</w:t>
            </w:r>
          </w:p>
        </w:tc>
      </w:tr>
      <w:tr>
        <w:trPr>
          <w:trHeight w:val="34"/>
        </w:trPr>
        <w:tc>
          <w:tcPr>
            <w:tcW w:w="7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(NOTE 13)</w:t>
            </w:r>
          </w:p>
        </w:tc>
        <w:tc>
          <w:tcPr>
            <w:tcW w:w="46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Preferred stock, $0.01 par value per share, 10,000,000 shares authorized, none issued or outstanding</w:t>
            </w:r>
          </w:p>
        </w:tc>
        <w:tc>
          <w:tcPr>
            <w:tcW w:w="460" w:type="dxa"/>
            <w:vAlign w:val="bottom"/>
            <w:shd w:val="clear" w:color="auto" w:fill="DBDBDB"/>
          </w:tcPr>
          <w:p>
            <w:pPr>
              <w:spacing w:after="0"/>
              <w:rPr>
                <w:sz w:val="21"/>
                <w:szCs w:val="21"/>
                <w:color w:val="auto"/>
              </w:rPr>
            </w:pP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920" w:type="dxa"/>
            <w:vAlign w:val="bottom"/>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 42,225,023 and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1"/>
        </w:trPr>
        <w:tc>
          <w:tcPr>
            <w:tcW w:w="7920" w:type="dxa"/>
            <w:vAlign w:val="bottom"/>
          </w:tcPr>
          <w:p>
            <w:pPr>
              <w:ind w:left="140"/>
              <w:spacing w:after="0"/>
              <w:rPr>
                <w:sz w:val="20"/>
                <w:szCs w:val="20"/>
                <w:color w:val="auto"/>
              </w:rPr>
            </w:pPr>
            <w:r>
              <w:rPr>
                <w:rFonts w:ascii="Arial" w:cs="Arial" w:eastAsia="Arial" w:hAnsi="Arial"/>
                <w:sz w:val="16"/>
                <w:szCs w:val="16"/>
                <w:color w:val="auto"/>
              </w:rPr>
              <w:t>35,807,171 shares issued and outstanding at September 25, 2022 and December 26, 2021, respectively.</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21"/>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 29,730,762 and</w:t>
            </w:r>
          </w:p>
        </w:tc>
        <w:tc>
          <w:tcPr>
            <w:tcW w:w="4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35,673,321 shares issued and outstanding at September 25, 2022 and December 26, 2021, respectively.</w:t>
            </w:r>
          </w:p>
        </w:tc>
        <w:tc>
          <w:tcPr>
            <w:tcW w:w="46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Additional paid-in-capital</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232,031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186,856</w:t>
            </w:r>
          </w:p>
        </w:tc>
      </w:tr>
      <w:tr>
        <w:trPr>
          <w:trHeight w:val="242"/>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Accumulated deficit</w:t>
            </w:r>
          </w:p>
        </w:tc>
        <w:tc>
          <w:tcPr>
            <w:tcW w:w="4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(9,053)</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(15,950)</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223,399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171,264</w:t>
            </w:r>
          </w:p>
        </w:tc>
      </w:tr>
      <w:tr>
        <w:trPr>
          <w:trHeight w:val="242"/>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Non-controlling interest</w:t>
            </w:r>
          </w:p>
        </w:tc>
        <w:tc>
          <w:tcPr>
            <w:tcW w:w="4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220,726</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252,142</w:t>
            </w:r>
          </w:p>
        </w:tc>
      </w:tr>
      <w:tr>
        <w:trPr>
          <w:trHeight w:val="235"/>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444,125</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423,406</w:t>
            </w:r>
          </w:p>
        </w:tc>
      </w:tr>
      <w:tr>
        <w:trPr>
          <w:trHeight w:val="263"/>
        </w:trPr>
        <w:tc>
          <w:tcPr>
            <w:tcW w:w="79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460" w:type="dxa"/>
            <w:vAlign w:val="bottom"/>
            <w:tcBorders>
              <w:bottom w:val="single" w:sz="8" w:color="auto"/>
            </w:tcBorders>
            <w:shd w:val="clear" w:color="auto" w:fill="DBDBDB"/>
          </w:tcPr>
          <w:p>
            <w:pPr>
              <w:jc w:val="right"/>
              <w:ind w:right="28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1,064,072</w:t>
            </w:r>
          </w:p>
        </w:tc>
        <w:tc>
          <w:tcPr>
            <w:tcW w:w="120" w:type="dxa"/>
            <w:vAlign w:val="bottom"/>
            <w:tcBorders>
              <w:bottom w:val="single" w:sz="8" w:color="DBDBDB"/>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92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22" w:right="339" w:bottom="1440" w:gutter="0" w:footer="0" w:header="0"/>
        </w:sectPr>
      </w:pPr>
    </w:p>
    <w:p>
      <w:pPr>
        <w:spacing w:after="0" w:line="393"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ind w:left="760"/>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27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Three Quarters Ended</w:t>
            </w:r>
          </w:p>
        </w:tc>
      </w:tr>
      <w:tr>
        <w:trPr>
          <w:trHeight w:val="207"/>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25,</w:t>
            </w:r>
          </w:p>
        </w:tc>
        <w:tc>
          <w:tcPr>
            <w:tcW w:w="12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b w:val="1"/>
                <w:bCs w:val="1"/>
                <w:color w:val="auto"/>
              </w:rPr>
              <w:t>September 26,</w:t>
            </w:r>
          </w:p>
        </w:tc>
      </w:tr>
      <w:tr>
        <w:trPr>
          <w:trHeight w:val="222"/>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40"/>
              <w:spacing w:after="0"/>
              <w:rPr>
                <w:sz w:val="20"/>
                <w:szCs w:val="20"/>
                <w:color w:val="auto"/>
              </w:rPr>
            </w:pPr>
            <w:r>
              <w:rPr>
                <w:rFonts w:ascii="Arial" w:cs="Arial" w:eastAsia="Arial" w:hAnsi="Arial"/>
                <w:sz w:val="16"/>
                <w:szCs w:val="16"/>
                <w:b w:val="1"/>
                <w:bCs w:val="1"/>
                <w:color w:val="auto"/>
              </w:rPr>
              <w:t>2021</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8"/>
        </w:trPr>
        <w:tc>
          <w:tcPr>
            <w:tcW w:w="53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8"/>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151,121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138,003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436,226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396,044</w:t>
            </w:r>
          </w:p>
        </w:tc>
      </w:tr>
      <w:tr>
        <w:trPr>
          <w:trHeight w:val="272"/>
        </w:trPr>
        <w:tc>
          <w:tcPr>
            <w:tcW w:w="53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r>
      <w:tr>
        <w:trPr>
          <w:trHeight w:val="238"/>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5"/>
        </w:trPr>
        <w:tc>
          <w:tcPr>
            <w:tcW w:w="53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53,374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44,285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151,414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121,465</w:t>
            </w:r>
          </w:p>
        </w:tc>
      </w:tr>
      <w:tr>
        <w:trPr>
          <w:trHeight w:val="24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39,133</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36,921</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114,352</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102,433</w:t>
            </w: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20,890</w:t>
            </w:r>
          </w:p>
        </w:tc>
      </w:tr>
      <w:tr>
        <w:trPr>
          <w:trHeight w:val="242"/>
        </w:trPr>
        <w:tc>
          <w:tcPr>
            <w:tcW w:w="53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16,882</w:t>
            </w:r>
          </w:p>
        </w:tc>
        <w:tc>
          <w:tcPr>
            <w:tcW w:w="12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15,554</w:t>
            </w:r>
          </w:p>
        </w:tc>
        <w:tc>
          <w:tcPr>
            <w:tcW w:w="12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47,225</w:t>
            </w:r>
          </w:p>
        </w:tc>
        <w:tc>
          <w:tcPr>
            <w:tcW w:w="12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44,187</w:t>
            </w:r>
          </w:p>
        </w:tc>
      </w:tr>
      <w:tr>
        <w:trPr>
          <w:trHeight w:val="238"/>
        </w:trPr>
        <w:tc>
          <w:tcPr>
            <w:tcW w:w="5320" w:type="dxa"/>
            <w:vAlign w:val="bottom"/>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117,033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103,760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335,769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288,975</w:t>
            </w:r>
          </w:p>
        </w:tc>
      </w:tr>
      <w:tr>
        <w:trPr>
          <w:trHeight w:val="151"/>
        </w:trPr>
        <w:tc>
          <w:tcPr>
            <w:tcW w:w="53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49,185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35,755</w:t>
            </w:r>
          </w:p>
        </w:tc>
      </w:tr>
      <w:tr>
        <w:trPr>
          <w:trHeight w:val="24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2,307</w:t>
            </w: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18,225</w:t>
            </w:r>
          </w:p>
        </w:tc>
      </w:tr>
      <w:tr>
        <w:trPr>
          <w:trHeight w:val="24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(651)</w:t>
            </w:r>
          </w:p>
        </w:tc>
      </w:tr>
      <w:tr>
        <w:trPr>
          <w:trHeight w:val="235"/>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241"/>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10,586</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17,214</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34,839</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52,528</w:t>
            </w: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32,124</w:t>
            </w:r>
          </w:p>
        </w:tc>
      </w:tr>
      <w:tr>
        <w:trPr>
          <w:trHeight w:val="242"/>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(2,462)</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18,015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20,404</w:t>
            </w:r>
          </w:p>
        </w:tc>
      </w:tr>
      <w:tr>
        <w:trPr>
          <w:trHeight w:val="238"/>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3,511</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20,404</w:t>
            </w:r>
          </w:p>
        </w:tc>
      </w:tr>
      <w:tr>
        <w:trPr>
          <w:trHeight w:val="238"/>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40" w:type="dxa"/>
            <w:vAlign w:val="bottom"/>
            <w:shd w:val="clear" w:color="auto" w:fill="DBDBDB"/>
          </w:tcPr>
          <w:p>
            <w:pPr>
              <w:spacing w:after="0"/>
              <w:rPr>
                <w:sz w:val="20"/>
                <w:szCs w:val="20"/>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(5,886)</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(16,978)</w:t>
            </w:r>
          </w:p>
        </w:tc>
      </w:tr>
      <w:tr>
        <w:trPr>
          <w:trHeight w:val="238"/>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COMMON UNIT HOLDERS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3,426</w:t>
            </w:r>
          </w:p>
        </w:tc>
      </w:tr>
      <w:tr>
        <w:trPr>
          <w:trHeight w:val="238"/>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7,607</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PORTILLO'S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3,426</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53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r>
      <w:tr>
        <w:trPr>
          <w:trHeight w:val="234"/>
        </w:trPr>
        <w:tc>
          <w:tcPr>
            <w:tcW w:w="5320" w:type="dxa"/>
            <w:vAlign w:val="bottom"/>
          </w:tcPr>
          <w:p>
            <w:pPr>
              <w:ind w:left="20"/>
              <w:spacing w:after="0"/>
              <w:rPr>
                <w:sz w:val="20"/>
                <w:szCs w:val="20"/>
                <w:color w:val="auto"/>
              </w:rPr>
            </w:pPr>
            <w:r>
              <w:rPr>
                <w:rFonts w:ascii="Arial" w:cs="Arial" w:eastAsia="Arial" w:hAnsi="Arial"/>
                <w:sz w:val="16"/>
                <w:szCs w:val="16"/>
                <w:color w:val="auto"/>
              </w:rPr>
              <w:t>Income per common share attributable to Portillo's Inc.:</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0.07</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2"/>
        </w:trPr>
        <w:tc>
          <w:tcPr>
            <w:tcW w:w="53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34"/>
        </w:trPr>
        <w:tc>
          <w:tcPr>
            <w:tcW w:w="532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4"/>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38,899,373</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51,210,222</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36,899,208</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51,201,100</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42,625,160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51,581,685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40,785,766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51,569,034</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ind w:right="3440"/>
        <w:spacing w:after="0" w:line="250" w:lineRule="auto"/>
        <w:rPr>
          <w:sz w:val="20"/>
          <w:szCs w:val="20"/>
          <w:color w:val="auto"/>
        </w:rPr>
      </w:pPr>
      <w:r>
        <w:rPr>
          <w:rFonts w:ascii="Arial" w:cs="Arial" w:eastAsia="Arial" w:hAnsi="Arial"/>
          <w:sz w:val="18"/>
          <w:szCs w:val="18"/>
          <w:b w:val="1"/>
          <w:bCs w:val="1"/>
          <w:color w:val="auto"/>
        </w:rPr>
        <w:t>CONDENSED CONSOLIDATED STATEMENTS OF STOCKHOLDERS' AND MEMBERS' EQUITY (UNAUDITED)</w:t>
      </w: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40" w:type="dxa"/>
            <w:vAlign w:val="bottom"/>
            <w:gridSpan w:val="24"/>
          </w:tcPr>
          <w:p>
            <w:pPr>
              <w:spacing w:after="0"/>
              <w:rPr>
                <w:sz w:val="20"/>
                <w:szCs w:val="20"/>
                <w:color w:val="auto"/>
              </w:rPr>
            </w:pPr>
            <w:r>
              <w:rPr>
                <w:rFonts w:ascii="Arial" w:cs="Arial" w:eastAsia="Arial" w:hAnsi="Arial"/>
                <w:sz w:val="16"/>
                <w:szCs w:val="16"/>
                <w:b w:val="1"/>
                <w:bCs w:val="1"/>
                <w:color w:val="auto"/>
              </w:rPr>
              <w:t>Quarters Ended September 25, 2022 and September 26, 2021</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6"/>
            <w:vMerge w:val="restart"/>
          </w:tcPr>
          <w:p>
            <w:pPr>
              <w:jc w:val="right"/>
              <w:ind w:right="180"/>
              <w:spacing w:after="0"/>
              <w:rPr>
                <w:sz w:val="20"/>
                <w:szCs w:val="20"/>
                <w:color w:val="auto"/>
              </w:rPr>
            </w:pPr>
            <w:r>
              <w:rPr>
                <w:rFonts w:ascii="Arial" w:cs="Arial" w:eastAsia="Arial" w:hAnsi="Arial"/>
                <w:sz w:val="16"/>
                <w:szCs w:val="16"/>
                <w:b w:val="1"/>
                <w:bCs w:val="1"/>
                <w:color w:val="auto"/>
              </w:rPr>
              <w:t>Preferred Units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gridSpan w:val="8"/>
            <w:vMerge w:val="restart"/>
          </w:tcPr>
          <w:p>
            <w:pPr>
              <w:spacing w:after="0"/>
              <w:rPr>
                <w:sz w:val="20"/>
                <w:szCs w:val="20"/>
                <w:color w:val="auto"/>
              </w:rPr>
            </w:pPr>
            <w:r>
              <w:rPr>
                <w:rFonts w:ascii="Arial" w:cs="Arial" w:eastAsia="Arial" w:hAnsi="Arial"/>
                <w:sz w:val="16"/>
                <w:szCs w:val="16"/>
                <w:b w:val="1"/>
                <w:bCs w:val="1"/>
                <w:color w:val="auto"/>
              </w:rPr>
              <w:t>Class A Common</w:t>
            </w:r>
          </w:p>
        </w:tc>
        <w:tc>
          <w:tcPr>
            <w:tcW w:w="14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gridSpan w:val="8"/>
            <w:vMerge w:val="restart"/>
          </w:tcPr>
          <w:p>
            <w:pPr>
              <w:spacing w:after="0"/>
              <w:rPr>
                <w:sz w:val="20"/>
                <w:szCs w:val="20"/>
                <w:color w:val="auto"/>
              </w:rPr>
            </w:pPr>
            <w:r>
              <w:rPr>
                <w:rFonts w:ascii="Arial" w:cs="Arial" w:eastAsia="Arial" w:hAnsi="Arial"/>
                <w:sz w:val="16"/>
                <w:szCs w:val="16"/>
                <w:b w:val="1"/>
                <w:bCs w:val="1"/>
                <w:color w:val="auto"/>
              </w:rPr>
              <w:t>Class B Common</w:t>
            </w: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6"/>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8"/>
            <w:vMerge w:val="continue"/>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vMerge w:val="continue"/>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20"/>
                <w:szCs w:val="20"/>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gridSpan w:val="4"/>
          </w:tcPr>
          <w:p>
            <w:pPr>
              <w:ind w:left="40"/>
              <w:spacing w:after="0"/>
              <w:rPr>
                <w:sz w:val="20"/>
                <w:szCs w:val="20"/>
                <w:color w:val="auto"/>
              </w:rPr>
            </w:pPr>
            <w:r>
              <w:rPr>
                <w:rFonts w:ascii="Arial" w:cs="Arial" w:eastAsia="Arial" w:hAnsi="Arial"/>
                <w:sz w:val="16"/>
                <w:szCs w:val="16"/>
                <w:b w:val="1"/>
                <w:bCs w:val="1"/>
                <w:color w:val="auto"/>
              </w:rPr>
              <w:t>Member's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8"/>
        </w:trPr>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Units</w:t>
            </w: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Amounts</w:t>
            </w:r>
          </w:p>
        </w:tc>
        <w:tc>
          <w:tcPr>
            <w:tcW w:w="80" w:type="dxa"/>
            <w:vAlign w:val="bottom"/>
            <w:tcBorders>
              <w:bottom w:val="single" w:sz="8" w:color="auto"/>
            </w:tcBorders>
            <w:shd w:val="clear" w:color="auto" w:fill="000000"/>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7"/>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June 27, 2021</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21"/>
                <w:szCs w:val="21"/>
                <w:color w:val="auto"/>
              </w:rPr>
            </w:pPr>
          </w:p>
        </w:tc>
        <w:tc>
          <w:tcPr>
            <w:tcW w:w="100" w:type="dxa"/>
            <w:vAlign w:val="bottom"/>
            <w:shd w:val="clear" w:color="auto" w:fill="DBDBDB"/>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211,663</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144,113</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144,113</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6,531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Repayment of</w:t>
            </w:r>
          </w:p>
        </w:tc>
        <w:tc>
          <w:tcPr>
            <w:tcW w:w="1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w:t>
            </w:r>
          </w:p>
        </w:tc>
        <w:tc>
          <w:tcPr>
            <w:tcW w:w="180" w:type="dxa"/>
            <w:vAlign w:val="bottom"/>
            <w:shd w:val="clear" w:color="auto" w:fill="DBDBDB"/>
          </w:tcPr>
          <w:p>
            <w:pPr>
              <w:spacing w:after="0"/>
              <w:rPr>
                <w:sz w:val="19"/>
                <w:szCs w:val="19"/>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0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78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Redeemable</w:t>
            </w:r>
          </w:p>
        </w:tc>
        <w:tc>
          <w:tcPr>
            <w:tcW w:w="1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preferred units</w:t>
            </w:r>
          </w:p>
        </w:tc>
        <w:tc>
          <w:tcPr>
            <w:tcW w:w="1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accretion</w:t>
            </w:r>
          </w:p>
        </w:tc>
        <w:tc>
          <w:tcPr>
            <w:tcW w:w="180" w:type="dxa"/>
            <w:vAlign w:val="bottom"/>
            <w:shd w:val="clear" w:color="auto" w:fill="DBDBDB"/>
          </w:tcPr>
          <w:p>
            <w:pPr>
              <w:spacing w:after="0"/>
              <w:rPr>
                <w:sz w:val="19"/>
                <w:szCs w:val="19"/>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5,886</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(5,886)</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0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78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(5,886)</w:t>
            </w:r>
          </w:p>
        </w:tc>
        <w:tc>
          <w:tcPr>
            <w:tcW w:w="0" w:type="dxa"/>
            <w:vAlign w:val="bottom"/>
          </w:tcPr>
          <w:p>
            <w:pPr>
              <w:spacing w:after="0"/>
              <w:rPr>
                <w:sz w:val="1"/>
                <w:szCs w:val="1"/>
                <w:color w:val="auto"/>
              </w:rPr>
            </w:pPr>
          </w:p>
        </w:tc>
      </w:tr>
      <w:tr>
        <w:trPr>
          <w:trHeight w:val="200"/>
        </w:trPr>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217,549</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145,177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145,177</w:t>
            </w:r>
          </w:p>
        </w:tc>
        <w:tc>
          <w:tcPr>
            <w:tcW w:w="0" w:type="dxa"/>
            <w:vAlign w:val="bottom"/>
          </w:tcPr>
          <w:p>
            <w:pPr>
              <w:spacing w:after="0"/>
              <w:rPr>
                <w:sz w:val="1"/>
                <w:szCs w:val="1"/>
                <w:color w:val="auto"/>
              </w:rPr>
            </w:pPr>
          </w:p>
        </w:tc>
      </w:tr>
      <w:tr>
        <w:trPr>
          <w:trHeight w:val="238"/>
        </w:trPr>
        <w:tc>
          <w:tcPr>
            <w:tcW w:w="11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auto"/>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00" w:type="dxa"/>
            <w:vAlign w:val="bottom"/>
            <w:tcBorders>
              <w:top w:val="single" w:sz="8" w:color="auto"/>
            </w:tcBorders>
            <w:shd w:val="clear" w:color="auto" w:fill="DBDBDB"/>
          </w:tcPr>
          <w:p>
            <w:pPr>
              <w:spacing w:after="0"/>
              <w:rPr>
                <w:sz w:val="20"/>
                <w:szCs w:val="20"/>
                <w:color w:val="auto"/>
              </w:rPr>
            </w:pPr>
          </w:p>
        </w:tc>
        <w:tc>
          <w:tcPr>
            <w:tcW w:w="480" w:type="dxa"/>
            <w:vAlign w:val="bottom"/>
            <w:tcBorders>
              <w:top w:val="single" w:sz="8" w:color="auto"/>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360" w:type="dxa"/>
            <w:vAlign w:val="bottom"/>
            <w:tcBorders>
              <w:top w:val="single" w:sz="8" w:color="auto"/>
            </w:tcBorders>
            <w:shd w:val="clear" w:color="auto" w:fill="DBDBDB"/>
          </w:tcPr>
          <w:p>
            <w:pPr>
              <w:spacing w:after="0"/>
              <w:rPr>
                <w:sz w:val="20"/>
                <w:szCs w:val="20"/>
                <w:color w:val="auto"/>
              </w:rPr>
            </w:pPr>
          </w:p>
        </w:tc>
        <w:tc>
          <w:tcPr>
            <w:tcW w:w="32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80" w:type="dxa"/>
            <w:vAlign w:val="bottom"/>
            <w:tcBorders>
              <w:top w:val="single" w:sz="8" w:color="auto"/>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460" w:type="dxa"/>
            <w:vAlign w:val="bottom"/>
            <w:tcBorders>
              <w:top w:val="single" w:sz="8" w:color="auto"/>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80" w:type="dxa"/>
            <w:vAlign w:val="bottom"/>
            <w:tcBorders>
              <w:top w:val="single" w:sz="8" w:color="auto"/>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spacing w:after="0"/>
              <w:rPr>
                <w:sz w:val="20"/>
                <w:szCs w:val="20"/>
                <w:color w:val="auto"/>
              </w:rPr>
            </w:pPr>
          </w:p>
        </w:tc>
        <w:tc>
          <w:tcPr>
            <w:tcW w:w="660" w:type="dxa"/>
            <w:vAlign w:val="bottom"/>
            <w:tcBorders>
              <w:top w:val="single" w:sz="8" w:color="auto"/>
            </w:tcBorders>
            <w:shd w:val="clear" w:color="auto" w:fill="DBDBDB"/>
          </w:tcPr>
          <w:p>
            <w:pPr>
              <w:spacing w:after="0"/>
              <w:rPr>
                <w:sz w:val="20"/>
                <w:szCs w:val="20"/>
                <w:color w:val="auto"/>
              </w:rPr>
            </w:pPr>
          </w:p>
        </w:tc>
        <w:tc>
          <w:tcPr>
            <w:tcW w:w="4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spacing w:after="0"/>
              <w:rPr>
                <w:sz w:val="20"/>
                <w:szCs w:val="20"/>
                <w:color w:val="auto"/>
              </w:rPr>
            </w:pPr>
          </w:p>
        </w:tc>
        <w:tc>
          <w:tcPr>
            <w:tcW w:w="86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780" w:type="dxa"/>
            <w:vAlign w:val="bottom"/>
            <w:tcBorders>
              <w:top w:val="single" w:sz="8" w:color="auto"/>
            </w:tcBorders>
            <w:shd w:val="clear" w:color="auto" w:fill="DBDBDB"/>
          </w:tcPr>
          <w:p>
            <w:pPr>
              <w:spacing w:after="0"/>
              <w:rPr>
                <w:sz w:val="20"/>
                <w:szCs w:val="20"/>
                <w:color w:val="auto"/>
              </w:rPr>
            </w:pPr>
          </w:p>
        </w:tc>
        <w:tc>
          <w:tcPr>
            <w:tcW w:w="8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spacing w:after="0"/>
              <w:rPr>
                <w:sz w:val="20"/>
                <w:szCs w:val="20"/>
                <w:color w:val="auto"/>
              </w:rPr>
            </w:pPr>
          </w:p>
        </w:tc>
        <w:tc>
          <w:tcPr>
            <w:tcW w:w="900" w:type="dxa"/>
            <w:vAlign w:val="bottom"/>
            <w:tcBorders>
              <w:top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36,218,355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192,862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261,233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443,812</w:t>
            </w:r>
          </w:p>
        </w:tc>
        <w:tc>
          <w:tcPr>
            <w:tcW w:w="0" w:type="dxa"/>
            <w:vAlign w:val="bottom"/>
          </w:tcPr>
          <w:p>
            <w:pPr>
              <w:spacing w:after="0"/>
              <w:rPr>
                <w:sz w:val="1"/>
                <w:szCs w:val="1"/>
                <w:color w:val="auto"/>
              </w:rPr>
            </w:pPr>
          </w:p>
        </w:tc>
      </w:tr>
      <w:tr>
        <w:trPr>
          <w:trHeight w:val="249"/>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BDBDB"/>
          </w:tcPr>
          <w:p>
            <w:pPr>
              <w:spacing w:after="0"/>
              <w:rPr>
                <w:sz w:val="21"/>
                <w:szCs w:val="21"/>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50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78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1,592</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1,606</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Exercise of</w:t>
            </w:r>
          </w:p>
        </w:tc>
        <w:tc>
          <w:tcPr>
            <w:tcW w:w="1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stock options</w:t>
            </w:r>
          </w:p>
        </w:tc>
        <w:tc>
          <w:tcPr>
            <w:tcW w:w="180" w:type="dxa"/>
            <w:vAlign w:val="bottom"/>
            <w:shd w:val="clear" w:color="auto" w:fill="DBDBDB"/>
          </w:tcPr>
          <w:p>
            <w:pPr>
              <w:spacing w:after="0"/>
              <w:rPr>
                <w:sz w:val="21"/>
                <w:szCs w:val="21"/>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64,109</w:t>
            </w:r>
          </w:p>
        </w:tc>
        <w:tc>
          <w:tcPr>
            <w:tcW w:w="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50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w:t>
            </w:r>
          </w:p>
        </w:tc>
        <w:tc>
          <w:tcPr>
            <w:tcW w:w="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Redemption</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of LLC</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Interests in</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connection</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with the</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secondary</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offering</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Non-</w:t>
            </w:r>
          </w:p>
        </w:tc>
        <w:tc>
          <w:tcPr>
            <w:tcW w:w="1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controlling</w:t>
            </w:r>
          </w:p>
        </w:tc>
        <w:tc>
          <w:tcPr>
            <w:tcW w:w="1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interest</w:t>
            </w:r>
          </w:p>
        </w:tc>
        <w:tc>
          <w:tcPr>
            <w:tcW w:w="180" w:type="dxa"/>
            <w:vAlign w:val="bottom"/>
            <w:shd w:val="clear" w:color="auto" w:fill="DBDBDB"/>
          </w:tcPr>
          <w:p>
            <w:pPr>
              <w:spacing w:after="0"/>
              <w:rPr>
                <w:sz w:val="16"/>
                <w:szCs w:val="16"/>
                <w:color w:val="auto"/>
              </w:rPr>
            </w:pPr>
          </w:p>
        </w:tc>
        <w:tc>
          <w:tcPr>
            <w:tcW w:w="5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6"/>
                <w:szCs w:val="16"/>
                <w:color w:val="auto"/>
              </w:rPr>
            </w:pPr>
          </w:p>
        </w:tc>
        <w:tc>
          <w:tcPr>
            <w:tcW w:w="66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540" w:type="dxa"/>
            <w:vAlign w:val="bottom"/>
            <w:gridSpan w:val="3"/>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3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00" w:type="dxa"/>
            <w:vAlign w:val="bottom"/>
            <w:gridSpan w:val="3"/>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adjustment</w:t>
            </w:r>
          </w:p>
        </w:tc>
        <w:tc>
          <w:tcPr>
            <w:tcW w:w="180" w:type="dxa"/>
            <w:vAlign w:val="bottom"/>
            <w:shd w:val="clear" w:color="auto" w:fill="DBDBDB"/>
          </w:tcPr>
          <w:p>
            <w:pPr>
              <w:spacing w:after="0"/>
              <w:rPr>
                <w:sz w:val="21"/>
                <w:szCs w:val="21"/>
                <w:color w:val="auto"/>
              </w:rPr>
            </w:pPr>
          </w:p>
        </w:tc>
        <w:tc>
          <w:tcPr>
            <w:tcW w:w="580" w:type="dxa"/>
            <w:vAlign w:val="bottom"/>
            <w:gridSpan w:val="2"/>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660" w:type="dxa"/>
            <w:vAlign w:val="bottom"/>
            <w:gridSpan w:val="2"/>
            <w:vMerge w:val="continue"/>
            <w:shd w:val="clear" w:color="auto" w:fill="DBDBDB"/>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40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40" w:type="dxa"/>
            <w:vAlign w:val="bottom"/>
            <w:gridSpan w:val="3"/>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500" w:type="dxa"/>
            <w:vAlign w:val="bottom"/>
            <w:gridSpan w:val="3"/>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43,811</w:t>
            </w:r>
          </w:p>
        </w:tc>
        <w:tc>
          <w:tcPr>
            <w:tcW w:w="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(43,811)</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Establishment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of liabilities</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under tax</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agreement</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and related</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changes to</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deferred tax</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associated</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with increases</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in tax basis</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(6,854)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(6,854)</w:t>
            </w:r>
          </w:p>
        </w:tc>
        <w:tc>
          <w:tcPr>
            <w:tcW w:w="0" w:type="dxa"/>
            <w:vAlign w:val="bottom"/>
          </w:tcPr>
          <w:p>
            <w:pPr>
              <w:spacing w:after="0"/>
              <w:rPr>
                <w:sz w:val="1"/>
                <w:szCs w:val="1"/>
                <w:color w:val="auto"/>
              </w:rPr>
            </w:pPr>
          </w:p>
        </w:tc>
      </w:tr>
      <w:tr>
        <w:trPr>
          <w:trHeight w:val="200"/>
        </w:trPr>
        <w:tc>
          <w:tcPr>
            <w:tcW w:w="126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shd w:val="clear" w:color="auto" w:fill="DBDBDB"/>
          </w:tcPr>
          <w:p>
            <w:pPr>
              <w:spacing w:after="0"/>
              <w:rPr>
                <w:sz w:val="17"/>
                <w:szCs w:val="17"/>
                <w:color w:val="auto"/>
              </w:rPr>
            </w:pPr>
          </w:p>
        </w:tc>
        <w:tc>
          <w:tcPr>
            <w:tcW w:w="50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spacing w:after="0"/>
              <w:rPr>
                <w:sz w:val="17"/>
                <w:szCs w:val="17"/>
                <w:color w:val="auto"/>
              </w:rPr>
            </w:pPr>
          </w:p>
        </w:tc>
        <w:tc>
          <w:tcPr>
            <w:tcW w:w="480" w:type="dxa"/>
            <w:vAlign w:val="bottom"/>
            <w:tcBorders>
              <w:top w:val="single" w:sz="8" w:color="auto"/>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360" w:type="dxa"/>
            <w:vAlign w:val="bottom"/>
            <w:tcBorders>
              <w:top w:val="single" w:sz="8" w:color="auto"/>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46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auto"/>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660" w:type="dxa"/>
            <w:vAlign w:val="bottom"/>
            <w:tcBorders>
              <w:top w:val="single" w:sz="8" w:color="auto"/>
            </w:tcBorders>
            <w:shd w:val="clear" w:color="auto" w:fill="DBDBDB"/>
          </w:tcPr>
          <w:p>
            <w:pPr>
              <w:spacing w:after="0"/>
              <w:rPr>
                <w:sz w:val="17"/>
                <w:szCs w:val="17"/>
                <w:color w:val="auto"/>
              </w:rPr>
            </w:pPr>
          </w:p>
        </w:tc>
        <w:tc>
          <w:tcPr>
            <w:tcW w:w="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8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90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September 25,</w:t>
            </w:r>
          </w:p>
        </w:tc>
        <w:tc>
          <w:tcPr>
            <w:tcW w:w="1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2022</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21"/>
                <w:szCs w:val="21"/>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42,225,023</w:t>
            </w:r>
          </w:p>
        </w:tc>
        <w:tc>
          <w:tcPr>
            <w:tcW w:w="80" w:type="dxa"/>
            <w:vAlign w:val="bottom"/>
            <w:shd w:val="clear" w:color="auto" w:fill="DBDBDB"/>
          </w:tcPr>
          <w:p>
            <w:pPr>
              <w:spacing w:after="0"/>
              <w:rPr>
                <w:sz w:val="21"/>
                <w:szCs w:val="21"/>
                <w:color w:val="auto"/>
              </w:rPr>
            </w:pPr>
          </w:p>
        </w:tc>
        <w:tc>
          <w:tcPr>
            <w:tcW w:w="2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421</w:t>
            </w:r>
          </w:p>
        </w:tc>
        <w:tc>
          <w:tcPr>
            <w:tcW w:w="80" w:type="dxa"/>
            <w:vAlign w:val="bottom"/>
            <w:shd w:val="clear" w:color="auto" w:fill="DBDBDB"/>
          </w:tcPr>
          <w:p>
            <w:pPr>
              <w:spacing w:after="0"/>
              <w:rPr>
                <w:sz w:val="21"/>
                <w:szCs w:val="21"/>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29,730,762</w:t>
            </w:r>
          </w:p>
        </w:tc>
        <w:tc>
          <w:tcPr>
            <w:tcW w:w="80" w:type="dxa"/>
            <w:vAlign w:val="bottom"/>
            <w:shd w:val="clear" w:color="auto" w:fill="DBDBDB"/>
          </w:tcPr>
          <w:p>
            <w:pPr>
              <w:spacing w:after="0"/>
              <w:rPr>
                <w:sz w:val="21"/>
                <w:szCs w:val="21"/>
                <w:color w:val="auto"/>
              </w:rPr>
            </w:pPr>
          </w:p>
        </w:tc>
        <w:tc>
          <w:tcPr>
            <w:tcW w:w="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232,031</w:t>
            </w:r>
          </w:p>
        </w:tc>
        <w:tc>
          <w:tcPr>
            <w:tcW w:w="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(9,053)</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220,726</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444,125</w:t>
            </w: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2"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1722120</wp:posOffset>
            </wp:positionV>
            <wp:extent cx="17018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180" cy="13906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type w:val="continuous"/>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229235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page">
              <wp:posOffset>6438900</wp:posOffset>
            </wp:positionH>
            <wp:positionV relativeFrom="page">
              <wp:posOffset>88900</wp:posOffset>
            </wp:positionV>
            <wp:extent cx="1701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018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ind w:right="3440"/>
        <w:spacing w:after="0" w:line="250" w:lineRule="auto"/>
        <w:rPr>
          <w:sz w:val="20"/>
          <w:szCs w:val="20"/>
          <w:color w:val="auto"/>
        </w:rPr>
      </w:pPr>
      <w:r>
        <w:rPr>
          <w:rFonts w:ascii="Arial" w:cs="Arial" w:eastAsia="Arial" w:hAnsi="Arial"/>
          <w:sz w:val="18"/>
          <w:szCs w:val="18"/>
          <w:b w:val="1"/>
          <w:bCs w:val="1"/>
          <w:color w:val="auto"/>
        </w:rPr>
        <w:t>CONDENSED CONSOLIDATED STATEMENTS OF STOCKHOLDERS' AND MEMBERS' EQUITY (UNAUDITED)</w:t>
      </w: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Borders>
              <w:bottom w:val="single" w:sz="8" w:color="auto"/>
            </w:tcBorders>
            <w:gridSpan w:val="24"/>
          </w:tcPr>
          <w:p>
            <w:pPr>
              <w:spacing w:after="0"/>
              <w:rPr>
                <w:sz w:val="20"/>
                <w:szCs w:val="20"/>
                <w:color w:val="auto"/>
              </w:rPr>
            </w:pPr>
            <w:r>
              <w:rPr>
                <w:rFonts w:ascii="Arial" w:cs="Arial" w:eastAsia="Arial" w:hAnsi="Arial"/>
                <w:sz w:val="16"/>
                <w:szCs w:val="16"/>
                <w:b w:val="1"/>
                <w:bCs w:val="1"/>
                <w:color w:val="auto"/>
              </w:rPr>
              <w:t>Three Quarters Ended September 25, 2022 and September 26, 2021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5"/>
            <w:vMerge w:val="restart"/>
          </w:tcPr>
          <w:p>
            <w:pPr>
              <w:jc w:val="right"/>
              <w:ind w:right="18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Class A Common</w:t>
            </w:r>
          </w:p>
        </w:tc>
        <w:tc>
          <w:tcPr>
            <w:tcW w:w="1720" w:type="dxa"/>
            <w:vAlign w:val="bottom"/>
            <w:gridSpan w:val="9"/>
            <w:vMerge w:val="restart"/>
          </w:tcPr>
          <w:p>
            <w:pPr>
              <w:ind w:left="160"/>
              <w:spacing w:after="0"/>
              <w:rPr>
                <w:sz w:val="20"/>
                <w:szCs w:val="20"/>
                <w:color w:val="auto"/>
              </w:rPr>
            </w:pPr>
            <w:r>
              <w:rPr>
                <w:rFonts w:ascii="Arial" w:cs="Arial" w:eastAsia="Arial" w:hAnsi="Arial"/>
                <w:sz w:val="16"/>
                <w:szCs w:val="16"/>
                <w:b w:val="1"/>
                <w:bCs w:val="1"/>
                <w:color w:val="auto"/>
              </w:rPr>
              <w:t>Class B Common</w:t>
            </w: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8"/>
            <w:vMerge w:val="continue"/>
          </w:tcPr>
          <w:p>
            <w:pPr>
              <w:spacing w:after="0"/>
              <w:rPr>
                <w:sz w:val="16"/>
                <w:szCs w:val="16"/>
                <w:color w:val="auto"/>
              </w:rPr>
            </w:pPr>
          </w:p>
        </w:tc>
        <w:tc>
          <w:tcPr>
            <w:tcW w:w="1720" w:type="dxa"/>
            <w:vAlign w:val="bottom"/>
            <w:gridSpan w:val="9"/>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20"/>
                <w:szCs w:val="20"/>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gridSpan w:val="4"/>
          </w:tcPr>
          <w:p>
            <w:pPr>
              <w:ind w:left="40"/>
              <w:spacing w:after="0"/>
              <w:rPr>
                <w:sz w:val="20"/>
                <w:szCs w:val="20"/>
                <w:color w:val="auto"/>
              </w:rPr>
            </w:pPr>
            <w:r>
              <w:rPr>
                <w:rFonts w:ascii="Arial" w:cs="Arial" w:eastAsia="Arial" w:hAnsi="Arial"/>
                <w:sz w:val="16"/>
                <w:szCs w:val="16"/>
                <w:b w:val="1"/>
                <w:bCs w:val="1"/>
                <w:color w:val="auto"/>
              </w:rPr>
              <w:t>Member's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8"/>
        </w:trPr>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Units</w:t>
            </w: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Amounts</w:t>
            </w:r>
          </w:p>
        </w:tc>
        <w:tc>
          <w:tcPr>
            <w:tcW w:w="80" w:type="dxa"/>
            <w:vAlign w:val="bottom"/>
            <w:tcBorders>
              <w:bottom w:val="single" w:sz="8" w:color="auto"/>
            </w:tcBorders>
            <w:shd w:val="clear" w:color="auto" w:fill="000000"/>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7"/>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27,</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2020</w:t>
            </w:r>
          </w:p>
        </w:tc>
        <w:tc>
          <w:tcPr>
            <w:tcW w:w="8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w w:val="96"/>
              </w:rPr>
              <w:t>200,571</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20,404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20,404</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w:t>
            </w:r>
          </w:p>
        </w:tc>
        <w:tc>
          <w:tcPr>
            <w:tcW w:w="2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443</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Repayment of</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subscription</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Issuance of</w:t>
            </w:r>
          </w:p>
        </w:tc>
        <w:tc>
          <w:tcPr>
            <w:tcW w:w="2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common units</w:t>
            </w:r>
          </w:p>
        </w:tc>
        <w:tc>
          <w:tcPr>
            <w:tcW w:w="20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preferred units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accretion</w:t>
            </w: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16,978</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(16,978)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(16,978)</w:t>
            </w:r>
          </w:p>
        </w:tc>
        <w:tc>
          <w:tcPr>
            <w:tcW w:w="0" w:type="dxa"/>
            <w:vAlign w:val="bottom"/>
          </w:tcPr>
          <w:p>
            <w:pPr>
              <w:spacing w:after="0"/>
              <w:rPr>
                <w:sz w:val="1"/>
                <w:szCs w:val="1"/>
                <w:color w:val="auto"/>
              </w:rPr>
            </w:pPr>
          </w:p>
        </w:tc>
      </w:tr>
      <w:tr>
        <w:trPr>
          <w:trHeight w:val="200"/>
        </w:trPr>
        <w:tc>
          <w:tcPr>
            <w:tcW w:w="126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200" w:type="dxa"/>
            <w:vAlign w:val="bottom"/>
            <w:tcBorders>
              <w:top w:val="single" w:sz="8" w:color="auto"/>
            </w:tcBorders>
            <w:shd w:val="clear" w:color="auto" w:fill="DBDBDB"/>
          </w:tcPr>
          <w:p>
            <w:pPr>
              <w:spacing w:after="0"/>
              <w:rPr>
                <w:sz w:val="17"/>
                <w:szCs w:val="17"/>
                <w:color w:val="auto"/>
              </w:rPr>
            </w:pPr>
          </w:p>
        </w:tc>
        <w:tc>
          <w:tcPr>
            <w:tcW w:w="4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480" w:type="dxa"/>
            <w:vAlign w:val="bottom"/>
            <w:tcBorders>
              <w:top w:val="single" w:sz="8" w:color="auto"/>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46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8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60" w:type="dxa"/>
            <w:vAlign w:val="bottom"/>
            <w:tcBorders>
              <w:top w:val="single" w:sz="8" w:color="auto"/>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0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9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spacing w:after="0"/>
              <w:rPr>
                <w:sz w:val="17"/>
                <w:szCs w:val="17"/>
                <w:color w:val="auto"/>
              </w:rPr>
            </w:pPr>
          </w:p>
        </w:tc>
        <w:tc>
          <w:tcPr>
            <w:tcW w:w="88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September 26,</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w w:val="96"/>
              </w:rPr>
              <w:t>217,549</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145,177</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145,177</w:t>
            </w:r>
          </w:p>
        </w:tc>
        <w:tc>
          <w:tcPr>
            <w:tcW w:w="0" w:type="dxa"/>
            <w:vAlign w:val="bottom"/>
          </w:tcPr>
          <w:p>
            <w:pPr>
              <w:spacing w:after="0"/>
              <w:rPr>
                <w:sz w:val="1"/>
                <w:szCs w:val="1"/>
                <w:color w:val="auto"/>
              </w:rPr>
            </w:pPr>
          </w:p>
        </w:tc>
      </w:tr>
      <w:tr>
        <w:trPr>
          <w:trHeight w:val="238"/>
        </w:trPr>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DBDBDB"/>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26,</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35,807,171</w:t>
            </w:r>
          </w:p>
        </w:tc>
        <w:tc>
          <w:tcPr>
            <w:tcW w:w="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DBDBDB"/>
          </w:tcPr>
          <w:p>
            <w:pPr>
              <w:spacing w:after="0"/>
              <w:rPr>
                <w:sz w:val="19"/>
                <w:szCs w:val="19"/>
                <w:color w:val="auto"/>
              </w:rPr>
            </w:pP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186,856</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252,142</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423,406</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14,504</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w:t>
            </w:r>
          </w:p>
        </w:tc>
        <w:tc>
          <w:tcPr>
            <w:tcW w:w="2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5,837</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5,510</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11,347</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Exercise of</w:t>
            </w:r>
          </w:p>
        </w:tc>
        <w:tc>
          <w:tcPr>
            <w:tcW w:w="200" w:type="dxa"/>
            <w:vAlign w:val="bottom"/>
          </w:tcPr>
          <w:p>
            <w:pPr>
              <w:spacing w:after="0"/>
              <w:rPr>
                <w:sz w:val="17"/>
                <w:szCs w:val="17"/>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stock options</w:t>
            </w:r>
          </w:p>
        </w:tc>
        <w:tc>
          <w:tcPr>
            <w:tcW w:w="20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475,293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Redemption</w:t>
            </w:r>
          </w:p>
        </w:tc>
        <w:tc>
          <w:tcPr>
            <w:tcW w:w="2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of LLC</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Interests in</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connection</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with the</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secondary</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offering</w:t>
            </w:r>
          </w:p>
        </w:tc>
        <w:tc>
          <w:tcPr>
            <w:tcW w:w="20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59</w:t>
            </w:r>
          </w:p>
        </w:tc>
        <w:tc>
          <w:tcPr>
            <w:tcW w:w="80" w:type="dxa"/>
            <w:vAlign w:val="bottom"/>
            <w:shd w:val="clear" w:color="auto" w:fill="DBDBDB"/>
          </w:tcPr>
          <w:p>
            <w:pPr>
              <w:spacing w:after="0"/>
              <w:rPr>
                <w:sz w:val="21"/>
                <w:szCs w:val="21"/>
                <w:color w:val="auto"/>
              </w:rPr>
            </w:pP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Non-</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controlling</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adjustment</w:t>
            </w:r>
          </w:p>
        </w:tc>
        <w:tc>
          <w:tcPr>
            <w:tcW w:w="2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44,533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(44,533)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Establishment</w:t>
            </w:r>
          </w:p>
        </w:tc>
        <w:tc>
          <w:tcPr>
            <w:tcW w:w="2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of liabilities</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under tax</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agreement</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and related</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changes to</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tax</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associated</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with increases</w:t>
            </w: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 tax basis</w:t>
            </w:r>
          </w:p>
        </w:tc>
        <w:tc>
          <w:tcPr>
            <w:tcW w:w="200" w:type="dxa"/>
            <w:vAlign w:val="bottom"/>
            <w:shd w:val="clear" w:color="auto" w:fill="DBDBDB"/>
          </w:tcPr>
          <w:p>
            <w:pPr>
              <w:spacing w:after="0"/>
              <w:rPr>
                <w:sz w:val="20"/>
                <w:szCs w:val="20"/>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6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6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8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(6,854)</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(6,854)</w:t>
            </w:r>
          </w:p>
        </w:tc>
        <w:tc>
          <w:tcPr>
            <w:tcW w:w="0" w:type="dxa"/>
            <w:vAlign w:val="bottom"/>
          </w:tcPr>
          <w:p>
            <w:pPr>
              <w:spacing w:after="0"/>
              <w:rPr>
                <w:sz w:val="1"/>
                <w:szCs w:val="1"/>
                <w:color w:val="auto"/>
              </w:rPr>
            </w:pPr>
          </w:p>
        </w:tc>
      </w:tr>
      <w:tr>
        <w:trPr>
          <w:trHeight w:val="200"/>
        </w:trPr>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25,</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42,225,023</w:t>
            </w:r>
          </w:p>
        </w:tc>
        <w:tc>
          <w:tcPr>
            <w:tcW w:w="8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29,730,762</w:t>
            </w:r>
          </w:p>
        </w:tc>
        <w:tc>
          <w:tcPr>
            <w:tcW w:w="8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232,031</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(9,053)</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220,726</w:t>
            </w:r>
          </w:p>
        </w:tc>
        <w:tc>
          <w:tcPr>
            <w:tcW w:w="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444,125</w:t>
            </w: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340"/>
          </w:cols>
          <w:pgMar w:left="320" w:top="122" w:right="239" w:bottom="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2" w:right="239" w:bottom="132"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PORTILLO'S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Three Quarters Ended</w:t>
            </w:r>
          </w:p>
        </w:tc>
      </w:tr>
      <w:tr>
        <w:trPr>
          <w:trHeight w:val="207"/>
        </w:trPr>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25,</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26,</w:t>
            </w:r>
          </w:p>
        </w:tc>
      </w:tr>
      <w:tr>
        <w:trPr>
          <w:trHeight w:val="222"/>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0"/>
        </w:trPr>
        <w:tc>
          <w:tcPr>
            <w:tcW w:w="80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1"/>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r>
      <w:tr>
        <w:trPr>
          <w:trHeight w:val="234"/>
        </w:trPr>
        <w:tc>
          <w:tcPr>
            <w:tcW w:w="8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14,504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20,404</w:t>
            </w:r>
          </w:p>
        </w:tc>
      </w:tr>
      <w:tr>
        <w:trPr>
          <w:trHeight w:val="24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18,225</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debt issuance costs and discount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1,952</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2,877</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Loss on sales of assets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Equity-based compensation</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11,347</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Deferred rent and tenant allowance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3,099</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Deferred income tax expense</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3,511</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Tax Receivable Agreement liability adjustment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deferred lease incentives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Gift card breakage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49"/>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Receivables from related parties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807</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(8,448)</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(3,634)</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Deferred lease incentives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42"/>
        </w:trPr>
        <w:tc>
          <w:tcPr>
            <w:tcW w:w="808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6"/>
                <w:szCs w:val="16"/>
                <w:color w:val="auto"/>
              </w:rPr>
              <w:t>Other assets and liabilities</w:t>
            </w: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(239)</w:t>
            </w:r>
          </w:p>
        </w:tc>
      </w:tr>
      <w:tr>
        <w:trPr>
          <w:trHeight w:val="238"/>
        </w:trPr>
        <w:tc>
          <w:tcPr>
            <w:tcW w:w="80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38,969</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39,891</w:t>
            </w:r>
          </w:p>
        </w:tc>
      </w:tr>
      <w:tr>
        <w:trPr>
          <w:trHeight w:val="238"/>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(27,687)</w:t>
            </w:r>
          </w:p>
        </w:tc>
      </w:tr>
      <w:tr>
        <w:trPr>
          <w:trHeight w:val="249"/>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investment securities</w:t>
            </w:r>
          </w:p>
        </w:tc>
        <w:tc>
          <w:tcPr>
            <w:tcW w:w="160" w:type="dxa"/>
            <w:vAlign w:val="bottom"/>
            <w:shd w:val="clear" w:color="auto" w:fill="DBDBDB"/>
          </w:tcPr>
          <w:p>
            <w:pPr>
              <w:spacing w:after="0"/>
              <w:rPr>
                <w:sz w:val="21"/>
                <w:szCs w:val="21"/>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w:t>
            </w:r>
          </w:p>
        </w:tc>
      </w:tr>
      <w:tr>
        <w:trPr>
          <w:trHeight w:val="235"/>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38"/>
        </w:trPr>
        <w:tc>
          <w:tcPr>
            <w:tcW w:w="80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(29,968)</w:t>
            </w:r>
          </w:p>
        </w:tc>
        <w:tc>
          <w:tcPr>
            <w:tcW w:w="120" w:type="dxa"/>
            <w:vAlign w:val="bottom"/>
            <w:tcBorders>
              <w:bottom w:val="single" w:sz="8" w:color="auto"/>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(27,764)</w:t>
            </w: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long-term debt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(2,493)</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(2,493)</w:t>
            </w: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183,436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Repurchase of outstanding equity / Portillo's OpCo units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(183,436)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stock option exercise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issuance of common units</w:t>
            </w:r>
          </w:p>
        </w:tc>
        <w:tc>
          <w:tcPr>
            <w:tcW w:w="160" w:type="dxa"/>
            <w:vAlign w:val="bottom"/>
            <w:shd w:val="clear" w:color="auto" w:fill="DBDBDB"/>
          </w:tcPr>
          <w:p>
            <w:pPr>
              <w:spacing w:after="0"/>
              <w:rPr>
                <w:sz w:val="21"/>
                <w:szCs w:val="21"/>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Repayment of stock subscription receivable</w:t>
            </w: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42"/>
        </w:trPr>
        <w:tc>
          <w:tcPr>
            <w:tcW w:w="808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(2,108)</w:t>
            </w:r>
          </w:p>
        </w:tc>
      </w:tr>
      <w:tr>
        <w:trPr>
          <w:trHeight w:val="238"/>
        </w:trPr>
        <w:tc>
          <w:tcPr>
            <w:tcW w:w="80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(4,002)</w:t>
            </w:r>
          </w:p>
        </w:tc>
      </w:tr>
      <w:tr>
        <w:trPr>
          <w:trHeight w:val="238"/>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7,459</w:t>
            </w: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8,125</w:t>
            </w:r>
          </w:p>
        </w:tc>
      </w:tr>
      <w:tr>
        <w:trPr>
          <w:trHeight w:val="238"/>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 PERIOD</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r>
      <w:tr>
        <w:trPr>
          <w:trHeight w:val="26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 PERIOD</w:t>
            </w:r>
          </w:p>
        </w:tc>
        <w:tc>
          <w:tcPr>
            <w:tcW w:w="160" w:type="dxa"/>
            <w:vAlign w:val="bottom"/>
            <w:tcBorders>
              <w:bottom w:val="single" w:sz="8" w:color="auto"/>
            </w:tcBorders>
            <w:shd w:val="clear" w:color="auto" w:fill="DBDBDB"/>
          </w:tcPr>
          <w:p>
            <w:pPr>
              <w:spacing w:after="0"/>
              <w:rPr>
                <w:sz w:val="22"/>
                <w:szCs w:val="22"/>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46,722</w:t>
            </w:r>
          </w:p>
        </w:tc>
        <w:tc>
          <w:tcPr>
            <w:tcW w:w="120" w:type="dxa"/>
            <w:vAlign w:val="bottom"/>
            <w:tcBorders>
              <w:bottom w:val="single" w:sz="8" w:color="auto"/>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49,557</w:t>
            </w:r>
          </w:p>
        </w:tc>
      </w:tr>
      <w:tr>
        <w:trPr>
          <w:trHeight w:val="20"/>
        </w:trPr>
        <w:tc>
          <w:tcPr>
            <w:tcW w:w="80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634"/>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Portillo's Inc.</w:t>
            </w:r>
          </w:p>
        </w:tc>
        <w:tc>
          <w:tcPr>
            <w:tcW w:w="1360" w:type="dxa"/>
            <w:vAlign w:val="bottom"/>
          </w:tcPr>
          <w:p>
            <w:pPr>
              <w:jc w:val="right"/>
              <w:spacing w:after="0"/>
              <w:rPr>
                <w:sz w:val="20"/>
                <w:szCs w:val="20"/>
                <w:color w:val="auto"/>
              </w:rPr>
            </w:pPr>
            <w:r>
              <w:rPr>
                <w:rFonts w:ascii="Arial" w:cs="Arial" w:eastAsia="Arial" w:hAnsi="Arial"/>
                <w:sz w:val="18"/>
                <w:szCs w:val="18"/>
                <w:color w:val="auto"/>
              </w:rPr>
              <w:t>Form 10-Q | 7</w:t>
            </w:r>
          </w:p>
        </w:tc>
      </w:tr>
      <w:tr>
        <w:trPr>
          <w:trHeight w:val="112"/>
        </w:trPr>
        <w:tc>
          <w:tcPr>
            <w:tcW w:w="8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-314325</wp:posOffset>
            </wp:positionV>
            <wp:extent cx="170180"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180" cy="16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PORTILLO'S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Quarters Ended</w:t>
            </w:r>
          </w:p>
        </w:tc>
        <w:tc>
          <w:tcPr>
            <w:tcW w:w="0" w:type="dxa"/>
            <w:vAlign w:val="bottom"/>
          </w:tcPr>
          <w:p>
            <w:pPr>
              <w:spacing w:after="0"/>
              <w:rPr>
                <w:sz w:val="1"/>
                <w:szCs w:val="1"/>
                <w:color w:val="auto"/>
              </w:rPr>
            </w:pPr>
          </w:p>
        </w:tc>
      </w:tr>
      <w:tr>
        <w:trPr>
          <w:trHeight w:val="207"/>
        </w:trPr>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25,</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16,856</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29,043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6,823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Redeemable preferred units accretion</w:t>
            </w:r>
          </w:p>
        </w:tc>
        <w:tc>
          <w:tcPr>
            <w:tcW w:w="160" w:type="dxa"/>
            <w:vAlign w:val="bottom"/>
            <w:shd w:val="clear" w:color="auto" w:fill="DBDBDB"/>
          </w:tcPr>
          <w:p>
            <w:pPr>
              <w:spacing w:after="0"/>
              <w:rPr>
                <w:sz w:val="21"/>
                <w:szCs w:val="21"/>
                <w:color w:val="auto"/>
              </w:rPr>
            </w:pPr>
          </w:p>
        </w:tc>
        <w:tc>
          <w:tcPr>
            <w:tcW w:w="14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140"/>
              <w:spacing w:after="0"/>
              <w:rPr>
                <w:sz w:val="20"/>
                <w:szCs w:val="20"/>
                <w:color w:val="auto"/>
              </w:rPr>
            </w:pPr>
            <w:r>
              <w:rPr>
                <w:rFonts w:ascii="Arial" w:cs="Arial" w:eastAsia="Arial" w:hAnsi="Arial"/>
                <w:sz w:val="16"/>
                <w:szCs w:val="16"/>
                <w:color w:val="auto"/>
              </w:rPr>
              <w:t>Deferred offering costs in accounts payable</w:t>
            </w: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Adjustment of Tax Receivable Agreement Liability</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51,112</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5"/>
        </w:trPr>
        <w:tc>
          <w:tcPr>
            <w:tcW w:w="808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Portillo's Inc.</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w w:val="96"/>
              </w:rPr>
              <w:t>Form 10-Q | 8</w:t>
            </w:r>
          </w:p>
        </w:tc>
        <w:tc>
          <w:tcPr>
            <w:tcW w:w="0" w:type="dxa"/>
            <w:vAlign w:val="bottom"/>
          </w:tcPr>
          <w:p>
            <w:pPr>
              <w:spacing w:after="0"/>
              <w:rPr>
                <w:sz w:val="1"/>
                <w:szCs w:val="1"/>
                <w:color w:val="auto"/>
              </w:rPr>
            </w:pPr>
          </w:p>
        </w:tc>
      </w:tr>
      <w:tr>
        <w:trPr>
          <w:trHeight w:val="112"/>
        </w:trPr>
        <w:tc>
          <w:tcPr>
            <w:tcW w:w="8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-314325</wp:posOffset>
            </wp:positionV>
            <wp:extent cx="170180" cy="16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180" cy="16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 public offering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operates fast-casual restaurants in Illinois, Indiana, California, Arizona, Florida, Wisconsin, Minnesota, Iowa and Michigan, along with two food production commissaries in Illinois. As of September 25, 2022 and December 26, 2021, the Company had 70 and 68 restaurants in operation, respectively, excluding a restaurant owned by C&amp;O Chicago, LLC ("C&amp;O"), of which Portillo's owns 50% of the equity. The Company also had two and three non-traditional locations in operation as of September 25, 2022 and December 26, 2021, respectively. These non-traditional locations include a food truck and a ghost kitchen (small kitchen with no store-front presence, used to fill online orders). Portillo's additionally has a 50% interest in a single restaurant owned by C&amp;O, that is referred to in Note 2. The Company’s principal corporate offices are located in Oak Brook, Illinois.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initial public offering ("IPO"), was declared effective October 20, 2021, and the Company's Class A common stock began trading on the Nasdaq Global Select Market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49" w:lineRule="exact"/>
        <w:rPr>
          <w:sz w:val="20"/>
          <w:szCs w:val="20"/>
          <w:color w:val="auto"/>
        </w:rPr>
      </w:pPr>
    </w:p>
    <w:p>
      <w:pPr>
        <w:ind w:left="660" w:right="400" w:hanging="331"/>
        <w:spacing w:after="0" w:line="265"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("LLC Agreement") to, among other things, convert all outstanding equity interests (except for those redeemable preferred units which were redeemed in connection with the IPO) into LLC Units.</w:t>
      </w:r>
    </w:p>
    <w:p>
      <w:pPr>
        <w:spacing w:after="0" w:line="199" w:lineRule="exact"/>
        <w:rPr>
          <w:rFonts w:ascii="Arial" w:cs="Arial" w:eastAsia="Arial" w:hAnsi="Arial"/>
          <w:sz w:val="18"/>
          <w:szCs w:val="18"/>
          <w:color w:val="auto"/>
        </w:rPr>
      </w:pPr>
    </w:p>
    <w:p>
      <w:pPr>
        <w:ind w:left="660" w:right="200" w:hanging="331"/>
        <w:spacing w:after="0" w:line="273" w:lineRule="auto"/>
        <w:tabs>
          <w:tab w:leader="none" w:pos="669"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consolidated the financial results of Portillo’s OpCo, and a portion of our net income was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194" w:lineRule="exact"/>
        <w:rPr>
          <w:rFonts w:ascii="Arial" w:cs="Arial" w:eastAsia="Arial" w:hAnsi="Arial"/>
          <w:sz w:val="17"/>
          <w:szCs w:val="17"/>
          <w:color w:val="auto"/>
        </w:rPr>
      </w:pPr>
    </w:p>
    <w:p>
      <w:pPr>
        <w:ind w:left="660" w:right="20" w:hanging="331"/>
        <w:spacing w:after="0" w:line="259"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classes of common stock: Class A common stock and Class B common stock. Each share of Class A common stock and Class B common stock entitles its holder to one vote per share on all matters submitted to a vote of our stockholders. The Class B common stock is not entitled to economic interests in Portillo’s 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and cash on hand were used as follows:</w:t>
      </w:r>
    </w:p>
    <w:p>
      <w:pPr>
        <w:spacing w:after="0" w:line="249" w:lineRule="exact"/>
        <w:rPr>
          <w:sz w:val="20"/>
          <w:szCs w:val="20"/>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5" w:lineRule="exact"/>
        <w:rPr>
          <w:rFonts w:ascii="Arial" w:cs="Arial" w:eastAsia="Arial" w:hAnsi="Arial"/>
          <w:sz w:val="18"/>
          <w:szCs w:val="18"/>
          <w:color w:val="auto"/>
        </w:rPr>
      </w:pPr>
    </w:p>
    <w:p>
      <w:pPr>
        <w:ind w:left="660" w:right="1180" w:hanging="331"/>
        <w:spacing w:after="0" w:line="24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pursuant to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 We will retain the benefit of the remaining 15% of these tax savings.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5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third quarter of 2022, the Company completed a secondary offering of 8,066,458 shares (including 66,458 shares sold to the underwriters pursuant to their overallotment option) of the Company's Class A common stock at an offering price of $23.75 per share. We used all of the net proceeds from the secondary offering to purchase LLC Units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All of the shares sold in the offering represented shares owned by pre-IPO LLC Members directly or indirectly through the Blocker Companies. The shares sold in the offering represented (i) 2,123,899 existing shares of Class A common stock held by the pre-IPO LLC Members and (ii) 5,942,559 newly-issued shares of Class A common stock issued in connection with the redemption of 5,942,559 LLC interests by the pre-IPO LLC Members. In connection with the redemption, 5,942,559 shares of Class B common stock were surrendered by the pre-IPO LLC Members and canceled and the Company received 5,942,559 newly-issued LLC interests, increasing the Company's total ownership interest in Portillo's OpCo. As of September 25, 2022, the Company owns 58.7% of Portillo's OpCo and the pre-IPO LLC Members own the remaining 41.3% of Portillo's OpCo.</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r>
      <w:r>
        <w:rPr>
          <w:sz w:val="20"/>
          <w:szCs w:val="20"/>
          <w:color w:val="auto"/>
        </w:rPr>
        <w:tab/>
      </w:r>
      <w:r>
        <w:rPr>
          <w:rFonts w:ascii="Arial" w:cs="Arial" w:eastAsia="Arial" w:hAnsi="Arial"/>
          <w:sz w:val="24"/>
          <w:szCs w:val="24"/>
          <w:b w:val="1"/>
          <w:bCs w:val="1"/>
          <w:color w:val="414042"/>
        </w:rPr>
        <w:t>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5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thereto for the fiscal year ended December 26, 2021 included in our Annual Report on Form 10-K for the fiscal year ended December 26,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4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consolidated financial statements, and therefore, does not separately present a statement of comprehensive income (loss).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4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Company owns and operates fast-casual restaurants in the United States, along with two food production commissaries in Illinois. The Company’s chief operating decision maker (the “CODM”) is its Chief Executive Officer ("CEO"). The CODM reviews financial performance and allocates resources at a consolidated level on a recurring basis. The Company has one operating segment and one reportable segment.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uses a 52- or 53-week fiscal year ending on the Sunday prior to December 31. In a 52-week fiscal year, each quarterly period is comprised of 13 weeks. The additional week in a 53-week fiscal year is added to the fourth quarter. Fiscal 2022 and 2021 each consist of 52 weeks. The fiscal periods presented in this report are the quarter and three quarters ended September 25, 2022 and September 26, 2021,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44"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Reverse Common Unit Split</w:t>
      </w:r>
    </w:p>
    <w:p>
      <w:pPr>
        <w:spacing w:after="0" w:line="257"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On October 20, 2021, the members of Portillo's OpCo executed the Second Amended and Restated Limited Liability Company Agreement for Portillo's OpCo, effecting a 7.4-for-1 reverse common unit split. All applicable unit data, per unit amounts and related information in the consolidated financial statements and notes thereto have been adjusted retroactively to give effect to the 7.4-for-1 reverse common unit split.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 Recognition</w:t>
      </w:r>
    </w:p>
    <w:p>
      <w:pPr>
        <w:spacing w:after="0" w:line="244" w:lineRule="exact"/>
        <w:rPr>
          <w:sz w:val="20"/>
          <w:szCs w:val="20"/>
          <w:color w:val="auto"/>
        </w:rPr>
      </w:pPr>
    </w:p>
    <w:p>
      <w:pPr>
        <w:jc w:val="both"/>
        <w:ind w:right="600"/>
        <w:spacing w:after="0" w:line="265"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expenses on the Company’s consolidated balance sheet until the taxes are remitted to the appropriate taxing authorities.</w:t>
      </w:r>
    </w:p>
    <w:p>
      <w:pPr>
        <w:spacing w:after="0" w:line="1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offers delivery services to its customers. For delivery sales through Portillos.com or the Portillo's App, the Company recognizes revenue, including delivery fees, when the performance obligation is complete and the food is transferred to the customer. For delivery sales through a non-Company owned channel, such as the delivery partner’s website or app, we recognize marketplace sales, including third-party delivery menu price premiums, as revenue when the control of the food is transferred to the delivery service, excluding any delivery or service fees charged to the customer. Prior to the end of 2021, this price premium was previously recorded in Cost of goods sold, excluding depreciation and amortization. At the end of 2021, the Company began to record the difference in higher third -party delivery menu prices, versus regular menu prices, in revenue. The amount of the price premium recorded in 2021 and prior periods is not material and there is no anticipated or actual impact on operating income or net income for any period.</w:t>
      </w:r>
    </w:p>
    <w:p>
      <w:pPr>
        <w:spacing w:after="0" w:line="21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Generally, revenue is recognized as promised goods or services transfer to the guest or customer in an amount that reflects the consideration we expect to be entitled to in exchange for those goods or services. Revenues are recognized when payment is tendered at the point of sale as the performance obligation has been satisfied. Refer to Note 3. Revenue Recognition for additional detail.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Inventory</w:t>
      </w:r>
    </w:p>
    <w:p>
      <w:pPr>
        <w:spacing w:after="0" w:line="257"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color w:val="auto"/>
        </w:rPr>
        <w:t>The Company operates two commissaries to supply the Company's restaurants with several products and ensures product consistency and quality. The commissaries derive revenue principally from the sale and distribution of food to our distributors, who, in turn, sell the food to the restaurants. This is considered under ASC 845, Non-Monetary Transactions and the impact on the statement of operations is not material.</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These products are held as inventory at distributors on a short-term consignment basis. Inventories subject to these consignment arrangements are recorded on the Company’s consolidated balance sheet and totaled $0.8 million and $0.4 million as of September 25, 2022 and December 26, 2021,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 Method Investment</w:t>
      </w:r>
    </w:p>
    <w:p>
      <w:pPr>
        <w:spacing w:after="0" w:line="217" w:lineRule="exact"/>
        <w:rPr>
          <w:sz w:val="20"/>
          <w:szCs w:val="20"/>
          <w:color w:val="auto"/>
        </w:rPr>
      </w:pPr>
    </w:p>
    <w:p>
      <w:pPr>
        <w:ind w:right="420"/>
        <w:spacing w:after="0" w:line="249" w:lineRule="auto"/>
        <w:rPr>
          <w:sz w:val="20"/>
          <w:szCs w:val="20"/>
          <w:color w:val="auto"/>
        </w:rPr>
      </w:pPr>
      <w:r>
        <w:rPr>
          <w:rFonts w:ascii="Arial" w:cs="Arial" w:eastAsia="Arial" w:hAnsi="Arial"/>
          <w:sz w:val="18"/>
          <w:szCs w:val="18"/>
          <w:color w:val="auto"/>
        </w:rPr>
        <w:t>The Company has a 50% interest in C&amp;O. The Company accounts for the investment and financial results in the consolidated financial statements under the equity method of accounting as the Company has significant influence but does not have control. The investment is adjusted to reflect the Company’s share of C&amp;O’s earnings and losses to date and any distributions received.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February 2016, the FASB issued Accounting Standards Update ("ASU") No. 2016-02, Leases (Topic 842) ("ASC 842"), along with related clarifications and improvements. The pronouncement requires lessees to recognize a lease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will adopt this standard for the annual period ending December 25, 2022. We expect the adoption of this standard will have a significant impact on the Company’s consolidated balance sheet as we recognize the operating lease assets and lease liabilities for our operating leases. The guidance is not expected to have a material impact on the condensed consolidated statements of operations, stockholders' equity, and cash flows.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guidance is not expected to have a material impact on the Company's consolidated financial statements.</w:t>
      </w:r>
    </w:p>
    <w:p>
      <w:pPr>
        <w:spacing w:after="0" w:line="209"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7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r>
      <w:r>
        <w:rPr>
          <w:sz w:val="20"/>
          <w:szCs w:val="20"/>
          <w:color w:val="auto"/>
        </w:rPr>
        <w:tab/>
      </w:r>
      <w:r>
        <w:rPr>
          <w:rFonts w:ascii="Arial" w:cs="Arial" w:eastAsia="Arial" w:hAnsi="Arial"/>
          <w:sz w:val="24"/>
          <w:szCs w:val="24"/>
          <w:b w:val="1"/>
          <w:bCs w:val="1"/>
          <w:color w:val="414042"/>
        </w:rPr>
        <w:t>REVENUE RECOGNITION</w:t>
      </w:r>
    </w:p>
    <w:p>
      <w:pPr>
        <w:spacing w:after="0" w:line="268"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199"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The Company offers delivery services to its customers. Delivery services are fulfilled by the Company and third-party service providers. In some cases, the Company makes delivery sales through Portillos.com or the Portillo's App ("Dispatch Sales"). In other cases, the Company makes delivery sales through a non-Company owned channel, such as the delivery partner’s website or app (“Marketplace Sales”).</w:t>
      </w:r>
    </w:p>
    <w:p>
      <w:pPr>
        <w:spacing w:after="0" w:line="181"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With respect to Dispatch Sales, delivery may be performed by the Company or through a third-party service provider. The Company recognizes revenue, including delivery fees, when the performance obligation is complete and the food is transferred to the customer. For these sales, the Company receives payment directly from the customer at the time of sale.</w:t>
      </w:r>
    </w:p>
    <w:p>
      <w:pPr>
        <w:spacing w:after="0" w:line="1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 respect to Marketplace Sales, the Company recognizes revenue, including third-party menu price premiums, excluding delivery or service fees collected by the delivery partner, when the performance obligation is complete, and control of the food is transferred to the delivery partner. The Company receives payment subsequent to the transfer of food. The payment terms with respect to Marketplace Sales are short-term in nature and are generally paid one week in arrears.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condensed consolidated statements of operations. The Company recognized gift card breakage of $ 0.1 million and $0.6 million for the quarter and three quarters ended September 25, 2022, respectively, and $0.1 million and $0.6 million for the quarter and three quarters ended September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included in current deferred revenue on the consolidated balance sheets is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8"/>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620" w:type="dxa"/>
            <w:vAlign w:val="bottom"/>
            <w:tcBorders>
              <w:top w:val="single" w:sz="8" w:color="auto"/>
            </w:tcBorders>
            <w:shd w:val="clear" w:color="auto" w:fill="DBDBDB"/>
          </w:tcPr>
          <w:p>
            <w:pPr>
              <w:jc w:val="right"/>
              <w:ind w:right="4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3,975</w:t>
            </w:r>
          </w:p>
        </w:tc>
        <w:tc>
          <w:tcPr>
            <w:tcW w:w="12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6,606</w:t>
            </w:r>
          </w:p>
        </w:tc>
      </w:tr>
    </w:tbl>
    <w:p>
      <w:pPr>
        <w:spacing w:after="0" w:line="31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liability balances at the beginning of the year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Quarter Ended</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Three Quarters Ended</w:t>
            </w:r>
          </w:p>
        </w:tc>
        <w:tc>
          <w:tcPr>
            <w:tcW w:w="640" w:type="dxa"/>
            <w:vAlign w:val="bottom"/>
          </w:tcPr>
          <w:p>
            <w:pPr>
              <w:spacing w:after="0"/>
              <w:rPr>
                <w:sz w:val="19"/>
                <w:szCs w:val="19"/>
                <w:color w:val="auto"/>
              </w:rPr>
            </w:pPr>
          </w:p>
        </w:tc>
      </w:tr>
      <w:tr>
        <w:trPr>
          <w:trHeight w:val="245"/>
        </w:trPr>
        <w:tc>
          <w:tcPr>
            <w:tcW w:w="4520" w:type="dxa"/>
            <w:vAlign w:val="bottom"/>
          </w:tcPr>
          <w:p>
            <w:pPr>
              <w:spacing w:after="0"/>
              <w:rPr>
                <w:sz w:val="21"/>
                <w:szCs w:val="21"/>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25, 2022</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184"/>
        </w:trPr>
        <w:tc>
          <w:tcPr>
            <w:tcW w:w="45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w:t>
            </w:r>
          </w:p>
        </w:tc>
        <w:tc>
          <w:tcPr>
            <w:tcW w:w="600" w:type="dxa"/>
            <w:vAlign w:val="bottom"/>
            <w:tcBorders>
              <w:top w:val="single" w:sz="8" w:color="auto"/>
            </w:tcBorders>
            <w:shd w:val="clear" w:color="auto" w:fill="DBDBDB"/>
          </w:tcPr>
          <w:p>
            <w:pPr>
              <w:spacing w:after="0"/>
              <w:rPr>
                <w:sz w:val="15"/>
                <w:szCs w:val="15"/>
                <w:color w:val="auto"/>
              </w:rPr>
            </w:pPr>
          </w:p>
        </w:tc>
        <w:tc>
          <w:tcPr>
            <w:tcW w:w="100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880" w:type="dxa"/>
            <w:vAlign w:val="bottom"/>
            <w:tcBorders>
              <w:top w:val="single" w:sz="8" w:color="auto"/>
            </w:tcBorders>
            <w:shd w:val="clear" w:color="auto" w:fill="DBDBDB"/>
          </w:tcPr>
          <w:p>
            <w:pPr>
              <w:spacing w:after="0"/>
              <w:rPr>
                <w:sz w:val="15"/>
                <w:szCs w:val="15"/>
                <w:color w:val="auto"/>
              </w:rPr>
            </w:pPr>
          </w:p>
        </w:tc>
        <w:tc>
          <w:tcPr>
            <w:tcW w:w="760" w:type="dxa"/>
            <w:vAlign w:val="bottom"/>
            <w:tcBorders>
              <w:top w:val="single" w:sz="8" w:color="auto"/>
            </w:tcBorders>
            <w:shd w:val="clear" w:color="auto" w:fill="DBDBDB"/>
          </w:tcPr>
          <w:p>
            <w:pPr>
              <w:spacing w:after="0"/>
              <w:rPr>
                <w:sz w:val="15"/>
                <w:szCs w:val="15"/>
                <w:color w:val="auto"/>
              </w:rPr>
            </w:pPr>
          </w:p>
        </w:tc>
        <w:tc>
          <w:tcPr>
            <w:tcW w:w="520" w:type="dxa"/>
            <w:vAlign w:val="bottom"/>
            <w:tcBorders>
              <w:top w:val="single" w:sz="8" w:color="auto"/>
            </w:tcBorders>
            <w:shd w:val="clear" w:color="auto" w:fill="DBDBDB"/>
          </w:tcPr>
          <w:p>
            <w:pPr>
              <w:spacing w:after="0"/>
              <w:rPr>
                <w:sz w:val="15"/>
                <w:szCs w:val="15"/>
                <w:color w:val="auto"/>
              </w:rPr>
            </w:pPr>
          </w:p>
        </w:tc>
        <w:tc>
          <w:tcPr>
            <w:tcW w:w="1180" w:type="dxa"/>
            <w:vAlign w:val="bottom"/>
            <w:tcBorders>
              <w:top w:val="single" w:sz="8" w:color="auto"/>
            </w:tcBorders>
            <w:shd w:val="clear" w:color="auto" w:fill="DBDBDB"/>
          </w:tcPr>
          <w:p>
            <w:pPr>
              <w:spacing w:after="0"/>
              <w:rPr>
                <w:sz w:val="15"/>
                <w:szCs w:val="15"/>
                <w:color w:val="auto"/>
              </w:rPr>
            </w:pPr>
          </w:p>
        </w:tc>
        <w:tc>
          <w:tcPr>
            <w:tcW w:w="1040" w:type="dxa"/>
            <w:vAlign w:val="bottom"/>
            <w:tcBorders>
              <w:top w:val="single" w:sz="8" w:color="auto"/>
            </w:tcBorders>
            <w:shd w:val="clear" w:color="auto" w:fill="DBDBDB"/>
          </w:tcPr>
          <w:p>
            <w:pPr>
              <w:spacing w:after="0"/>
              <w:rPr>
                <w:sz w:val="15"/>
                <w:szCs w:val="15"/>
                <w:color w:val="auto"/>
              </w:rPr>
            </w:pPr>
          </w:p>
        </w:tc>
        <w:tc>
          <w:tcPr>
            <w:tcW w:w="640" w:type="dxa"/>
            <w:vAlign w:val="bottom"/>
            <w:tcBorders>
              <w:top w:val="single" w:sz="8" w:color="auto"/>
            </w:tcBorders>
            <w:shd w:val="clear" w:color="auto" w:fill="DBDBDB"/>
          </w:tcPr>
          <w:p>
            <w:pPr>
              <w:spacing w:after="0"/>
              <w:rPr>
                <w:sz w:val="15"/>
                <w:szCs w:val="15"/>
                <w:color w:val="auto"/>
              </w:rPr>
            </w:pPr>
          </w:p>
        </w:tc>
      </w:tr>
      <w:tr>
        <w:trPr>
          <w:trHeight w:val="242"/>
        </w:trPr>
        <w:tc>
          <w:tcPr>
            <w:tcW w:w="4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of the year</w:t>
            </w:r>
          </w:p>
        </w:tc>
        <w:tc>
          <w:tcPr>
            <w:tcW w:w="600" w:type="dxa"/>
            <w:vAlign w:val="bottom"/>
            <w:shd w:val="clear" w:color="auto" w:fill="DBDBDB"/>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jc w:val="right"/>
              <w:ind w:right="68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ind w:right="20"/>
              <w:spacing w:after="0"/>
              <w:rPr>
                <w:sz w:val="20"/>
                <w:szCs w:val="20"/>
                <w:color w:val="auto"/>
              </w:rPr>
            </w:pPr>
            <w:r>
              <w:rPr>
                <w:rFonts w:ascii="Arial" w:cs="Arial" w:eastAsia="Arial" w:hAnsi="Arial"/>
                <w:sz w:val="16"/>
                <w:szCs w:val="16"/>
                <w:color w:val="auto"/>
              </w:rPr>
              <w:t>446</w:t>
            </w:r>
          </w:p>
        </w:tc>
        <w:tc>
          <w:tcPr>
            <w:tcW w:w="520" w:type="dxa"/>
            <w:vAlign w:val="bottom"/>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20"/>
              <w:spacing w:after="0"/>
              <w:rPr>
                <w:sz w:val="20"/>
                <w:szCs w:val="20"/>
                <w:color w:val="auto"/>
              </w:rPr>
            </w:pPr>
            <w:r>
              <w:rPr>
                <w:rFonts w:ascii="Arial" w:cs="Arial" w:eastAsia="Arial" w:hAnsi="Arial"/>
                <w:sz w:val="16"/>
                <w:szCs w:val="16"/>
                <w:color w:val="auto"/>
              </w:rPr>
              <w:t>3,215</w:t>
            </w:r>
          </w:p>
        </w:tc>
        <w:tc>
          <w:tcPr>
            <w:tcW w:w="1040" w:type="dxa"/>
            <w:vAlign w:val="bottom"/>
            <w:shd w:val="clear" w:color="auto" w:fill="DBDBDB"/>
          </w:tcPr>
          <w:p>
            <w:pPr>
              <w:jc w:val="right"/>
              <w:ind w:right="78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2,923</w:t>
            </w:r>
          </w:p>
        </w:tc>
      </w:tr>
    </w:tbl>
    <w:p>
      <w:pPr>
        <w:spacing w:after="0" w:line="29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r>
      <w:r>
        <w:rPr>
          <w:sz w:val="20"/>
          <w:szCs w:val="20"/>
          <w:color w:val="auto"/>
        </w:rPr>
        <w:tab/>
      </w:r>
      <w:r>
        <w:rPr>
          <w:rFonts w:ascii="Arial" w:cs="Arial" w:eastAsia="Arial" w:hAnsi="Arial"/>
          <w:sz w:val="24"/>
          <w:szCs w:val="24"/>
          <w:b w:val="1"/>
          <w:bCs w:val="1"/>
          <w:color w:val="414042"/>
        </w:rPr>
        <w:t>INVENTORY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8"/>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620" w:type="dxa"/>
            <w:vAlign w:val="bottom"/>
            <w:tcBorders>
              <w:top w:val="single" w:sz="8" w:color="auto"/>
            </w:tcBorders>
            <w:shd w:val="clear" w:color="auto" w:fill="DBDBDB"/>
          </w:tcPr>
          <w:p>
            <w:pPr>
              <w:jc w:val="right"/>
              <w:ind w:right="4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3,951</w:t>
            </w:r>
          </w:p>
        </w:tc>
        <w:tc>
          <w:tcPr>
            <w:tcW w:w="12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4,181</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49"/>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62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1,395</w:t>
            </w:r>
          </w:p>
        </w:tc>
      </w:tr>
      <w:tr>
        <w:trPr>
          <w:trHeight w:val="235"/>
        </w:trPr>
        <w:tc>
          <w:tcPr>
            <w:tcW w:w="79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DBDBDB"/>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60"/>
        </w:trPr>
        <w:tc>
          <w:tcPr>
            <w:tcW w:w="7920" w:type="dxa"/>
            <w:vAlign w:val="bottom"/>
            <w:tcBorders>
              <w:bottom w:val="single" w:sz="8" w:color="DBDBDB"/>
            </w:tcBorders>
            <w:shd w:val="clear" w:color="auto" w:fill="DBDBDB"/>
          </w:tcPr>
          <w:p>
            <w:pPr>
              <w:spacing w:after="0"/>
              <w:rPr>
                <w:sz w:val="22"/>
                <w:szCs w:val="22"/>
                <w:color w:val="auto"/>
              </w:rPr>
            </w:pPr>
          </w:p>
        </w:tc>
        <w:tc>
          <w:tcPr>
            <w:tcW w:w="620" w:type="dxa"/>
            <w:vAlign w:val="bottom"/>
            <w:tcBorders>
              <w:bottom w:val="single" w:sz="8" w:color="auto"/>
            </w:tcBorders>
            <w:shd w:val="clear" w:color="auto" w:fill="DBDBDB"/>
          </w:tcPr>
          <w:p>
            <w:pPr>
              <w:jc w:val="right"/>
              <w:ind w:right="4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5,934</w:t>
            </w:r>
          </w:p>
        </w:tc>
        <w:tc>
          <w:tcPr>
            <w:tcW w:w="120" w:type="dxa"/>
            <w:vAlign w:val="bottom"/>
            <w:tcBorders>
              <w:bottom w:val="single" w:sz="8" w:color="DBDBDB"/>
            </w:tcBorders>
            <w:shd w:val="clear" w:color="auto" w:fill="DBDBDB"/>
          </w:tcPr>
          <w:p>
            <w:pPr>
              <w:spacing w:after="0"/>
              <w:rPr>
                <w:sz w:val="22"/>
                <w:szCs w:val="22"/>
                <w:color w:val="auto"/>
              </w:rPr>
            </w:pPr>
          </w:p>
        </w:tc>
        <w:tc>
          <w:tcPr>
            <w:tcW w:w="620" w:type="dxa"/>
            <w:vAlign w:val="bottom"/>
            <w:tcBorders>
              <w:bottom w:val="single" w:sz="8" w:color="auto"/>
            </w:tcBorders>
            <w:shd w:val="clear" w:color="auto" w:fill="DBDBDB"/>
          </w:tcPr>
          <w:p>
            <w:pPr>
              <w:jc w:val="right"/>
              <w:ind w:right="4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6,078</w:t>
            </w:r>
          </w:p>
        </w:tc>
      </w:tr>
      <w:tr>
        <w:trPr>
          <w:trHeight w:val="20"/>
        </w:trPr>
        <w:tc>
          <w:tcPr>
            <w:tcW w:w="792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8"/>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500" w:type="dxa"/>
            <w:vAlign w:val="bottom"/>
            <w:tcBorders>
              <w:top w:val="single" w:sz="8" w:color="auto"/>
            </w:tcBorders>
            <w:shd w:val="clear" w:color="auto" w:fill="DBDBDB"/>
          </w:tcPr>
          <w:p>
            <w:pPr>
              <w:jc w:val="right"/>
              <w:ind w:right="3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15,920</w:t>
            </w:r>
          </w:p>
        </w:tc>
        <w:tc>
          <w:tcPr>
            <w:tcW w:w="120" w:type="dxa"/>
            <w:vAlign w:val="bottom"/>
            <w:tcBorders>
              <w:top w:val="single" w:sz="8" w:color="DBDBDB"/>
            </w:tcBorders>
            <w:shd w:val="clear" w:color="auto" w:fill="DBDBDB"/>
          </w:tcPr>
          <w:p>
            <w:pPr>
              <w:spacing w:after="0"/>
              <w:rPr>
                <w:sz w:val="20"/>
                <w:szCs w:val="20"/>
                <w:color w:val="auto"/>
              </w:rPr>
            </w:pPr>
          </w:p>
        </w:tc>
        <w:tc>
          <w:tcPr>
            <w:tcW w:w="520" w:type="dxa"/>
            <w:vAlign w:val="bottom"/>
            <w:tcBorders>
              <w:top w:val="single" w:sz="8" w:color="auto"/>
            </w:tcBorders>
            <w:shd w:val="clear" w:color="auto" w:fill="DBDBDB"/>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15,451</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119,271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115,187</w:t>
            </w:r>
          </w:p>
        </w:tc>
      </w:tr>
      <w:tr>
        <w:trPr>
          <w:trHeight w:val="249"/>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50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147,535</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138,923</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42"/>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50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28,952</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8,300</w:t>
            </w:r>
          </w:p>
        </w:tc>
      </w:tr>
      <w:tr>
        <w:trPr>
          <w:trHeight w:val="234"/>
        </w:trPr>
        <w:tc>
          <w:tcPr>
            <w:tcW w:w="7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313,959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280,064</w:t>
            </w:r>
          </w:p>
        </w:tc>
      </w:tr>
      <w:tr>
        <w:trPr>
          <w:trHeight w:val="242"/>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50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(102,218)</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(89,230)</w:t>
            </w:r>
          </w:p>
        </w:tc>
      </w:tr>
      <w:tr>
        <w:trPr>
          <w:trHeight w:val="235"/>
        </w:trPr>
        <w:tc>
          <w:tcPr>
            <w:tcW w:w="7920" w:type="dxa"/>
            <w:vAlign w:val="bottom"/>
          </w:tcPr>
          <w:p>
            <w:pPr>
              <w:spacing w:after="0"/>
              <w:rPr>
                <w:sz w:val="20"/>
                <w:szCs w:val="20"/>
                <w:color w:val="auto"/>
              </w:rPr>
            </w:pP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211,741</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190,834</w:t>
            </w:r>
          </w:p>
        </w:tc>
      </w:tr>
      <w:tr>
        <w:trPr>
          <w:trHeight w:val="27"/>
        </w:trPr>
        <w:tc>
          <w:tcPr>
            <w:tcW w:w="79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0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Depreciation expense was $4.5 million and $13.4 million for the quarter and three quarters ended September 25, 2022, respectively, and $4.3 million and $ 12.6 million for the quarter and three quarters ended September 26, 2021, respectively, and is included in depreciation and amortization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r>
      <w:r>
        <w:rPr>
          <w:sz w:val="20"/>
          <w:szCs w:val="20"/>
          <w:color w:val="auto"/>
        </w:rPr>
        <w:tab/>
      </w:r>
      <w:r>
        <w:rPr>
          <w:rFonts w:ascii="Arial" w:cs="Arial" w:eastAsia="Arial" w:hAnsi="Arial"/>
          <w:sz w:val="24"/>
          <w:szCs w:val="24"/>
          <w:b w:val="1"/>
          <w:bCs w:val="1"/>
          <w:color w:val="414042"/>
        </w:rPr>
        <w:t>GOODWILL &amp;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 of September 25, 2022</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51"/>
        </w:trPr>
        <w:tc>
          <w:tcPr>
            <w:tcW w:w="5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5"/>
        </w:trPr>
        <w:tc>
          <w:tcPr>
            <w:tcW w:w="5000" w:type="dxa"/>
            <w:vAlign w:val="bottom"/>
          </w:tcPr>
          <w:p>
            <w:pPr>
              <w:spacing w:after="0"/>
              <w:rPr>
                <w:sz w:val="19"/>
                <w:szCs w:val="19"/>
                <w:color w:val="auto"/>
              </w:rPr>
            </w:pPr>
          </w:p>
        </w:tc>
        <w:tc>
          <w:tcPr>
            <w:tcW w:w="212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00" w:type="dxa"/>
            <w:vAlign w:val="bottom"/>
          </w:tcPr>
          <w:p>
            <w:pPr>
              <w:spacing w:after="0"/>
              <w:rPr>
                <w:sz w:val="19"/>
                <w:szCs w:val="19"/>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1860" w:type="dxa"/>
            <w:vAlign w:val="bottom"/>
          </w:tcPr>
          <w:p>
            <w:pPr>
              <w:jc w:val="right"/>
              <w:ind w:right="120"/>
              <w:spacing w:after="0"/>
              <w:rPr>
                <w:sz w:val="20"/>
                <w:szCs w:val="20"/>
                <w:color w:val="auto"/>
              </w:rPr>
            </w:pPr>
            <w:r>
              <w:rPr>
                <w:rFonts w:ascii="Arial" w:cs="Arial" w:eastAsia="Arial" w:hAnsi="Arial"/>
                <w:sz w:val="16"/>
                <w:szCs w:val="16"/>
                <w:b w:val="1"/>
                <w:bCs w:val="1"/>
                <w:color w:val="auto"/>
              </w:rPr>
              <w:t>Net Carrying Amount</w:t>
            </w:r>
          </w:p>
        </w:tc>
      </w:tr>
      <w:tr>
        <w:trPr>
          <w:trHeight w:val="252"/>
        </w:trPr>
        <w:tc>
          <w:tcPr>
            <w:tcW w:w="50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41"/>
        </w:trPr>
        <w:tc>
          <w:tcPr>
            <w:tcW w:w="5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r>
      <w:tr>
        <w:trPr>
          <w:trHeight w:val="234"/>
        </w:trPr>
        <w:tc>
          <w:tcPr>
            <w:tcW w:w="50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4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5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0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(23,594)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32,523</w:t>
            </w:r>
          </w:p>
        </w:tc>
      </w:tr>
      <w:tr>
        <w:trPr>
          <w:trHeight w:val="242"/>
        </w:trPr>
        <w:tc>
          <w:tcPr>
            <w:tcW w:w="5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955</w:t>
            </w:r>
          </w:p>
        </w:tc>
      </w:tr>
      <w:tr>
        <w:trPr>
          <w:trHeight w:val="235"/>
        </w:trPr>
        <w:tc>
          <w:tcPr>
            <w:tcW w:w="5000" w:type="dxa"/>
            <w:vAlign w:val="bottom"/>
          </w:tcPr>
          <w:p>
            <w:pPr>
              <w:spacing w:after="0"/>
              <w:rPr>
                <w:sz w:val="20"/>
                <w:szCs w:val="20"/>
                <w:color w:val="auto"/>
              </w:rPr>
            </w:pPr>
          </w:p>
        </w:tc>
        <w:tc>
          <w:tcPr>
            <w:tcW w:w="7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283,033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257,403</w:t>
            </w:r>
          </w:p>
        </w:tc>
      </w:tr>
      <w:tr>
        <w:trPr>
          <w:trHeight w:val="27"/>
        </w:trPr>
        <w:tc>
          <w:tcPr>
            <w:tcW w:w="5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As of December 26, 2021</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51"/>
        </w:trPr>
        <w:tc>
          <w:tcPr>
            <w:tcW w:w="5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5"/>
        </w:trPr>
        <w:tc>
          <w:tcPr>
            <w:tcW w:w="5000" w:type="dxa"/>
            <w:vAlign w:val="bottom"/>
          </w:tcPr>
          <w:p>
            <w:pPr>
              <w:spacing w:after="0"/>
              <w:rPr>
                <w:sz w:val="19"/>
                <w:szCs w:val="19"/>
                <w:color w:val="auto"/>
              </w:rPr>
            </w:pPr>
          </w:p>
        </w:tc>
        <w:tc>
          <w:tcPr>
            <w:tcW w:w="212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00" w:type="dxa"/>
            <w:vAlign w:val="bottom"/>
          </w:tcPr>
          <w:p>
            <w:pPr>
              <w:spacing w:after="0"/>
              <w:rPr>
                <w:sz w:val="19"/>
                <w:szCs w:val="19"/>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1860" w:type="dxa"/>
            <w:vAlign w:val="bottom"/>
          </w:tcPr>
          <w:p>
            <w:pPr>
              <w:jc w:val="right"/>
              <w:ind w:right="120"/>
              <w:spacing w:after="0"/>
              <w:rPr>
                <w:sz w:val="20"/>
                <w:szCs w:val="20"/>
                <w:color w:val="auto"/>
              </w:rPr>
            </w:pPr>
            <w:r>
              <w:rPr>
                <w:rFonts w:ascii="Arial" w:cs="Arial" w:eastAsia="Arial" w:hAnsi="Arial"/>
                <w:sz w:val="16"/>
                <w:szCs w:val="16"/>
                <w:b w:val="1"/>
                <w:bCs w:val="1"/>
                <w:color w:val="auto"/>
              </w:rPr>
              <w:t>Net Carrying Amount</w:t>
            </w:r>
          </w:p>
        </w:tc>
      </w:tr>
      <w:tr>
        <w:trPr>
          <w:trHeight w:val="252"/>
        </w:trPr>
        <w:tc>
          <w:tcPr>
            <w:tcW w:w="50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41"/>
        </w:trPr>
        <w:tc>
          <w:tcPr>
            <w:tcW w:w="5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860" w:type="dxa"/>
            <w:vAlign w:val="bottom"/>
            <w:shd w:val="clear" w:color="auto" w:fill="DBDBDB"/>
          </w:tcPr>
          <w:p>
            <w:pPr>
              <w:spacing w:after="0"/>
              <w:rPr>
                <w:sz w:val="20"/>
                <w:szCs w:val="20"/>
                <w:color w:val="auto"/>
              </w:rPr>
            </w:pPr>
          </w:p>
        </w:tc>
      </w:tr>
      <w:tr>
        <w:trPr>
          <w:trHeight w:val="234"/>
        </w:trPr>
        <w:tc>
          <w:tcPr>
            <w:tcW w:w="50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4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5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0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34,690</w:t>
            </w:r>
          </w:p>
        </w:tc>
      </w:tr>
      <w:tr>
        <w:trPr>
          <w:trHeight w:val="242"/>
        </w:trPr>
        <w:tc>
          <w:tcPr>
            <w:tcW w:w="5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r>
      <w:tr>
        <w:trPr>
          <w:trHeight w:val="235"/>
        </w:trPr>
        <w:tc>
          <w:tcPr>
            <w:tcW w:w="5000" w:type="dxa"/>
            <w:vAlign w:val="bottom"/>
          </w:tcPr>
          <w:p>
            <w:pPr>
              <w:spacing w:after="0"/>
              <w:rPr>
                <w:sz w:val="20"/>
                <w:szCs w:val="20"/>
                <w:color w:val="auto"/>
              </w:rPr>
            </w:pPr>
          </w:p>
        </w:tc>
        <w:tc>
          <w:tcPr>
            <w:tcW w:w="7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283,033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259,757</w:t>
            </w:r>
          </w:p>
        </w:tc>
      </w:tr>
      <w:tr>
        <w:trPr>
          <w:trHeight w:val="27"/>
        </w:trPr>
        <w:tc>
          <w:tcPr>
            <w:tcW w:w="50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316"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Amortization expense was $0.8 million and $2.4 million for the quarter and three quarters ended September 25, 2022, respectively, and $1.2 million and $ 5.6 million for the quarter and three quarters ended September 26, 2021, respectively, and is included in depreciation and amortization in the condensed consolidated statements of operations.</w:t>
      </w:r>
    </w:p>
    <w:p>
      <w:pPr>
        <w:spacing w:after="0" w:line="1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estimated aggregate amortization expense for the intangibles for the remainder of this year and the succeeding five years and thereafter are $0.8 million, $3.1 million, $3.1 million, $3.0 million, $2.9 million, $2.7 million, and $17.9 million, respectively.</w:t>
      </w:r>
    </w:p>
    <w:p>
      <w:pPr>
        <w:spacing w:after="0" w:line="17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r>
      <w:r>
        <w:rPr>
          <w:sz w:val="20"/>
          <w:szCs w:val="20"/>
          <w:color w:val="auto"/>
        </w:rPr>
        <w:tab/>
      </w:r>
      <w:r>
        <w:rPr>
          <w:rFonts w:ascii="Arial" w:cs="Arial" w:eastAsia="Arial" w:hAnsi="Arial"/>
          <w:sz w:val="24"/>
          <w:szCs w:val="24"/>
          <w:b w:val="1"/>
          <w:bCs w:val="1"/>
          <w:color w:val="414042"/>
        </w:rPr>
        <w:t>FAIR VALUE OF FINANCIAL INSTRUMENTS</w:t>
      </w:r>
    </w:p>
    <w:p>
      <w:pPr>
        <w:spacing w:after="0" w:line="2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4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5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all other current assets and liabilities approximate fair values due to the short-term nature of these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4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 As of September 25, 2022 and December 26, 2021, the fair value of the mutual fund investments and deferred compensation obligations were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Borders>
              <w:bottom w:val="single" w:sz="8" w:color="DBDBDB"/>
            </w:tcBorders>
          </w:tcPr>
          <w:p>
            <w:pPr>
              <w:spacing w:after="0"/>
              <w:rPr>
                <w:sz w:val="19"/>
                <w:szCs w:val="19"/>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Borders>
              <w:bottom w:val="single" w:sz="8" w:color="DBDBDB"/>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8"/>
        </w:trPr>
        <w:tc>
          <w:tcPr>
            <w:tcW w:w="792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400" w:type="dxa"/>
            <w:vAlign w:val="bottom"/>
            <w:gridSpan w:val="2"/>
            <w:shd w:val="clear" w:color="auto" w:fill="DBDBDB"/>
          </w:tcPr>
          <w:p>
            <w:pPr>
              <w:jc w:val="center"/>
              <w:ind w:right="420"/>
              <w:spacing w:after="0"/>
              <w:rPr>
                <w:sz w:val="20"/>
                <w:szCs w:val="20"/>
                <w:color w:val="auto"/>
              </w:rPr>
            </w:pPr>
            <w:r>
              <w:rPr>
                <w:rFonts w:ascii="Arial" w:cs="Arial" w:eastAsia="Arial" w:hAnsi="Arial"/>
                <w:sz w:val="16"/>
                <w:szCs w:val="16"/>
                <w:b w:val="1"/>
                <w:bCs w:val="1"/>
                <w:color w:val="auto"/>
                <w:w w:val="99"/>
              </w:rPr>
              <w:t>Level 1</w:t>
            </w:r>
          </w:p>
        </w:tc>
        <w:tc>
          <w:tcPr>
            <w:tcW w:w="320" w:type="dxa"/>
            <w:vAlign w:val="bottom"/>
            <w:shd w:val="clear" w:color="auto" w:fill="DBDBDB"/>
          </w:tcPr>
          <w:p>
            <w:pPr>
              <w:spacing w:after="0"/>
              <w:rPr>
                <w:sz w:val="20"/>
                <w:szCs w:val="20"/>
                <w:color w:val="auto"/>
              </w:rPr>
            </w:pPr>
          </w:p>
        </w:tc>
        <w:tc>
          <w:tcPr>
            <w:tcW w:w="1280" w:type="dxa"/>
            <w:vAlign w:val="bottom"/>
            <w:shd w:val="clear" w:color="auto" w:fill="DBDBDB"/>
          </w:tcPr>
          <w:p>
            <w:pPr>
              <w:jc w:val="right"/>
              <w:ind w:right="460"/>
              <w:spacing w:after="0"/>
              <w:rPr>
                <w:sz w:val="20"/>
                <w:szCs w:val="20"/>
                <w:color w:val="auto"/>
              </w:rPr>
            </w:pPr>
            <w:r>
              <w:rPr>
                <w:rFonts w:ascii="Arial" w:cs="Arial" w:eastAsia="Arial" w:hAnsi="Arial"/>
                <w:sz w:val="16"/>
                <w:szCs w:val="16"/>
                <w:b w:val="1"/>
                <w:bCs w:val="1"/>
                <w:color w:val="auto"/>
              </w:rPr>
              <w:t>Level 1</w:t>
            </w:r>
          </w:p>
        </w:tc>
      </w:tr>
      <w:tr>
        <w:trPr>
          <w:trHeight w:val="194"/>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41"/>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32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DBDBDB"/>
          </w:tcPr>
          <w:p>
            <w:pPr>
              <w:spacing w:after="0"/>
              <w:rPr>
                <w:sz w:val="20"/>
                <w:szCs w:val="20"/>
                <w:color w:val="auto"/>
              </w:rPr>
            </w:pPr>
          </w:p>
        </w:tc>
        <w:tc>
          <w:tcPr>
            <w:tcW w:w="32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1,482</w:t>
            </w:r>
          </w:p>
        </w:tc>
      </w:tr>
      <w:tr>
        <w:trPr>
          <w:trHeight w:val="235"/>
        </w:trPr>
        <w:tc>
          <w:tcPr>
            <w:tcW w:w="79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r>
      <w:tr>
        <w:trPr>
          <w:trHeight w:val="266"/>
        </w:trPr>
        <w:tc>
          <w:tcPr>
            <w:tcW w:w="792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3,857</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4,667</w:t>
            </w:r>
          </w:p>
        </w:tc>
      </w:tr>
      <w:tr>
        <w:trPr>
          <w:trHeight w:val="20"/>
        </w:trPr>
        <w:tc>
          <w:tcPr>
            <w:tcW w:w="79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25, 2022 and December 26, 2021, we had no Level 2 or Level 3 assets.</w:t>
      </w:r>
    </w:p>
    <w:p>
      <w:pPr>
        <w:spacing w:after="0" w:line="15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mutual fund investments and deferred compensation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additional information relating to the fair value of the Company's outstanding debt instruments.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equity-method investment, goodwill, trade names and other intangible assets, net. These assets are measured at fair value whenever events or changes in circumstances indicate that the carrying amount of an asset may not be recoverable. There were no impairment charges recognized during the quarter or three quarters ended September 25, 2022 and September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r>
      <w:r>
        <w:rPr>
          <w:sz w:val="20"/>
          <w:szCs w:val="20"/>
          <w:color w:val="auto"/>
        </w:rPr>
        <w:tab/>
      </w:r>
      <w:r>
        <w:rPr>
          <w:rFonts w:ascii="Arial" w:cs="Arial" w:eastAsia="Arial" w:hAnsi="Arial"/>
          <w:sz w:val="24"/>
          <w:szCs w:val="24"/>
          <w:b w:val="1"/>
          <w:bCs w:val="1"/>
          <w:color w:val="414042"/>
        </w:rPr>
        <w:t>DEBT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8"/>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First Lien Term B-3 Loans</w:t>
            </w:r>
          </w:p>
        </w:tc>
        <w:tc>
          <w:tcPr>
            <w:tcW w:w="520" w:type="dxa"/>
            <w:vAlign w:val="bottom"/>
            <w:tcBorders>
              <w:top w:val="single" w:sz="8" w:color="auto"/>
            </w:tcBorders>
            <w:shd w:val="clear" w:color="auto" w:fill="DBDBDB"/>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323,259</w:t>
            </w:r>
          </w:p>
        </w:tc>
        <w:tc>
          <w:tcPr>
            <w:tcW w:w="120" w:type="dxa"/>
            <w:vAlign w:val="bottom"/>
            <w:tcBorders>
              <w:top w:val="single" w:sz="8" w:color="DBDBDB"/>
            </w:tcBorders>
            <w:shd w:val="clear" w:color="auto" w:fill="DBDBDB"/>
          </w:tcPr>
          <w:p>
            <w:pPr>
              <w:spacing w:after="0"/>
              <w:rPr>
                <w:sz w:val="20"/>
                <w:szCs w:val="20"/>
                <w:color w:val="auto"/>
              </w:rPr>
            </w:pPr>
          </w:p>
        </w:tc>
        <w:tc>
          <w:tcPr>
            <w:tcW w:w="520" w:type="dxa"/>
            <w:vAlign w:val="bottom"/>
            <w:tcBorders>
              <w:top w:val="single" w:sz="8" w:color="auto"/>
            </w:tcBorders>
            <w:shd w:val="clear" w:color="auto" w:fill="DBDBDB"/>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325,752</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Revolving Loans</w:t>
            </w:r>
          </w:p>
        </w:tc>
        <w:tc>
          <w:tcPr>
            <w:tcW w:w="5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2"/>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(4,647)</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(6,599)</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318,612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319,153</w:t>
            </w:r>
          </w:p>
        </w:tc>
      </w:tr>
      <w:tr>
        <w:trPr>
          <w:trHeight w:val="242"/>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41"/>
        </w:trPr>
        <w:tc>
          <w:tcPr>
            <w:tcW w:w="79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315,288</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315,829</w:t>
            </w:r>
          </w:p>
        </w:tc>
      </w:tr>
      <w:tr>
        <w:trPr>
          <w:trHeight w:val="20"/>
        </w:trPr>
        <w:tc>
          <w:tcPr>
            <w:tcW w:w="7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First Lien</w:t>
      </w:r>
    </w:p>
    <w:p>
      <w:pPr>
        <w:spacing w:after="0" w:line="2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PHD Intermediate LLC (“Holdings”), Portillo’s Holdings LLC (the “Borrower”) and certain of its subsidiaries entered into the First Lien Credit Agreement ("First Lien Credit Agreement"), dated as of August 1, 2014 and as amended October 25, 2016, May 18, 2018 and December 6, 2019, with UBS AG, Stamford Branch, as the administrative agent and collateral agent, and other lenders from time to time party thereto (the “First Lien Lenders”). The First Lien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“Revolving Facility” and the loans thereunder, the “Revolving Loans”).</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6, 2019, the Borrower entered a third amendment to the First Lien Credit Agreement (the “Third Amendment to First Lien Credit Agreement”) whereby the aggregate principal amount of the term loans as of the effective date of the Third Amendment to First Lien Credit Agreement was $332.4 million (the “First Lien Term B-3 Loans”), and the Revolving Facility was increased to $50.0 million. The maturity date with respect to the First Lien Term B-3 Loans was extended to September 6, 2024, and the maturity date with respect to the Revolving Loans was extended to June 6, 2024.</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Third Amendment to First Lien Credit Agreement, the interest rates spread for the First Lien Term B-3 Loans increased by 100 basis points to 5.50% for the adjusted London interbank offered rate ("Eurocurrency Rate") loans. As of September 25, 2022 and September 26, 2021, the interest rate on the First Lien Term B-3 Loans was 8.02% and 6.50%, respectively. Beginning with December 31, 2019, the Company is required to pay on the last business day of each calendar quarter, March 31, June 30, September 30, and December 31, an aggregate principal amount of $0.8 million.</w:t>
      </w:r>
    </w:p>
    <w:p>
      <w:pPr>
        <w:spacing w:after="0" w:line="20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both September 25, 2022 and December 26, 2021, the Company had no borrowings under the Revolver outstanding. As of both September 25, 2022 and September 26, 2021, the interest rate on the Revolver was 3.25%, subject to change based on a consolidated first lien net leverage ratio as defined in the First Lien Credit Agreement. As of both September 25, 2022 and September 26, 2021, the commitment fees, pursuant to the First Lien, to maintain the Revolver were 0.250%. Also pursuant to the First Lien Credit Agreement, as of both September 25, 2022 and September 26, 2021, letter of credit fronting fees were 0.125%. Commitment fees and letter of credit fronting fees are recorded as interest expense in the condensed consolidated statements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25, 2022 and September 26, 2021, the effective interest rate was 8.84% and 7.80%, respectively.</w:t>
      </w:r>
    </w:p>
    <w:p>
      <w:pPr>
        <w:spacing w:after="0" w:line="24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The Company had $5.0 million of letters of credit issued against the Revolving Facility as of both September 25, 2022 and December 26, 2021. As of September 25, 2022, the Company had $45.0 million of availability under the Revolving Facility.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 credit in the form of initial second lien term loans in an initial aggregate principal amount of $80.0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(the “Second Lien Maturity Date”). In addition to the increased principal amount, the interest rate spread for the Second Lien Term B-3 Loans increased by 150 basis points to 9.50% for Eurocurrency Rate loans. The Borrower determined interest on the Second Lien at the Eurocurrency Rate, plus 9.50%.</w:t>
      </w:r>
    </w:p>
    <w:p>
      <w:pPr>
        <w:spacing w:after="0" w:line="2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 full, including a $3.1 million prepayment penalty, which was recorded as a loss on debt extinguishment during the year ended December 26, 2021 in the consolidated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57"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In connection with entering into the Third Amendment to First Lien Credit Agreement and the Second Amendment to Second Lien Credit Agreement, in each case, dated as of December 6, 2019, the Borrower paid debt issuance costs of $14.5 million, of which $13.3 million were capitalized and are being amortized over the term of the related debt agreements, and $1.2 million were expensed as incurred.</w:t>
      </w:r>
    </w:p>
    <w:p>
      <w:pPr>
        <w:spacing w:after="0" w:line="199"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In connection with the repayment of the Second Lien Term B-3 Loans as described above, deferred financing costs and original issuance discount of $ 4.2 million were recorded as a loss on debt extinguishment during the year ended December 26, 2021 in the consolidated statement of operations.</w:t>
      </w:r>
    </w:p>
    <w:p>
      <w:pPr>
        <w:spacing w:after="0" w:line="19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amortized $0.5 million and $1.4 million of deferred financing costs during the quarter and three quarters ended September 25, 2022, respectively, and $0.6 million and $1.7 million, respectively, during the quarter and three quarters ended September 26, 2021, which is included in interest expense in the condensed consolidated statements of operations. In addition, the Company also amortized $0.2 million and $0.5 million in original issue discount related to the long-term debt during the quarter and three quarters ended September 25, 2022, respectively, and $0.4 million and $1.2 million, respectively, in the quarter and three quarters ended September 26, 2021 which is included in interest expense in the condensed consolidated statements of operations.</w:t>
      </w:r>
    </w:p>
    <w:p>
      <w:pPr>
        <w:spacing w:after="0" w:line="20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Total interest costs incurred were $ 7.1 million and $19.3 million for the quarter and three quarters ended September 25, 2022, respectively, and $10.7 million and $32.1 million for the quarter and three quarters ended September 26, 2021, respectively.</w:t>
      </w:r>
    </w:p>
    <w:p>
      <w:pPr>
        <w:spacing w:after="0" w:line="18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As of September 25, 2022 and December 26, 2021,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199"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color w:val="auto"/>
        </w:rPr>
        <w:t>Borrowings under the First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199"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The Borrower is subject to certain financial and reporting covenants pursuant to the terms of the First Lien Credit Agreement. These covenants are customary for these types of debt agreements. As of September 25, 2022, the Company was in compliance with all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r>
      <w:r>
        <w:rPr>
          <w:sz w:val="20"/>
          <w:szCs w:val="20"/>
          <w:color w:val="auto"/>
        </w:rPr>
        <w:tab/>
      </w:r>
      <w:r>
        <w:rPr>
          <w:rFonts w:ascii="Arial" w:cs="Arial" w:eastAsia="Arial" w:hAnsi="Arial"/>
          <w:sz w:val="24"/>
          <w:szCs w:val="24"/>
          <w:b w:val="1"/>
          <w:bCs w:val="1"/>
          <w:color w:val="414042"/>
        </w:rPr>
        <w:t>NON-CONTROLLING INTERESTS</w:t>
      </w:r>
    </w:p>
    <w:p>
      <w:pPr>
        <w:spacing w:after="0" w:line="2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Transactions described in Note 1. Description Of Business, we are the sole managing member of Portillo's OpCo, and as a result, consolidated the financial results of Portillo's OpCo. We report a non-controlling interest representing the LLC interests in Portillo's OpCo held by pre-IPO LLC Members. Changes in our ownership interest in Portillo's OpCo while we retain our controlling interest in Portillo's OpCo will be accounted for as equity transactions. As such, future redemptions or direct exchanges of LLC interests in Portillo's OpCo by the pre-IPO LLC members will result in a change in ownership and reduce the amount recorded as non-controlling interest and increase additional paid-in capital.</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the third quarter of 2022, in connection with the secondary offering described in Note 1. Description Of Business, 5,942,559 LLC interests were redeemed by the pre-IPO LLC Members for newly-issued shares of Class A common stock and we received 5,942,559 newly-issued LLC interests, increasing our total ownership interest in Portillo's OpCo.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spacing w:after="0"/>
              <w:rPr>
                <w:sz w:val="19"/>
                <w:szCs w:val="19"/>
                <w:color w:val="auto"/>
              </w:rPr>
            </w:pPr>
          </w:p>
        </w:tc>
        <w:tc>
          <w:tcPr>
            <w:tcW w:w="3460" w:type="dxa"/>
            <w:vAlign w:val="bottom"/>
            <w:gridSpan w:val="4"/>
          </w:tcPr>
          <w:p>
            <w:pPr>
              <w:ind w:left="720"/>
              <w:spacing w:after="0"/>
              <w:rPr>
                <w:sz w:val="20"/>
                <w:szCs w:val="20"/>
                <w:color w:val="auto"/>
              </w:rPr>
            </w:pPr>
            <w:r>
              <w:rPr>
                <w:rFonts w:ascii="Arial" w:cs="Arial" w:eastAsia="Arial" w:hAnsi="Arial"/>
                <w:sz w:val="16"/>
                <w:szCs w:val="16"/>
                <w:b w:val="1"/>
                <w:bCs w:val="1"/>
                <w:color w:val="auto"/>
              </w:rPr>
              <w:t>As of September 25, 2022</w:t>
            </w:r>
          </w:p>
        </w:tc>
        <w:tc>
          <w:tcPr>
            <w:tcW w:w="338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As of December 26, 2021</w:t>
            </w:r>
          </w:p>
        </w:tc>
      </w:tr>
      <w:tr>
        <w:trPr>
          <w:trHeight w:val="245"/>
        </w:trPr>
        <w:tc>
          <w:tcPr>
            <w:tcW w:w="4400" w:type="dxa"/>
            <w:vAlign w:val="bottom"/>
          </w:tcPr>
          <w:p>
            <w:pPr>
              <w:spacing w:after="0"/>
              <w:rPr>
                <w:sz w:val="21"/>
                <w:szCs w:val="21"/>
                <w:color w:val="auto"/>
              </w:rPr>
            </w:pP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LLC Interests</w:t>
            </w: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Ownership %</w:t>
            </w: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LLC Interests</w:t>
            </w:r>
          </w:p>
        </w:tc>
        <w:tc>
          <w:tcPr>
            <w:tcW w:w="1720" w:type="dxa"/>
            <w:vAlign w:val="bottom"/>
          </w:tcPr>
          <w:p>
            <w:pPr>
              <w:jc w:val="right"/>
              <w:ind w:right="260"/>
              <w:spacing w:after="0"/>
              <w:rPr>
                <w:sz w:val="20"/>
                <w:szCs w:val="20"/>
                <w:color w:val="auto"/>
              </w:rPr>
            </w:pPr>
            <w:r>
              <w:rPr>
                <w:rFonts w:ascii="Arial" w:cs="Arial" w:eastAsia="Arial" w:hAnsi="Arial"/>
                <w:sz w:val="16"/>
                <w:szCs w:val="16"/>
                <w:b w:val="1"/>
                <w:bCs w:val="1"/>
                <w:color w:val="auto"/>
              </w:rPr>
              <w:t>Ownership %</w:t>
            </w:r>
          </w:p>
        </w:tc>
      </w:tr>
      <w:tr>
        <w:trPr>
          <w:trHeight w:val="238"/>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80" w:type="dxa"/>
            <w:vAlign w:val="bottom"/>
            <w:tcBorders>
              <w:top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42,225,023</w:t>
            </w:r>
          </w:p>
        </w:tc>
        <w:tc>
          <w:tcPr>
            <w:tcW w:w="80" w:type="dxa"/>
            <w:vAlign w:val="bottom"/>
            <w:tcBorders>
              <w:top w:val="single" w:sz="8" w:color="DBDBDB"/>
            </w:tcBorders>
            <w:shd w:val="clear" w:color="auto" w:fill="DBDBDB"/>
          </w:tcPr>
          <w:p>
            <w:pPr>
              <w:spacing w:after="0"/>
              <w:rPr>
                <w:sz w:val="20"/>
                <w:szCs w:val="20"/>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58.7 %</w:t>
            </w:r>
          </w:p>
        </w:tc>
        <w:tc>
          <w:tcPr>
            <w:tcW w:w="10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50.1 %</w:t>
            </w:r>
          </w:p>
        </w:tc>
      </w:tr>
      <w:tr>
        <w:trPr>
          <w:trHeight w:val="235"/>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29,730,762</w:t>
            </w:r>
          </w:p>
        </w:tc>
        <w:tc>
          <w:tcPr>
            <w:tcW w:w="80" w:type="dxa"/>
            <w:vAlign w:val="bottom"/>
            <w:tcBorders>
              <w:bottom w:val="single" w:sz="8" w:color="DBDBDB"/>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41.3 %</w:t>
            </w:r>
          </w:p>
        </w:tc>
        <w:tc>
          <w:tcPr>
            <w:tcW w:w="10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49.9 %</w:t>
            </w:r>
          </w:p>
        </w:tc>
      </w:tr>
      <w:tr>
        <w:trPr>
          <w:trHeight w:val="266"/>
        </w:trPr>
        <w:tc>
          <w:tcPr>
            <w:tcW w:w="4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71,955,785</w:t>
            </w:r>
          </w:p>
        </w:tc>
        <w:tc>
          <w:tcPr>
            <w:tcW w:w="80" w:type="dxa"/>
            <w:vAlign w:val="bottom"/>
            <w:tcBorders>
              <w:bottom w:val="single" w:sz="8" w:color="DBDBDB"/>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71,480,492</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right="260"/>
        <w:spacing w:after="0" w:line="265"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Portillo's Inc. and the pre-IPO LLC Members. The pre-IPO LLC Members' weighted average ownership percentage for both the quarter and three quarters ended September 25, 2022 was 45.9% and 48.5%,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changes in ownership in Portillo's OpCo on the Company’s equity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1"/>
                <w:szCs w:val="21"/>
                <w:color w:val="auto"/>
              </w:rPr>
            </w:pPr>
          </w:p>
        </w:tc>
        <w:tc>
          <w:tcPr>
            <w:tcW w:w="2000" w:type="dxa"/>
            <w:vAlign w:val="bottom"/>
          </w:tcPr>
          <w:p>
            <w:pPr>
              <w:jc w:val="right"/>
              <w:ind w:right="38"/>
              <w:spacing w:after="0"/>
              <w:rPr>
                <w:sz w:val="20"/>
                <w:szCs w:val="20"/>
                <w:color w:val="auto"/>
              </w:rPr>
            </w:pPr>
            <w:r>
              <w:rPr>
                <w:rFonts w:ascii="Arial" w:cs="Arial" w:eastAsia="Arial" w:hAnsi="Arial"/>
                <w:sz w:val="18"/>
                <w:szCs w:val="18"/>
                <w:b w:val="1"/>
                <w:bCs w:val="1"/>
                <w:color w:val="auto"/>
                <w:w w:val="98"/>
              </w:rPr>
              <w:t>Three Quarters Ended</w:t>
            </w:r>
          </w:p>
        </w:tc>
      </w:tr>
      <w:tr>
        <w:trPr>
          <w:trHeight w:val="276"/>
        </w:trPr>
        <w:tc>
          <w:tcPr>
            <w:tcW w:w="6900" w:type="dxa"/>
            <w:vAlign w:val="bottom"/>
            <w:tcBorders>
              <w:bottom w:val="single" w:sz="8" w:color="DBDBDB"/>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gridSpan w:val="4"/>
          </w:tcPr>
          <w:p>
            <w:pPr>
              <w:jc w:val="right"/>
              <w:ind w:right="1258"/>
              <w:spacing w:after="0"/>
              <w:rPr>
                <w:sz w:val="20"/>
                <w:szCs w:val="20"/>
                <w:color w:val="auto"/>
              </w:rPr>
            </w:pPr>
            <w:r>
              <w:rPr>
                <w:rFonts w:ascii="Arial" w:cs="Arial" w:eastAsia="Arial" w:hAnsi="Arial"/>
                <w:sz w:val="18"/>
                <w:szCs w:val="18"/>
                <w:b w:val="1"/>
                <w:bCs w:val="1"/>
                <w:color w:val="auto"/>
              </w:rPr>
              <w:t>September 25, 2022</w:t>
            </w:r>
          </w:p>
        </w:tc>
      </w:tr>
      <w:tr>
        <w:trPr>
          <w:trHeight w:val="241"/>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28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6,897</w:t>
            </w:r>
          </w:p>
        </w:tc>
      </w:tr>
      <w:tr>
        <w:trPr>
          <w:trHeight w:val="234"/>
        </w:trPr>
        <w:tc>
          <w:tcPr>
            <w:tcW w:w="6900" w:type="dxa"/>
            <w:vAlign w:val="bottom"/>
          </w:tcPr>
          <w:p>
            <w:pPr>
              <w:ind w:left="20"/>
              <w:spacing w:after="0"/>
              <w:rPr>
                <w:sz w:val="20"/>
                <w:szCs w:val="20"/>
                <w:color w:val="auto"/>
              </w:rPr>
            </w:pPr>
            <w:r>
              <w:rPr>
                <w:rFonts w:ascii="Arial" w:cs="Arial" w:eastAsia="Arial" w:hAnsi="Arial"/>
                <w:sz w:val="16"/>
                <w:szCs w:val="16"/>
                <w:color w:val="auto"/>
              </w:rPr>
              <w:t>Transfers from (to) non-controlling interests: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08"/>
        </w:trPr>
        <w:tc>
          <w:tcPr>
            <w:tcW w:w="6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Increase in additional paid-in capital as a result of activity under equity-based compensation</w:t>
            </w:r>
          </w:p>
        </w:tc>
        <w:tc>
          <w:tcPr>
            <w:tcW w:w="28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0" w:type="dxa"/>
            <w:vAlign w:val="bottom"/>
            <w:shd w:val="clear" w:color="auto" w:fill="DBDBDB"/>
          </w:tcPr>
          <w:p>
            <w:pPr>
              <w:spacing w:after="0"/>
              <w:rPr>
                <w:sz w:val="18"/>
                <w:szCs w:val="18"/>
                <w:color w:val="auto"/>
              </w:rPr>
            </w:pPr>
          </w:p>
        </w:tc>
      </w:tr>
      <w:tr>
        <w:trPr>
          <w:trHeight w:val="242"/>
        </w:trPr>
        <w:tc>
          <w:tcPr>
            <w:tcW w:w="6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plans</w:t>
            </w:r>
          </w:p>
        </w:tc>
        <w:tc>
          <w:tcPr>
            <w:tcW w:w="280" w:type="dxa"/>
            <w:vAlign w:val="bottom"/>
            <w:shd w:val="clear" w:color="auto" w:fill="DBDBDB"/>
          </w:tcPr>
          <w:p>
            <w:pPr>
              <w:spacing w:after="0"/>
              <w:rPr>
                <w:sz w:val="21"/>
                <w:szCs w:val="21"/>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1,718</w:t>
            </w:r>
          </w:p>
        </w:tc>
      </w:tr>
      <w:tr>
        <w:trPr>
          <w:trHeight w:val="200"/>
        </w:trPr>
        <w:tc>
          <w:tcPr>
            <w:tcW w:w="6900" w:type="dxa"/>
            <w:vAlign w:val="bottom"/>
          </w:tcPr>
          <w:p>
            <w:pPr>
              <w:ind w:left="140"/>
              <w:spacing w:after="0"/>
              <w:rPr>
                <w:sz w:val="20"/>
                <w:szCs w:val="20"/>
                <w:color w:val="auto"/>
              </w:rPr>
            </w:pPr>
            <w:r>
              <w:rPr>
                <w:rFonts w:ascii="Arial" w:cs="Arial" w:eastAsia="Arial" w:hAnsi="Arial"/>
                <w:sz w:val="16"/>
                <w:szCs w:val="16"/>
                <w:color w:val="auto"/>
              </w:rPr>
              <w:t>Increase in additional paid-in capital as a result of non-controlling interest adjustments,</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4"/>
        </w:trPr>
        <w:tc>
          <w:tcPr>
            <w:tcW w:w="6900" w:type="dxa"/>
            <w:vAlign w:val="bottom"/>
          </w:tcPr>
          <w:p>
            <w:pPr>
              <w:ind w:left="140"/>
              <w:spacing w:after="0"/>
              <w:rPr>
                <w:sz w:val="20"/>
                <w:szCs w:val="20"/>
                <w:color w:val="auto"/>
              </w:rPr>
            </w:pPr>
            <w:r>
              <w:rPr>
                <w:rFonts w:ascii="Arial" w:cs="Arial" w:eastAsia="Arial" w:hAnsi="Arial"/>
                <w:sz w:val="16"/>
                <w:szCs w:val="16"/>
                <w:color w:val="auto"/>
              </w:rPr>
              <w:t>including the secondary offering</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43,811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44,533</w:t>
            </w:r>
          </w:p>
        </w:tc>
      </w:tr>
      <w:tr>
        <w:trPr>
          <w:trHeight w:val="242"/>
        </w:trPr>
        <w:tc>
          <w:tcPr>
            <w:tcW w:w="6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Redemption of LLC interests in connection with the secondary offering</w:t>
            </w:r>
          </w:p>
        </w:tc>
        <w:tc>
          <w:tcPr>
            <w:tcW w:w="280" w:type="dxa"/>
            <w:vAlign w:val="bottom"/>
            <w:tcBorders>
              <w:bottom w:val="single" w:sz="8" w:color="auto"/>
            </w:tcBorders>
            <w:shd w:val="clear" w:color="auto" w:fill="DBDBDB"/>
          </w:tcPr>
          <w:p>
            <w:pPr>
              <w:spacing w:after="0"/>
              <w:rPr>
                <w:sz w:val="21"/>
                <w:szCs w:val="21"/>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w:t>
            </w:r>
          </w:p>
        </w:tc>
      </w:tr>
      <w:tr>
        <w:trPr>
          <w:trHeight w:val="241"/>
        </w:trPr>
        <w:tc>
          <w:tcPr>
            <w:tcW w:w="6900" w:type="dxa"/>
            <w:vAlign w:val="bottom"/>
          </w:tcPr>
          <w:p>
            <w:pPr>
              <w:ind w:left="20"/>
              <w:spacing w:after="0"/>
              <w:rPr>
                <w:sz w:val="20"/>
                <w:szCs w:val="20"/>
                <w:color w:val="auto"/>
              </w:rPr>
            </w:pPr>
            <w:r>
              <w:rPr>
                <w:rFonts w:ascii="Arial" w:cs="Arial" w:eastAsia="Arial" w:hAnsi="Arial"/>
                <w:sz w:val="16"/>
                <w:szCs w:val="16"/>
                <w:color w:val="auto"/>
              </w:rPr>
              <w:t>Total effect of changes in ownership interest on equity attributable to Portillo's Inc.</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53,089</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r>
      <w:r>
        <w:rPr>
          <w:sz w:val="20"/>
          <w:szCs w:val="20"/>
          <w:color w:val="auto"/>
        </w:rPr>
        <w:tab/>
      </w:r>
      <w:r>
        <w:rPr>
          <w:rFonts w:ascii="Arial" w:cs="Arial" w:eastAsia="Arial" w:hAnsi="Arial"/>
          <w:sz w:val="24"/>
          <w:szCs w:val="24"/>
          <w:b w:val="1"/>
          <w:bCs w:val="1"/>
          <w:color w:val="414042"/>
        </w:rPr>
        <w:t>EQUITY-BASED COMPENSATION</w:t>
      </w:r>
    </w:p>
    <w:p>
      <w:pPr>
        <w:spacing w:after="0" w:line="120"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Equity-based compensation expense is calculated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Quarter Ended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Quarters Ended</w:t>
            </w:r>
          </w:p>
        </w:tc>
        <w:tc>
          <w:tcPr>
            <w:tcW w:w="580" w:type="dxa"/>
            <w:vAlign w:val="bottom"/>
          </w:tcPr>
          <w:p>
            <w:pPr>
              <w:spacing w:after="0"/>
              <w:rPr>
                <w:sz w:val="19"/>
                <w:szCs w:val="19"/>
                <w:color w:val="auto"/>
              </w:rPr>
            </w:pPr>
          </w:p>
        </w:tc>
      </w:tr>
      <w:tr>
        <w:trPr>
          <w:trHeight w:val="245"/>
        </w:trPr>
        <w:tc>
          <w:tcPr>
            <w:tcW w:w="456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Borders>
              <w:bottom w:val="single" w:sz="8" w:color="DBDBDB"/>
            </w:tcBorders>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c>
          <w:tcPr>
            <w:tcW w:w="10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c>
          <w:tcPr>
            <w:tcW w:w="100" w:type="dxa"/>
            <w:vAlign w:val="bottom"/>
            <w:tcBorders>
              <w:bottom w:val="single" w:sz="8" w:color="DBDBDB"/>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265"/>
        </w:trPr>
        <w:tc>
          <w:tcPr>
            <w:tcW w:w="4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600" w:type="dxa"/>
            <w:vAlign w:val="bottom"/>
            <w:shd w:val="clear" w:color="auto" w:fill="DBDBDB"/>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DBDBDB"/>
          </w:tcPr>
          <w:p>
            <w:pPr>
              <w:spacing w:after="0"/>
              <w:rPr>
                <w:sz w:val="23"/>
                <w:szCs w:val="23"/>
                <w:color w:val="auto"/>
              </w:rPr>
            </w:pPr>
          </w:p>
        </w:tc>
        <w:tc>
          <w:tcPr>
            <w:tcW w:w="880" w:type="dxa"/>
            <w:vAlign w:val="bottom"/>
            <w:shd w:val="clear" w:color="auto" w:fill="DBDBDB"/>
          </w:tcPr>
          <w:p>
            <w:pPr>
              <w:jc w:val="right"/>
              <w:ind w:right="70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DBDBDB"/>
          </w:tcPr>
          <w:p>
            <w:pPr>
              <w:spacing w:after="0"/>
              <w:rPr>
                <w:sz w:val="23"/>
                <w:szCs w:val="23"/>
                <w:color w:val="auto"/>
              </w:rPr>
            </w:pPr>
          </w:p>
        </w:tc>
        <w:tc>
          <w:tcPr>
            <w:tcW w:w="1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r>
        <w:trPr>
          <w:trHeight w:val="266"/>
        </w:trPr>
        <w:tc>
          <w:tcPr>
            <w:tcW w:w="4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600" w:type="dxa"/>
            <w:vAlign w:val="bottom"/>
            <w:tcBorders>
              <w:bottom w:val="single" w:sz="8" w:color="auto"/>
            </w:tcBorders>
            <w:shd w:val="clear" w:color="auto" w:fill="DBDBDB"/>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3,698</w:t>
            </w:r>
          </w:p>
        </w:tc>
        <w:tc>
          <w:tcPr>
            <w:tcW w:w="100" w:type="dxa"/>
            <w:vAlign w:val="bottom"/>
            <w:tcBorders>
              <w:bottom w:val="single" w:sz="8" w:color="DBDBDB"/>
            </w:tcBorders>
            <w:shd w:val="clear" w:color="auto" w:fill="DBDBDB"/>
          </w:tcPr>
          <w:p>
            <w:pPr>
              <w:spacing w:after="0"/>
              <w:rPr>
                <w:sz w:val="22"/>
                <w:szCs w:val="22"/>
                <w:color w:val="auto"/>
              </w:rPr>
            </w:pPr>
          </w:p>
        </w:tc>
        <w:tc>
          <w:tcPr>
            <w:tcW w:w="880" w:type="dxa"/>
            <w:vAlign w:val="bottom"/>
            <w:tcBorders>
              <w:bottom w:val="single" w:sz="8" w:color="auto"/>
            </w:tcBorders>
            <w:shd w:val="clear" w:color="auto" w:fill="DBDBDB"/>
          </w:tcPr>
          <w:p>
            <w:pPr>
              <w:jc w:val="right"/>
              <w:ind w:right="7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DBDBDB"/>
            </w:tcBorders>
            <w:shd w:val="clear" w:color="auto" w:fill="DBDBDB"/>
          </w:tcPr>
          <w:p>
            <w:pPr>
              <w:spacing w:after="0"/>
              <w:rPr>
                <w:sz w:val="22"/>
                <w:szCs w:val="22"/>
                <w:color w:val="auto"/>
              </w:rPr>
            </w:pPr>
          </w:p>
        </w:tc>
        <w:tc>
          <w:tcPr>
            <w:tcW w:w="460" w:type="dxa"/>
            <w:vAlign w:val="bottom"/>
            <w:tcBorders>
              <w:bottom w:val="single" w:sz="8" w:color="auto"/>
            </w:tcBorders>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11,347</w:t>
            </w:r>
          </w:p>
        </w:tc>
        <w:tc>
          <w:tcPr>
            <w:tcW w:w="100" w:type="dxa"/>
            <w:vAlign w:val="bottom"/>
            <w:tcBorders>
              <w:bottom w:val="single" w:sz="8" w:color="DBDBDB"/>
            </w:tcBorders>
            <w:shd w:val="clear" w:color="auto" w:fill="DBDBDB"/>
          </w:tcPr>
          <w:p>
            <w:pPr>
              <w:spacing w:after="0"/>
              <w:rPr>
                <w:sz w:val="22"/>
                <w:szCs w:val="22"/>
                <w:color w:val="auto"/>
              </w:rPr>
            </w:pPr>
          </w:p>
        </w:tc>
        <w:tc>
          <w:tcPr>
            <w:tcW w:w="10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443</w:t>
            </w:r>
          </w:p>
        </w:tc>
      </w:tr>
      <w:tr>
        <w:trPr>
          <w:trHeight w:val="20"/>
        </w:trPr>
        <w:tc>
          <w:tcPr>
            <w:tcW w:w="45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Stock Purchase Plan</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14, 2022, the Company's board of directors approved, subject to stockholder approval, the Company's 2022 Employee Stock Purchase Plan (the "ESPP"), which was approved by stockholders on June 22, 2022. Under the ESPP, up to 250,000 shares of the Company's Class A common stock will be made available for purchase by eligible employees, who are entitled to purchase shares of common stock with accumulated payroll deductions. During the quarter and three quarters ended September 25, 2022, the Company has not issued any shares under the ESPP.</w:t>
      </w:r>
    </w:p>
    <w:p>
      <w:pPr>
        <w:spacing w:after="0" w:line="200"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NOTE 11.</w:t>
      </w:r>
      <w:r>
        <w:rPr>
          <w:sz w:val="20"/>
          <w:szCs w:val="20"/>
          <w:color w:val="auto"/>
        </w:rPr>
        <w:tab/>
      </w:r>
      <w:r>
        <w:rPr>
          <w:rFonts w:ascii="Arial" w:cs="Arial" w:eastAsia="Arial" w:hAnsi="Arial"/>
          <w:sz w:val="24"/>
          <w:szCs w:val="24"/>
          <w:b w:val="1"/>
          <w:bCs w:val="1"/>
          <w:color w:val="414042"/>
        </w:rPr>
        <w:t>INCOME TAXES</w:t>
      </w:r>
    </w:p>
    <w:p>
      <w:pPr>
        <w:spacing w:after="0" w:line="2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Transactions described in Note 1. Description Of Business, we became the sole managing member of Portillo's OpCo, and as a result, began consolidating the financial results of Portillo's OpCo. Portillo's OpCo is treated as a partnership for U.S. federal and most applicable state and local income tax purposes. As a partnership, Portillo's OpCo is not subject to U.S. federal and certain state and local income taxes. Any taxable income or loss generated by Portillo's OpCo is passed through to and included in the taxable income or loss of its members, including us, on a pro rata basis. Beginning at the time of the IPO in 2021, we are subject to U.S. federal income taxes, in addition to state and local income taxes with respect to our allocable share of any taxable income or loss of Portillo's OpCo subsequent to the IPO and Transactions, as well as any stand-alone income or loss generated by Portillo's Inc.</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5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effective income tax rate for the quarter and three quarters ended September 25, 2022 was 23.9% and 19.5%. The Company’s annual effective tax rate differs from the statutory rate of 21% primarily because the Company is not liable for income taxes on the portion of OpCo’s earnings that are attributable to non-controlling interests and the valuation allowance recorded.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third quarter of 2022, in connection with the secondary offering previously discussed in Note 1. Description Of Business, 5,942,559 LLC interests were redeemed by the pre-IPO LLC Members for newly-issued shares of Class A common stock, resulting in an increase in the tax basis of net assets of Portillo's OpCo subject to the provisions of the Tax Receivable Agreement. The Company recorded a deferred tax asset of $44.3 million and an additional TRA liability of $51.1 million. As of September 25, 2022, we estimated that our obligation for future payments under the TRA liability totaled $205.3 million. There were no amounts paid under the TRA for the quarter and three quarters ended September 25, 2022.</w:t>
      </w:r>
    </w:p>
    <w:p>
      <w:pPr>
        <w:spacing w:after="0" w:line="20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r>
      <w:r>
        <w:rPr>
          <w:sz w:val="20"/>
          <w:szCs w:val="20"/>
          <w:color w:val="auto"/>
        </w:rPr>
        <w:tab/>
      </w:r>
      <w:r>
        <w:rPr>
          <w:rFonts w:ascii="Arial" w:cs="Arial" w:eastAsia="Arial" w:hAnsi="Arial"/>
          <w:sz w:val="24"/>
          <w:szCs w:val="24"/>
          <w:b w:val="1"/>
          <w:bCs w:val="1"/>
          <w:color w:val="414042"/>
        </w:rPr>
        <w:t>EARNINGS PER SHARE</w:t>
      </w:r>
    </w:p>
    <w:p>
      <w:pPr>
        <w:spacing w:after="0" w:line="26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Basic net earnings per share of Class A common stock is computed by dividing net income attributable to Portillo's Inc. by the weighted-average number of Class A common stock outstanding.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described in Note 1. Description Of Business, in connection with the IPO, the Portillo's OpCo LLC Agreement was amended and restated to, among other things, (i) to authorize the issuance of two classes of common stock and (ii) convert all outstanding equity interests (except for those redeemable preferred units which were redeemed in connection with the IPO) into LLC Units. For purposes of calculating earnings per share, the prior period amounts have been retroactively adjusted to give effect to the above-mentioned amendment and resulting recapitalization. The computations of earnings per share for periods prior to our IPO do not consider the 23,310,810 shares of Class A common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issued to investors in our IPO.</w:t>
      </w:r>
    </w:p>
    <w:p>
      <w:pPr>
        <w:spacing w:after="0" w:line="23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Diluted earnings per share is computed by dividing net income attributable to Portillo's Inc. by the weighted-average number of dilutive securities, using the treasury stock method.</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computations of basic and diluted earnings per share for the quarter and three quarters ended September 25, 2022 and September 26, 2021 are as follows (in thousands):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Quarter Ended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Three Quarters Ended</w:t>
            </w:r>
          </w:p>
        </w:tc>
        <w:tc>
          <w:tcPr>
            <w:tcW w:w="680" w:type="dxa"/>
            <w:vAlign w:val="bottom"/>
          </w:tcPr>
          <w:p>
            <w:pPr>
              <w:spacing w:after="0"/>
              <w:rPr>
                <w:sz w:val="19"/>
                <w:szCs w:val="19"/>
                <w:color w:val="auto"/>
              </w:rPr>
            </w:pPr>
          </w:p>
        </w:tc>
      </w:tr>
      <w:tr>
        <w:trPr>
          <w:trHeight w:val="245"/>
        </w:trPr>
        <w:tc>
          <w:tcPr>
            <w:tcW w:w="4500" w:type="dxa"/>
            <w:vAlign w:val="bottom"/>
          </w:tcPr>
          <w:p>
            <w:pPr>
              <w:spacing w:after="0"/>
              <w:rPr>
                <w:sz w:val="21"/>
                <w:szCs w:val="21"/>
                <w:color w:val="auto"/>
              </w:rPr>
            </w:pP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26, 2021</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4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common unit holders</w:t>
            </w:r>
          </w:p>
        </w:tc>
        <w:tc>
          <w:tcPr>
            <w:tcW w:w="560" w:type="dxa"/>
            <w:vAlign w:val="bottom"/>
            <w:tcBorders>
              <w:top w:val="single" w:sz="8" w:color="auto"/>
            </w:tcBorders>
            <w:shd w:val="clear" w:color="auto" w:fill="DBDBDB"/>
          </w:tcPr>
          <w:p>
            <w:pPr>
              <w:jc w:val="right"/>
              <w:ind w:right="38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Borders>
              <w:top w:val="single" w:sz="8" w:color="DBDBDB"/>
            </w:tcBorders>
            <w:shd w:val="clear" w:color="auto" w:fill="DBDBDB"/>
          </w:tcPr>
          <w:p>
            <w:pPr>
              <w:spacing w:after="0"/>
              <w:rPr>
                <w:sz w:val="20"/>
                <w:szCs w:val="20"/>
                <w:color w:val="auto"/>
              </w:rPr>
            </w:pPr>
          </w:p>
        </w:tc>
        <w:tc>
          <w:tcPr>
            <w:tcW w:w="780" w:type="dxa"/>
            <w:vAlign w:val="bottom"/>
            <w:tcBorders>
              <w:top w:val="single" w:sz="8" w:color="auto"/>
            </w:tcBorders>
            <w:shd w:val="clear" w:color="auto" w:fill="DBDBDB"/>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DBDBDB"/>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14,504</w:t>
            </w:r>
          </w:p>
        </w:tc>
        <w:tc>
          <w:tcPr>
            <w:tcW w:w="80" w:type="dxa"/>
            <w:vAlign w:val="bottom"/>
            <w:tcBorders>
              <w:top w:val="single" w:sz="8" w:color="DBDBDB"/>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jc w:val="right"/>
              <w:ind w:right="7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3,426</w:t>
            </w:r>
          </w:p>
        </w:tc>
      </w:tr>
      <w:tr>
        <w:trPr>
          <w:trHeight w:val="235"/>
        </w:trPr>
        <w:tc>
          <w:tcPr>
            <w:tcW w:w="45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1,606</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7,607</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45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560" w:type="dxa"/>
            <w:vAlign w:val="bottom"/>
            <w:tcBorders>
              <w:top w:val="single" w:sz="8" w:color="auto"/>
              <w:bottom w:val="single" w:sz="8" w:color="auto"/>
            </w:tcBorders>
            <w:shd w:val="clear" w:color="auto" w:fill="DBDBDB"/>
          </w:tcPr>
          <w:p>
            <w:pPr>
              <w:jc w:val="right"/>
              <w:ind w:right="38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1,592</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780" w:type="dxa"/>
            <w:vAlign w:val="bottom"/>
            <w:tcBorders>
              <w:top w:val="single" w:sz="8" w:color="auto"/>
              <w:bottom w:val="single" w:sz="8" w:color="auto"/>
            </w:tcBorders>
            <w:shd w:val="clear" w:color="auto" w:fill="DBDBDB"/>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440" w:type="dxa"/>
            <w:vAlign w:val="bottom"/>
            <w:tcBorders>
              <w:top w:val="single" w:sz="8" w:color="auto"/>
              <w:bottom w:val="single" w:sz="8" w:color="auto"/>
            </w:tcBorders>
            <w:shd w:val="clear" w:color="auto" w:fill="DBDBDB"/>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6,897</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920" w:type="dxa"/>
            <w:vAlign w:val="bottom"/>
            <w:tcBorders>
              <w:top w:val="single" w:sz="8" w:color="auto"/>
              <w:bottom w:val="single" w:sz="8" w:color="auto"/>
            </w:tcBorders>
            <w:shd w:val="clear" w:color="auto" w:fill="DBDBDB"/>
          </w:tcPr>
          <w:p>
            <w:pPr>
              <w:jc w:val="right"/>
              <w:ind w:right="7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3,426</w:t>
            </w: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1"/>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56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r>
      <w:tr>
        <w:trPr>
          <w:trHeight w:val="200"/>
        </w:trPr>
        <w:tc>
          <w:tcPr>
            <w:tcW w:w="45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4500" w:type="dxa"/>
            <w:vAlign w:val="bottom"/>
          </w:tcPr>
          <w:p>
            <w:pPr>
              <w:ind w:left="20"/>
              <w:spacing w:after="0"/>
              <w:rPr>
                <w:sz w:val="20"/>
                <w:szCs w:val="20"/>
                <w:color w:val="auto"/>
              </w:rPr>
            </w:pPr>
            <w:r>
              <w:rPr>
                <w:rFonts w:ascii="Arial" w:cs="Arial" w:eastAsia="Arial" w:hAnsi="Arial"/>
                <w:sz w:val="16"/>
                <w:szCs w:val="16"/>
                <w:color w:val="auto"/>
              </w:rPr>
              <w:t>basic</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38,899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51,210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36,899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51,201</w:t>
            </w:r>
          </w:p>
        </w:tc>
      </w:tr>
      <w:tr>
        <w:trPr>
          <w:trHeight w:val="249"/>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share awards</w:t>
            </w:r>
          </w:p>
        </w:tc>
        <w:tc>
          <w:tcPr>
            <w:tcW w:w="5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3,726</w:t>
            </w:r>
          </w:p>
        </w:tc>
        <w:tc>
          <w:tcPr>
            <w:tcW w:w="8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3,887</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368</w:t>
            </w:r>
          </w:p>
        </w:tc>
      </w:tr>
      <w:tr>
        <w:trPr>
          <w:trHeight w:val="200"/>
        </w:trPr>
        <w:tc>
          <w:tcPr>
            <w:tcW w:w="45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4500" w:type="dxa"/>
            <w:vAlign w:val="bottom"/>
          </w:tcPr>
          <w:p>
            <w:pPr>
              <w:ind w:left="20"/>
              <w:spacing w:after="0"/>
              <w:rPr>
                <w:sz w:val="20"/>
                <w:szCs w:val="20"/>
                <w:color w:val="auto"/>
              </w:rPr>
            </w:pPr>
            <w:r>
              <w:rPr>
                <w:rFonts w:ascii="Arial" w:cs="Arial" w:eastAsia="Arial" w:hAnsi="Arial"/>
                <w:sz w:val="16"/>
                <w:szCs w:val="16"/>
                <w:color w:val="auto"/>
              </w:rPr>
              <w:t>diluted</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42,625</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51,582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40,786</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51,569</w:t>
            </w:r>
          </w:p>
        </w:tc>
      </w:tr>
      <w:tr>
        <w:trPr>
          <w:trHeight w:val="276"/>
        </w:trPr>
        <w:tc>
          <w:tcPr>
            <w:tcW w:w="450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8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11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920" w:type="dxa"/>
            <w:vAlign w:val="bottom"/>
            <w:shd w:val="clear" w:color="auto" w:fill="DBDBDB"/>
          </w:tcPr>
          <w:p>
            <w:pPr>
              <w:spacing w:after="0"/>
              <w:rPr>
                <w:sz w:val="23"/>
                <w:szCs w:val="23"/>
                <w:color w:val="auto"/>
              </w:rPr>
            </w:pPr>
          </w:p>
        </w:tc>
        <w:tc>
          <w:tcPr>
            <w:tcW w:w="680" w:type="dxa"/>
            <w:vAlign w:val="bottom"/>
            <w:shd w:val="clear" w:color="auto" w:fill="DBDBDB"/>
          </w:tcPr>
          <w:p>
            <w:pPr>
              <w:spacing w:after="0"/>
              <w:rPr>
                <w:sz w:val="23"/>
                <w:szCs w:val="23"/>
                <w:color w:val="auto"/>
              </w:rPr>
            </w:pPr>
          </w:p>
        </w:tc>
      </w:tr>
      <w:tr>
        <w:trPr>
          <w:trHeight w:val="234"/>
        </w:trPr>
        <w:tc>
          <w:tcPr>
            <w:tcW w:w="4500" w:type="dxa"/>
            <w:vAlign w:val="bottom"/>
          </w:tcPr>
          <w:p>
            <w:pPr>
              <w:ind w:left="20"/>
              <w:spacing w:after="0"/>
              <w:rPr>
                <w:sz w:val="20"/>
                <w:szCs w:val="20"/>
                <w:color w:val="auto"/>
              </w:rPr>
            </w:pPr>
            <w:r>
              <w:rPr>
                <w:rFonts w:ascii="Arial" w:cs="Arial" w:eastAsia="Arial" w:hAnsi="Arial"/>
                <w:sz w:val="16"/>
                <w:szCs w:val="16"/>
                <w:color w:val="auto"/>
              </w:rPr>
              <w:t>Basic net income per share</w:t>
            </w:r>
          </w:p>
        </w:tc>
        <w:tc>
          <w:tcPr>
            <w:tcW w:w="560" w:type="dxa"/>
            <w:vAlign w:val="bottom"/>
          </w:tcPr>
          <w:p>
            <w:pPr>
              <w:jc w:val="right"/>
              <w:ind w:right="3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20"/>
                <w:szCs w:val="20"/>
                <w:color w:val="auto"/>
              </w:rPr>
            </w:pPr>
          </w:p>
        </w:tc>
        <w:tc>
          <w:tcPr>
            <w:tcW w:w="78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20"/>
                <w:szCs w:val="20"/>
                <w:color w:val="auto"/>
              </w:rPr>
            </w:pPr>
          </w:p>
        </w:tc>
        <w:tc>
          <w:tcPr>
            <w:tcW w:w="92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49"/>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per share</w:t>
            </w:r>
          </w:p>
        </w:tc>
        <w:tc>
          <w:tcPr>
            <w:tcW w:w="560" w:type="dxa"/>
            <w:vAlign w:val="bottom"/>
            <w:shd w:val="clear" w:color="auto" w:fill="DBDBDB"/>
          </w:tcPr>
          <w:p>
            <w:pPr>
              <w:jc w:val="right"/>
              <w:ind w:right="38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5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jc w:val="right"/>
              <w:ind w:right="2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0.17</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720"/>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0.07</w:t>
            </w:r>
          </w:p>
        </w:tc>
      </w:tr>
    </w:tbl>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3360" w:type="dxa"/>
            <w:vAlign w:val="bottom"/>
            <w:gridSpan w:val="4"/>
          </w:tcPr>
          <w:p>
            <w:pPr>
              <w:ind w:left="1080"/>
              <w:spacing w:after="0"/>
              <w:rPr>
                <w:sz w:val="20"/>
                <w:szCs w:val="20"/>
                <w:color w:val="auto"/>
              </w:rPr>
            </w:pPr>
            <w:r>
              <w:rPr>
                <w:rFonts w:ascii="Arial" w:cs="Arial" w:eastAsia="Arial" w:hAnsi="Arial"/>
                <w:sz w:val="16"/>
                <w:szCs w:val="16"/>
                <w:b w:val="1"/>
                <w:bCs w:val="1"/>
                <w:color w:val="auto"/>
              </w:rPr>
              <w:t>Quarter Ended</w:t>
            </w:r>
          </w:p>
        </w:tc>
        <w:tc>
          <w:tcPr>
            <w:tcW w:w="328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Three Quarters Ended</w:t>
            </w:r>
          </w:p>
        </w:tc>
      </w:tr>
      <w:tr>
        <w:trPr>
          <w:trHeight w:val="245"/>
        </w:trPr>
        <w:tc>
          <w:tcPr>
            <w:tcW w:w="4520" w:type="dxa"/>
            <w:vAlign w:val="bottom"/>
          </w:tcPr>
          <w:p>
            <w:pPr>
              <w:spacing w:after="0"/>
              <w:rPr>
                <w:sz w:val="21"/>
                <w:szCs w:val="21"/>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26, 2021</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45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top w:val="single" w:sz="8" w:color="DBDBDB"/>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r>
      <w:tr>
        <w:trPr>
          <w:trHeight w:val="235"/>
        </w:trPr>
        <w:tc>
          <w:tcPr>
            <w:tcW w:w="4520" w:type="dxa"/>
            <w:vAlign w:val="bottom"/>
          </w:tcPr>
          <w:p>
            <w:pPr>
              <w:ind w:left="20"/>
              <w:spacing w:after="0"/>
              <w:rPr>
                <w:sz w:val="20"/>
                <w:szCs w:val="20"/>
                <w:color w:val="auto"/>
              </w:rPr>
            </w:pPr>
            <w:r>
              <w:rPr>
                <w:rFonts w:ascii="Arial" w:cs="Arial" w:eastAsia="Arial" w:hAnsi="Arial"/>
                <w:sz w:val="16"/>
                <w:szCs w:val="16"/>
                <w:color w:val="auto"/>
              </w:rPr>
              <w:t>Shares that were antidilutive</w:t>
            </w:r>
          </w:p>
        </w:tc>
        <w:tc>
          <w:tcPr>
            <w:tcW w:w="15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45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income (loss) per share</w:t>
            </w: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r>
      <w:tr>
        <w:trPr>
          <w:trHeight w:val="20"/>
        </w:trPr>
        <w:tc>
          <w:tcPr>
            <w:tcW w:w="452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r>
      <w:r>
        <w:rPr>
          <w:sz w:val="20"/>
          <w:szCs w:val="20"/>
          <w:color w:val="auto"/>
        </w:rPr>
        <w:tab/>
      </w:r>
      <w:r>
        <w:rPr>
          <w:rFonts w:ascii="Arial" w:cs="Arial" w:eastAsia="Arial" w:hAnsi="Arial"/>
          <w:sz w:val="24"/>
          <w:szCs w:val="24"/>
          <w:b w:val="1"/>
          <w:bCs w:val="1"/>
          <w:color w:val="414042"/>
        </w:rPr>
        <w:t>CONTINGENCIES</w:t>
      </w:r>
    </w:p>
    <w:p>
      <w:pPr>
        <w:spacing w:after="0" w:line="254"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200"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r>
      <w:r>
        <w:rPr>
          <w:sz w:val="20"/>
          <w:szCs w:val="20"/>
          <w:color w:val="auto"/>
        </w:rPr>
        <w:tab/>
      </w:r>
      <w:r>
        <w:rPr>
          <w:rFonts w:ascii="Arial" w:cs="Arial" w:eastAsia="Arial" w:hAnsi="Arial"/>
          <w:sz w:val="24"/>
          <w:szCs w:val="24"/>
          <w:b w:val="1"/>
          <w:bCs w:val="1"/>
          <w:color w:val="414042"/>
        </w:rPr>
        <w:t>RELATED PARTY TRANSACTIONS</w:t>
      </w:r>
    </w:p>
    <w:p>
      <w:pPr>
        <w:spacing w:after="0" w:line="26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As of both September 25, 2022 and December 26, 2021, the related parties’ receivables balance consisted of $0.4 million due from C&amp;O, respectively, which is included in accounts receivable in the condensed consolidated balance sheets.</w:t>
      </w:r>
    </w:p>
    <w:p>
      <w:pPr>
        <w:spacing w:after="0" w:line="1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Company incurred the following Olo-related costs for the quarter and three quarters ended September 25, 2022 and September 26,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Quarter Ended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Three Quarters Ended</w:t>
            </w:r>
          </w:p>
        </w:tc>
        <w:tc>
          <w:tcPr>
            <w:tcW w:w="580" w:type="dxa"/>
            <w:vAlign w:val="bottom"/>
          </w:tcPr>
          <w:p>
            <w:pPr>
              <w:spacing w:after="0"/>
              <w:rPr>
                <w:sz w:val="19"/>
                <w:szCs w:val="19"/>
                <w:color w:val="auto"/>
              </w:rPr>
            </w:pPr>
          </w:p>
        </w:tc>
      </w:tr>
      <w:tr>
        <w:trPr>
          <w:trHeight w:val="245"/>
        </w:trPr>
        <w:tc>
          <w:tcPr>
            <w:tcW w:w="4560" w:type="dxa"/>
            <w:vAlign w:val="bottom"/>
          </w:tcPr>
          <w:p>
            <w:pPr>
              <w:spacing w:after="0"/>
              <w:rPr>
                <w:sz w:val="21"/>
                <w:szCs w:val="21"/>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26, 2021</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4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600" w:type="dxa"/>
            <w:vAlign w:val="bottom"/>
            <w:tcBorders>
              <w:top w:val="single" w:sz="8" w:color="auto"/>
            </w:tcBorders>
            <w:shd w:val="clear" w:color="auto" w:fill="DBDBDB"/>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top w:val="single" w:sz="8" w:color="DBDBDB"/>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jc w:val="right"/>
              <w:ind w:right="70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DBDBDB"/>
            </w:tcBorders>
            <w:shd w:val="clear" w:color="auto" w:fill="DBDBDB"/>
          </w:tcPr>
          <w:p>
            <w:pPr>
              <w:spacing w:after="0"/>
              <w:rPr>
                <w:sz w:val="20"/>
                <w:szCs w:val="20"/>
                <w:color w:val="auto"/>
              </w:rPr>
            </w:pPr>
          </w:p>
        </w:tc>
        <w:tc>
          <w:tcPr>
            <w:tcW w:w="460" w:type="dxa"/>
            <w:vAlign w:val="bottom"/>
            <w:tcBorders>
              <w:top w:val="single" w:sz="8" w:color="auto"/>
            </w:tcBorders>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Borders>
              <w:top w:val="single" w:sz="8" w:color="DBDBDB"/>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ind w:right="84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409</w:t>
            </w:r>
          </w:p>
        </w:tc>
      </w:tr>
      <w:tr>
        <w:trPr>
          <w:trHeight w:val="235"/>
        </w:trPr>
        <w:tc>
          <w:tcPr>
            <w:tcW w:w="4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66"/>
        </w:trPr>
        <w:tc>
          <w:tcPr>
            <w:tcW w:w="4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600" w:type="dxa"/>
            <w:vAlign w:val="bottom"/>
            <w:tcBorders>
              <w:bottom w:val="single" w:sz="8" w:color="auto"/>
            </w:tcBorders>
            <w:shd w:val="clear" w:color="auto" w:fill="DBDBDB"/>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DBDBDB"/>
            </w:tcBorders>
            <w:shd w:val="clear" w:color="auto" w:fill="DBDBDB"/>
          </w:tcPr>
          <w:p>
            <w:pPr>
              <w:spacing w:after="0"/>
              <w:rPr>
                <w:sz w:val="22"/>
                <w:szCs w:val="22"/>
                <w:color w:val="auto"/>
              </w:rPr>
            </w:pPr>
          </w:p>
        </w:tc>
        <w:tc>
          <w:tcPr>
            <w:tcW w:w="880" w:type="dxa"/>
            <w:vAlign w:val="bottom"/>
            <w:tcBorders>
              <w:bottom w:val="single" w:sz="8" w:color="auto"/>
            </w:tcBorders>
            <w:shd w:val="clear" w:color="auto" w:fill="DBDBDB"/>
          </w:tcPr>
          <w:p>
            <w:pPr>
              <w:jc w:val="right"/>
              <w:ind w:right="7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DBDBDB"/>
            </w:tcBorders>
            <w:shd w:val="clear" w:color="auto" w:fill="DBDBDB"/>
          </w:tcPr>
          <w:p>
            <w:pPr>
              <w:spacing w:after="0"/>
              <w:rPr>
                <w:sz w:val="22"/>
                <w:szCs w:val="22"/>
                <w:color w:val="auto"/>
              </w:rPr>
            </w:pPr>
          </w:p>
        </w:tc>
        <w:tc>
          <w:tcPr>
            <w:tcW w:w="460" w:type="dxa"/>
            <w:vAlign w:val="bottom"/>
            <w:tcBorders>
              <w:bottom w:val="single" w:sz="8" w:color="auto"/>
            </w:tcBorders>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Borders>
              <w:bottom w:val="single" w:sz="8" w:color="DBDBDB"/>
            </w:tcBorders>
            <w:shd w:val="clear" w:color="auto" w:fill="DBDBDB"/>
          </w:tcPr>
          <w:p>
            <w:pPr>
              <w:spacing w:after="0"/>
              <w:rPr>
                <w:sz w:val="22"/>
                <w:szCs w:val="22"/>
                <w:color w:val="auto"/>
              </w:rPr>
            </w:pPr>
          </w:p>
        </w:tc>
        <w:tc>
          <w:tcPr>
            <w:tcW w:w="1020" w:type="dxa"/>
            <w:vAlign w:val="bottom"/>
            <w:tcBorders>
              <w:bottom w:val="single" w:sz="8" w:color="auto"/>
            </w:tcBorders>
            <w:shd w:val="clear" w:color="auto" w:fill="DBDBDB"/>
          </w:tcPr>
          <w:p>
            <w:pPr>
              <w:jc w:val="right"/>
              <w:ind w:right="84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784</w:t>
            </w:r>
          </w:p>
        </w:tc>
      </w:tr>
      <w:tr>
        <w:trPr>
          <w:trHeight w:val="20"/>
        </w:trPr>
        <w:tc>
          <w:tcPr>
            <w:tcW w:w="45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25, 2022 and December 26, 2021, $0.1 million and immaterial amounts, respectively, were payable to Olo.</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4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As described in Note 1. Description Of Business, we entered into a TRA with certain members of Portillo's OpCo that provides for the payment by us of 85% of the amount of tax benefits, if any, that Portillo's Inc. actually realizes or in some cases is deemed to realize as a result of certain transactions. There were no amounts paid under the TRA for the quarter and three quarters ended September 25,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9"/>
                <w:szCs w:val="19"/>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Pr>
          <w:p>
            <w:pPr>
              <w:spacing w:after="0"/>
              <w:rPr>
                <w:sz w:val="19"/>
                <w:szCs w:val="19"/>
                <w:color w:val="auto"/>
              </w:rPr>
            </w:pPr>
          </w:p>
        </w:tc>
        <w:tc>
          <w:tcPr>
            <w:tcW w:w="1740" w:type="dxa"/>
            <w:vAlign w:val="bottom"/>
          </w:tcPr>
          <w:p>
            <w:pPr>
              <w:jc w:val="right"/>
              <w:ind w:right="160"/>
              <w:spacing w:after="0"/>
              <w:rPr>
                <w:sz w:val="20"/>
                <w:szCs w:val="20"/>
                <w:color w:val="auto"/>
              </w:rPr>
            </w:pPr>
            <w:r>
              <w:rPr>
                <w:rFonts w:ascii="Arial" w:cs="Arial" w:eastAsia="Arial" w:hAnsi="Arial"/>
                <w:sz w:val="16"/>
                <w:szCs w:val="16"/>
                <w:b w:val="1"/>
                <w:bCs w:val="1"/>
                <w:color w:val="auto"/>
              </w:rPr>
              <w:t>December 26, 2021</w:t>
            </w:r>
          </w:p>
        </w:tc>
      </w:tr>
      <w:tr>
        <w:trPr>
          <w:trHeight w:val="238"/>
        </w:trPr>
        <w:tc>
          <w:tcPr>
            <w:tcW w:w="7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205,287</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156,638</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5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the third quarter of 2022, in connection with the secondary offering previously discussed in Note 1. Description Of Business, we purchased LLC Units and shares of Class A common stock using the proceeds of the secondary offering at a price equal to the public offering price less the underwriting discounts and commissions from certain pre-IPO LLC Members, including from funds affiliated with Berkshire Partners LLC, which is our controlling stockholder that beneficially owns approximately 52.5% of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560"/>
        <w:spacing w:after="0" w:line="293"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-46355</wp:posOffset>
            </wp:positionV>
            <wp:extent cx="5924550" cy="3232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2455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Part I, Item IA of our Annual Report on Form 10-K for the fiscal year ended December 26, 2021 and Part II, Item 1A of this Form 10-Q. The following discussion should be read in conjunction with our Annual Report on Form 10-K for the fiscal year ended December 26, 2021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12"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1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periods presented below.</w:t>
      </w:r>
    </w:p>
    <w:p>
      <w:pPr>
        <w:spacing w:after="0" w:line="184"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We have prepared the unaudited consolidated financial statements in accordance with accounting principles generally accepted in the United States of America ("GAAP") for interim financial statements and pursuant to the rules and regulations of the Securities and Exchange Commission (the "SEC").</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Overview</w:t>
      </w:r>
    </w:p>
    <w:p>
      <w:pPr>
        <w:spacing w:after="0" w:line="26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 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1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As of September 25, 2022, we owned and operated 71 Portillo’s restaurants across nine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sz w:val="20"/>
          <w:szCs w:val="20"/>
          <w:color w:val="auto"/>
        </w:rPr>
      </w:pPr>
      <w:r>
        <w:rPr>
          <w:rFonts w:ascii="Arial" w:cs="Arial" w:eastAsia="Arial" w:hAnsi="Arial"/>
          <w:sz w:val="21"/>
          <w:szCs w:val="21"/>
          <w:b w:val="1"/>
          <w:bCs w:val="1"/>
          <w:color w:val="414042"/>
        </w:rPr>
        <w:t>Financial Highlights for the Quarter Ended September 25, 2022 vs. Quarter Ended September 26, 2021:</w:t>
      </w:r>
    </w:p>
    <w:p>
      <w:pPr>
        <w:spacing w:after="0" w:line="251" w:lineRule="exact"/>
        <w:rPr>
          <w:sz w:val="20"/>
          <w:szCs w:val="20"/>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9.5% or $13.1 million to $151.1 million;</w:t>
      </w:r>
    </w:p>
    <w:p>
      <w:pPr>
        <w:spacing w:after="0" w:line="25"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restaurant sales increased 5.8%;</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$6.6 million to $10.6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$3.3 million to $3.2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Restaurant-Level Adjusted EBITDA* decreased $0.2 million to $34.1 million; and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decreased $2.6 million to $21.6 million.</w:t>
      </w:r>
    </w:p>
    <w:p>
      <w:pPr>
        <w:spacing w:after="0" w:line="235" w:lineRule="exact"/>
        <w:rPr>
          <w:sz w:val="20"/>
          <w:szCs w:val="20"/>
          <w:color w:val="auto"/>
        </w:rPr>
      </w:pPr>
    </w:p>
    <w:p>
      <w:pPr>
        <w:ind w:right="260"/>
        <w:spacing w:after="0" w:line="307" w:lineRule="auto"/>
        <w:rPr>
          <w:sz w:val="20"/>
          <w:szCs w:val="20"/>
          <w:color w:val="auto"/>
        </w:rPr>
      </w:pPr>
      <w:r>
        <w:rPr>
          <w:rFonts w:ascii="Arial" w:cs="Arial" w:eastAsia="Arial" w:hAnsi="Arial"/>
          <w:sz w:val="21"/>
          <w:szCs w:val="21"/>
          <w:b w:val="1"/>
          <w:bCs w:val="1"/>
          <w:color w:val="414042"/>
        </w:rPr>
        <w:t>Financial Highlights for the Three Quarters Ended September 25, 2022 vs. Three Quarters Ended September 26, 2021:</w:t>
      </w:r>
    </w:p>
    <w:p>
      <w:pPr>
        <w:spacing w:after="0" w:line="142" w:lineRule="exact"/>
        <w:rPr>
          <w:sz w:val="20"/>
          <w:szCs w:val="20"/>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revenue increased 10.1% or $40.2 million to $436.2 million;</w:t>
      </w:r>
    </w:p>
    <w:p>
      <w:pPr>
        <w:spacing w:after="0" w:line="25"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Same restaurant sales increased 5.2%;</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Operating income decreased $17.7 million to $34.8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income decreased $5.9 million to $14.5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Restaurant-Level Adjusted EBITDA* decreased $6.6 million to $100.5 million; and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decreased $8.4 million to $66.9 million.</w:t>
      </w:r>
    </w:p>
    <w:p>
      <w:pPr>
        <w:spacing w:after="0" w:line="235" w:lineRule="exact"/>
        <w:rPr>
          <w:rFonts w:ascii="Arial" w:cs="Arial" w:eastAsia="Arial" w:hAnsi="Arial"/>
          <w:sz w:val="18"/>
          <w:szCs w:val="18"/>
          <w:color w:val="auto"/>
        </w:rPr>
      </w:pPr>
    </w:p>
    <w:p>
      <w:pPr>
        <w:ind w:right="140"/>
        <w:spacing w:after="0" w:line="264" w:lineRule="auto"/>
        <w:rPr>
          <w:rFonts w:ascii="Arial" w:cs="Arial" w:eastAsia="Arial" w:hAnsi="Arial"/>
          <w:sz w:val="18"/>
          <w:szCs w:val="18"/>
          <w:color w:val="auto"/>
        </w:rPr>
      </w:pPr>
      <w:r>
        <w:rPr>
          <w:rFonts w:ascii="Arial" w:cs="Arial" w:eastAsia="Arial" w:hAnsi="Arial"/>
          <w:sz w:val="16"/>
          <w:szCs w:val="16"/>
          <w:color w:val="auto"/>
        </w:rPr>
        <w:t>* Adjusted EBITDA and Restaurant-Level Adjusted EBITDA are non-GAAP measures. Definitions and reconciliations of Adjusted EBITDA to net income and Restaurant-Level Adjusted EBITDA to operating income the most directly comparable financial measures presented in accordance with GAAP, are set forth under the section "Key Performance Indicators and Non-GAAP Financial Measures".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Recent Developments and Trends</w:t>
      </w:r>
    </w:p>
    <w:p>
      <w:pPr>
        <w:spacing w:after="0" w:line="25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continue to see revenue growth due to our new restaurant openings, as well as same-restaurant sales growth. Total revenue grew 9.5% during the quarter ended September 25, 2022 and 10.1% for the three quarters ended September 25, 2022. Same-restaurant sales grew 5.8% during the quarter ended September 25, 2022, compared to 6.8% same-restaurant sales growth during the same quarter in 2021. Same-restaurant sales grew 5.2% and 10.6% for the three quarters ended September 25, 2022 and September 26, 2021, respectively.</w:t>
      </w:r>
    </w:p>
    <w:p>
      <w:pPr>
        <w:spacing w:after="0" w:line="19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quarter and three quarters ended September 25, 2022, we experienced significant commodity inflation, with the most impactful increases in beef and chicken prices. While we expect these commodity pressures to continue through the fourth quarter of fiscal 2022, we do not believe they will have a material impact to our long-term growth and profitability. Additionally, we experienced higher labor expenses during the quarter and three quarters ended September 25, 2022, compared to the same periods last year primarily due to additional wage investments made in June 2021 and the beginning of the third quarter of 2022, which combined with the expected commodity inflation, will continue to have an impact to Restaurant-Level Adjusted EBITDA Margin for the remainder of fiscal 2022. We are partially offsetting these expense increases through menu price increases and operational efficiencies. During the first and second quarters of 2022, we increased menu prices on certain items by approximately 1.5% and 3.5%, respectively. We have also increased menu prices on certain items during the fourth quarter of 2022 by approximately 3.0% to continue to combat inflationary cost pressures. As a result, Restaurant-Level Adjusted EBITDA Margin was 22.6% in the quarter ended September 25, 2022. Absent significant and prolonged COVID-19 relapses or global economic disruptions and through our continued efforts to elevate guest experiences and implement operational efficiencies, we believe the strength of our brand will deliver consistent, long-term growth.</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Development Highlights</w:t>
      </w:r>
    </w:p>
    <w:p>
      <w:pPr>
        <w:spacing w:after="0" w:line="25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Two new restaurants were opened during the three quarters ended September 25, 2022. The opening of these restaurants brings the total restaurant count to 71 as of September 25, 2022, including a restaurant owned by C&amp;O of which Portillo’s owns 50% of the equity.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6260" w:type="dxa"/>
            <w:vAlign w:val="bottom"/>
            <w:tcBorders>
              <w:bottom w:val="single" w:sz="8" w:color="auto"/>
            </w:tcBorders>
          </w:tcPr>
          <w:p>
            <w:pPr>
              <w:ind w:left="3360"/>
              <w:spacing w:after="0"/>
              <w:rPr>
                <w:sz w:val="20"/>
                <w:szCs w:val="20"/>
                <w:color w:val="auto"/>
              </w:rPr>
            </w:pPr>
            <w:r>
              <w:rPr>
                <w:rFonts w:ascii="Arial" w:cs="Arial" w:eastAsia="Arial" w:hAnsi="Arial"/>
                <w:sz w:val="16"/>
                <w:szCs w:val="16"/>
                <w:b w:val="1"/>
                <w:bCs w:val="1"/>
                <w:color w:val="auto"/>
              </w:rPr>
              <w:t>Opening Date</w:t>
            </w:r>
          </w:p>
        </w:tc>
      </w:tr>
      <w:tr>
        <w:trPr>
          <w:trHeight w:val="238"/>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Joliet, Illinois</w:t>
            </w:r>
          </w:p>
        </w:tc>
        <w:tc>
          <w:tcPr>
            <w:tcW w:w="6260" w:type="dxa"/>
            <w:vAlign w:val="bottom"/>
            <w:shd w:val="clear" w:color="auto" w:fill="DBDBDB"/>
          </w:tcPr>
          <w:p>
            <w:pPr>
              <w:ind w:left="3360"/>
              <w:spacing w:after="0"/>
              <w:rPr>
                <w:sz w:val="20"/>
                <w:szCs w:val="20"/>
                <w:color w:val="auto"/>
              </w:rPr>
            </w:pPr>
            <w:r>
              <w:rPr>
                <w:rFonts w:ascii="Arial" w:cs="Arial" w:eastAsia="Arial" w:hAnsi="Arial"/>
                <w:sz w:val="16"/>
                <w:szCs w:val="16"/>
                <w:color w:val="auto"/>
              </w:rPr>
              <w:t>February 2022</w:t>
            </w:r>
          </w:p>
        </w:tc>
      </w:tr>
      <w:tr>
        <w:trPr>
          <w:trHeight w:val="226"/>
        </w:trPr>
        <w:tc>
          <w:tcPr>
            <w:tcW w:w="4980" w:type="dxa"/>
            <w:vAlign w:val="bottom"/>
          </w:tcPr>
          <w:p>
            <w:pPr>
              <w:ind w:left="20"/>
              <w:spacing w:after="0"/>
              <w:rPr>
                <w:sz w:val="20"/>
                <w:szCs w:val="20"/>
                <w:color w:val="auto"/>
              </w:rPr>
            </w:pPr>
            <w:r>
              <w:rPr>
                <w:rFonts w:ascii="Arial" w:cs="Arial" w:eastAsia="Arial" w:hAnsi="Arial"/>
                <w:sz w:val="16"/>
                <w:szCs w:val="16"/>
                <w:color w:val="auto"/>
              </w:rPr>
              <w:t>St. Petersburg, Florida</w:t>
            </w:r>
          </w:p>
        </w:tc>
        <w:tc>
          <w:tcPr>
            <w:tcW w:w="6260" w:type="dxa"/>
            <w:vAlign w:val="bottom"/>
          </w:tcPr>
          <w:p>
            <w:pPr>
              <w:ind w:left="3360"/>
              <w:spacing w:after="0"/>
              <w:rPr>
                <w:sz w:val="20"/>
                <w:szCs w:val="20"/>
                <w:color w:val="auto"/>
              </w:rPr>
            </w:pPr>
            <w:r>
              <w:rPr>
                <w:rFonts w:ascii="Arial" w:cs="Arial" w:eastAsia="Arial" w:hAnsi="Arial"/>
                <w:sz w:val="16"/>
                <w:szCs w:val="16"/>
                <w:color w:val="auto"/>
              </w:rPr>
              <w:t>April 2022</w:t>
            </w:r>
          </w:p>
        </w:tc>
      </w:tr>
    </w:tbl>
    <w:p>
      <w:pPr>
        <w:spacing w:after="0" w:line="200" w:lineRule="exact"/>
        <w:rPr>
          <w:sz w:val="20"/>
          <w:szCs w:val="20"/>
          <w:color w:val="auto"/>
        </w:rPr>
      </w:pPr>
    </w:p>
    <w:p>
      <w:pPr>
        <w:sectPr>
          <w:pgSz w:w="11900" w:h="16838" w:orient="portrait"/>
          <w:cols w:equalWidth="0" w:num="1">
            <w:col w:w="11240"/>
          </w:cols>
          <w:pgMar w:left="320" w:top="12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Consolidated Results of Operations</w:t>
      </w:r>
    </w:p>
    <w:p>
      <w:pPr>
        <w:spacing w:after="0" w:line="25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 following table summarizes our results of operations for the quarter and three quarters ended September 25, 2022 and September 26,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5"/>
          </w:tcPr>
          <w:p>
            <w:pPr>
              <w:ind w:left="540"/>
              <w:spacing w:after="0"/>
              <w:rPr>
                <w:sz w:val="20"/>
                <w:szCs w:val="20"/>
                <w:color w:val="auto"/>
              </w:rPr>
            </w:pPr>
            <w:r>
              <w:rPr>
                <w:rFonts w:ascii="Arial" w:cs="Arial" w:eastAsia="Arial" w:hAnsi="Arial"/>
                <w:sz w:val="16"/>
                <w:szCs w:val="16"/>
                <w:b w:val="1"/>
                <w:bCs w:val="1"/>
                <w:color w:val="auto"/>
              </w:rPr>
              <w:t>Quarter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Quarters Ended</w:t>
            </w:r>
          </w:p>
        </w:tc>
        <w:tc>
          <w:tcPr>
            <w:tcW w:w="1040" w:type="dxa"/>
            <w:vAlign w:val="bottom"/>
          </w:tcPr>
          <w:p>
            <w:pPr>
              <w:spacing w:after="0"/>
              <w:rPr>
                <w:sz w:val="19"/>
                <w:szCs w:val="19"/>
                <w:color w:val="auto"/>
              </w:rPr>
            </w:pPr>
          </w:p>
        </w:tc>
      </w:tr>
      <w:tr>
        <w:trPr>
          <w:trHeight w:val="245"/>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25, 2022</w:t>
            </w:r>
          </w:p>
        </w:tc>
        <w:tc>
          <w:tcPr>
            <w:tcW w:w="200" w:type="dxa"/>
            <w:vAlign w:val="bottom"/>
          </w:tcPr>
          <w:p>
            <w:pPr>
              <w:spacing w:after="0"/>
              <w:rPr>
                <w:sz w:val="21"/>
                <w:szCs w:val="21"/>
                <w:color w:val="auto"/>
              </w:rPr>
            </w:pPr>
          </w:p>
        </w:tc>
        <w:tc>
          <w:tcPr>
            <w:tcW w:w="200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26, 2021</w:t>
            </w:r>
          </w:p>
        </w:tc>
        <w:tc>
          <w:tcPr>
            <w:tcW w:w="180" w:type="dxa"/>
            <w:vAlign w:val="bottom"/>
          </w:tcPr>
          <w:p>
            <w:pPr>
              <w:spacing w:after="0"/>
              <w:rPr>
                <w:sz w:val="21"/>
                <w:szCs w:val="21"/>
                <w:color w:val="auto"/>
              </w:rPr>
            </w:pPr>
          </w:p>
        </w:tc>
        <w:tc>
          <w:tcPr>
            <w:tcW w:w="1980" w:type="dxa"/>
            <w:vAlign w:val="bottom"/>
            <w:gridSpan w:val="4"/>
          </w:tcPr>
          <w:p>
            <w:pPr>
              <w:ind w:left="100"/>
              <w:spacing w:after="0"/>
              <w:rPr>
                <w:sz w:val="20"/>
                <w:szCs w:val="20"/>
                <w:color w:val="auto"/>
              </w:rPr>
            </w:pPr>
            <w:r>
              <w:rPr>
                <w:rFonts w:ascii="Arial" w:cs="Arial" w:eastAsia="Arial" w:hAnsi="Arial"/>
                <w:sz w:val="16"/>
                <w:szCs w:val="16"/>
                <w:b w:val="1"/>
                <w:bCs w:val="1"/>
                <w:color w:val="auto"/>
              </w:rPr>
              <w:t>September 25, 2022</w:t>
            </w:r>
          </w:p>
        </w:tc>
        <w:tc>
          <w:tcPr>
            <w:tcW w:w="200" w:type="dxa"/>
            <w:vAlign w:val="bottom"/>
          </w:tcPr>
          <w:p>
            <w:pPr>
              <w:spacing w:after="0"/>
              <w:rPr>
                <w:sz w:val="21"/>
                <w:szCs w:val="21"/>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26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151,121</w:t>
            </w:r>
          </w:p>
        </w:tc>
        <w:tc>
          <w:tcPr>
            <w:tcW w:w="10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138,003</w:t>
            </w:r>
          </w:p>
        </w:tc>
        <w:tc>
          <w:tcPr>
            <w:tcW w:w="10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436,226</w:t>
            </w:r>
          </w:p>
        </w:tc>
        <w:tc>
          <w:tcPr>
            <w:tcW w:w="10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396,044</w:t>
            </w:r>
          </w:p>
        </w:tc>
        <w:tc>
          <w:tcPr>
            <w:tcW w:w="8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68"/>
        </w:trPr>
        <w:tc>
          <w:tcPr>
            <w:tcW w:w="2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1"/>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r>
      <w:tr>
        <w:trPr>
          <w:trHeight w:val="234"/>
        </w:trPr>
        <w:tc>
          <w:tcPr>
            <w:tcW w:w="2600" w:type="dxa"/>
            <w:vAlign w:val="bottom"/>
          </w:tcPr>
          <w:p>
            <w:pPr>
              <w:ind w:left="20"/>
              <w:spacing w:after="0"/>
              <w:rPr>
                <w:sz w:val="20"/>
                <w:szCs w:val="20"/>
                <w:color w:val="auto"/>
              </w:rPr>
            </w:pPr>
            <w:r>
              <w:rPr>
                <w:rFonts w:ascii="Arial" w:cs="Arial" w:eastAsia="Arial" w:hAnsi="Arial"/>
                <w:sz w:val="16"/>
                <w:szCs w:val="16"/>
                <w:color w:val="auto"/>
              </w:rPr>
              <w:t>Restaurant operating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1"/>
        </w:trPr>
        <w:tc>
          <w:tcPr>
            <w:tcW w:w="26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Cost of goods sold, excluding</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26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53,374</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44,285</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32.1 %</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151,414</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121,465</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30.7 %</w:t>
            </w:r>
          </w:p>
        </w:tc>
      </w:tr>
      <w:tr>
        <w:trPr>
          <w:trHeight w:val="234"/>
        </w:trPr>
        <w:tc>
          <w:tcPr>
            <w:tcW w:w="2600" w:type="dxa"/>
            <w:vAlign w:val="bottom"/>
          </w:tcPr>
          <w:p>
            <w:pPr>
              <w:ind w:left="220"/>
              <w:spacing w:after="0"/>
              <w:rPr>
                <w:sz w:val="20"/>
                <w:szCs w:val="20"/>
                <w:color w:val="auto"/>
              </w:rPr>
            </w:pPr>
            <w:r>
              <w:rPr>
                <w:rFonts w:ascii="Arial" w:cs="Arial" w:eastAsia="Arial" w:hAnsi="Arial"/>
                <w:sz w:val="16"/>
                <w:szCs w:val="16"/>
                <w:color w:val="auto"/>
              </w:rPr>
              <w:t>Labor</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39,133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36,921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114,352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102,433</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49"/>
        </w:trPr>
        <w:tc>
          <w:tcPr>
            <w:tcW w:w="26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7,644</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7,000</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22,778</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20,890</w:t>
            </w:r>
          </w:p>
        </w:tc>
        <w:tc>
          <w:tcPr>
            <w:tcW w:w="8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5.3 %</w:t>
            </w:r>
          </w:p>
        </w:tc>
      </w:tr>
      <w:tr>
        <w:trPr>
          <w:trHeight w:val="235"/>
        </w:trPr>
        <w:tc>
          <w:tcPr>
            <w:tcW w:w="2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15,554</w:t>
            </w:r>
          </w:p>
        </w:tc>
        <w:tc>
          <w:tcPr>
            <w:tcW w:w="10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47,225</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44,187</w:t>
            </w:r>
          </w:p>
        </w:tc>
        <w:tc>
          <w:tcPr>
            <w:tcW w:w="8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r>
      <w:tr>
        <w:trPr>
          <w:trHeight w:val="214"/>
        </w:trPr>
        <w:tc>
          <w:tcPr>
            <w:tcW w:w="260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w:t>
            </w: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9"/>
        </w:trPr>
        <w:tc>
          <w:tcPr>
            <w:tcW w:w="260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expenses</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117,033</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103,760</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75.2 %</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335,769</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77.0 %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288,975</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73.0 %</w:t>
            </w:r>
          </w:p>
        </w:tc>
      </w:tr>
      <w:tr>
        <w:trPr>
          <w:trHeight w:val="214"/>
        </w:trPr>
        <w:tc>
          <w:tcPr>
            <w:tcW w:w="260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1"/>
        </w:trPr>
        <w:tc>
          <w:tcPr>
            <w:tcW w:w="2600" w:type="dxa"/>
            <w:vAlign w:val="bottom"/>
          </w:tcPr>
          <w:p>
            <w:pPr>
              <w:ind w:left="24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18,059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11,750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49,185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35,755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249"/>
        </w:trPr>
        <w:tc>
          <w:tcPr>
            <w:tcW w:w="26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Pre-opening expenses</w:t>
            </w: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1,770</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2,307</w:t>
            </w:r>
          </w:p>
        </w:tc>
        <w:tc>
          <w:tcPr>
            <w:tcW w:w="8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0.6 %</w:t>
            </w:r>
          </w:p>
        </w:tc>
      </w:tr>
      <w:tr>
        <w:trPr>
          <w:trHeight w:val="234"/>
        </w:trPr>
        <w:tc>
          <w:tcPr>
            <w:tcW w:w="26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5,289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5,516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15,803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18,225</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21"/>
        </w:trPr>
        <w:tc>
          <w:tcPr>
            <w:tcW w:w="26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attributable to equity</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26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method investment</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(651)</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26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41"/>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10,586</w:t>
            </w:r>
          </w:p>
        </w:tc>
        <w:tc>
          <w:tcPr>
            <w:tcW w:w="10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17,214</w:t>
            </w:r>
          </w:p>
        </w:tc>
        <w:tc>
          <w:tcPr>
            <w:tcW w:w="10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12.5 %</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34,839</w:t>
            </w:r>
          </w:p>
        </w:tc>
        <w:tc>
          <w:tcPr>
            <w:tcW w:w="10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52,528</w:t>
            </w:r>
          </w:p>
        </w:tc>
        <w:tc>
          <w:tcPr>
            <w:tcW w:w="8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13.3 %</w:t>
            </w:r>
          </w:p>
        </w:tc>
      </w:tr>
      <w:tr>
        <w:trPr>
          <w:trHeight w:val="234"/>
        </w:trPr>
        <w:tc>
          <w:tcPr>
            <w:tcW w:w="26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10,683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19,286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32,124</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21"/>
        </w:trPr>
        <w:tc>
          <w:tcPr>
            <w:tcW w:w="26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Tax Receivable Agreement</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2"/>
        </w:trPr>
        <w:tc>
          <w:tcPr>
            <w:tcW w:w="26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Liability adjustment</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(2,462)</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5"/>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TAXES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18,015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20,404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38"/>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3,511</w:t>
            </w:r>
          </w:p>
        </w:tc>
        <w:tc>
          <w:tcPr>
            <w:tcW w:w="10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20,404</w:t>
            </w:r>
          </w:p>
        </w:tc>
        <w:tc>
          <w:tcPr>
            <w:tcW w:w="8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5.2 %</w:t>
            </w:r>
          </w:p>
        </w:tc>
      </w:tr>
      <w:tr>
        <w:trPr>
          <w:trHeight w:val="217"/>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w:t>
            </w: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2"/>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accretion</w:t>
            </w:r>
          </w:p>
        </w:tc>
        <w:tc>
          <w:tcPr>
            <w:tcW w:w="2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(5,886)</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(16,978)</w:t>
            </w:r>
          </w:p>
        </w:tc>
        <w:tc>
          <w:tcPr>
            <w:tcW w:w="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r>
      <w:tr>
        <w:trPr>
          <w:trHeight w:val="214"/>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5"/>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COMMON HOLDERS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14,504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3,426</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non-</w:t>
            </w: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2"/>
        </w:trPr>
        <w:tc>
          <w:tcPr>
            <w:tcW w:w="2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controlling interests</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7,607</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PORTILLO'S INC.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r>
      <w:tr>
        <w:trPr>
          <w:trHeight w:val="24"/>
        </w:trPr>
        <w:tc>
          <w:tcPr>
            <w:tcW w:w="2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 Net</w:t>
      </w:r>
    </w:p>
    <w:p>
      <w:pPr>
        <w:spacing w:after="0" w:line="2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 At the end of 2021, the Company began to record the difference in higher third-party delivery menu prices, versus regular menu prices, in revenues. This markup was previously recorded in Cost of goods sold, excluding depreciation and amortization. As a result, we anticipate this change to positively impact our same-restaurant sales growth by 2%-3% in each quarter in 2022 and for the full fiscal year 2022, with a corresponding increase to Cost of goods sold, excluding depreciation and amortization. Operating income has not been, and is not anticipated in the future to be, impacted by such change. See Note 2. Summary Of Significant Accounting Policies-Revenue Recognition, for more information.</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for the quarter ended September 25, 2022 were $151.1 million compared to $138.0 million for the quarter ended September 26, 2021, an increase of $13.1 million or 9.5%. The increase in revenues was primarily attributed to the opening of two new restaurants in the fourth quarter of 2021 and two new restaurants during the three quarters ended September 25, 2022, combined with an increase in our same-restaurant sales. The new restaurants positively impacted revenues by approximately $5.8 million in the quarter ended September 25, 2022. Same-restaurant sales increased 5.8% during the third quarter ended September 25, 2022, which was attributable to an increase in average check of 6.3% and a 2.8% impact from the change in recording third-party delivery pricing, offset by a 3.3% decline in transactions. The higher average check was driven by an approximate 8.2% increase in certain menu prices partially offset by lower items sold per transaction. For the purpose of calculating same-restaurant sales for September 25, 2022, sales for 61 restaurants were included in the Comparable Restaurant Base (as defined in "Selected Operating Data" below) versus 60 as of the quarter ended September 26, 2021.</w:t>
      </w:r>
    </w:p>
    <w:p>
      <w:pPr>
        <w:spacing w:after="0" w:line="2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Revenues for the three quarters ended September 25, 2022 were $436.2 million compared to $396.0 million for the three quarters ended September 26, 2021, an increase of $40.2 million or 10.1%. The increase in revenues was primarily attributed to the opening of five new restaurants in 2021 and two new restaurants during the three quarters ended September 25, 2022 combined with an increase in our same-restaurant sales. The new restaurants positively impacted revenues by approximately $20.8 million in the three quarters ended September 25, 2022. Same-restaurant sales increased 5.2% during the three quarters ended September 25, 2022, which was attributable to an increase in average check of 6.1% and a 2.8% impact from the change in recording third-party delivery pricing, offset by a 3.7% decline in transactions. The higher average check was primarily driven by an approximate 7.4% increase in menu prices partially offset by lower items sold per transaction. We increased menu prices approximately 1.5% in the first quarter of 2022, and approximately 3.5% during the second quarter of 2022. We increased menu prices on certain items during the fourth quarter of 2022 by approximately 3.0% to continue to combat inflationary cost pressures. For the purpose of calculating same-restaurant sales for September 25, 2022, sales for 61 restaurants were included in the Comparable Restaurant Base (as defined in "Selected Operating Data" below) versus 60 as of the quarter ended September 26,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Cost of Goods Sold, Excluding Depreciation and Amortization</w:t>
      </w:r>
    </w:p>
    <w:p>
      <w:pPr>
        <w:spacing w:after="0" w:line="2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Cost of goods sold, excluding depreciation and amortization includes the direct costs associated with food and beverages, including paper products and third-party delivery commissions. The components of cost of goods sold, excluding depreciation and amortization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anticipate the comparability of cost of goods sold, excluding depreciation and amortization, to be impacted in 2022 versus 2021 due to the aforementioned change in how the Company records third-party delivery menu prices. Operating income has not been, and is not anticipated in the future to be, impacted by such change.</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 of goods sold, excluding depreciation and amortization for the quarter ended September 25, 2022 was $53.4 million compared to $44.3 million for the quarter ended September 26, 2021, an increase of $9.1 million or 20.5%. This increase was primarily driven by a 15.4% increase in commodity prices, with the largest impacts in beef and chicken prices; the impact of how the Company records third-party delivery menu prices; and the opening of two new restaurants in the fourth quarter of 2021 and two new restaurants during the three quarters ended September 25, 2022. As a percentage of revenues net, cost of goods sold, excluding depreciation and amortization increased 3.2% during the quarter ended September 25, 2022. The increase was primarily due to an increase in commodity prices and the impact of how the Company records third-party delivery menu prices, partially offset by an increase in our average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goods sold, excluding depreciation and amortization for the three quarters ended September 25, 2022 was $151.4 million compared to $ 121.5 million for the three quarters ended September 26, 2021, an increase of $29.9 million or 24.7%. This increase was primarily driven by a 15.4% increase in commodity prices, with the largest impacts in beef, chicken, and pork prices; the impact of how the Company records third-party delivery menu prices; and the opening of five new restaurants in 2021 and two new restaurants during the three quarters ended September 25, 2022. As a percentage of revenues, net, cost of goods sold, excluding depreciation and amortization increased 4.0% during the three quarters ended September 25, 2022. The increase was primarily due to an increase in commodity prices and the impact of how the Company records third-party delivery menu prices, partially offset by an increase in our average check.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r>
        <w:rPr>
          <w:rFonts w:ascii="Arial" w:cs="Arial" w:eastAsia="Arial" w:hAnsi="Arial"/>
          <w:sz w:val="18"/>
          <w:szCs w:val="18"/>
          <w:i w:val="1"/>
          <w:iCs w:val="1"/>
          <w:color w:val="auto"/>
        </w:rPr>
        <w:t>.</w:t>
      </w:r>
    </w:p>
    <w:p>
      <w:pPr>
        <w:spacing w:after="0" w:line="1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Labor expenses for the quarter ended September 25, 2022 were $39.1 million compared to $36.9 million for the quarter ended September 26, 2021, an increase of $2.2 million or 6.0%. This increase was primarily driven by incremental investments to support our team members, including rate increases primarily made in July 2022, higher equity-based compensation, and the opening of two new restaurants in the fourth quarter of 2021 and two new restaurants during the three quarters ended September 25, 2022. These increases were partially offset by operational efficiencies and lower variable-based compensation. As a percentage of revenues, net, labor decreased 0.9% due primarily to an increase in our average check, operational efficiencies and lower variable-based compensation, partially offset by the aforementioned incremental rate increases to support our team members.</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Labor expenses for the three quarters ended September 25, 2022 were $114.4 million compared to $ 102.4 million for the three quarters ended September 26, 2021, an increase of $11.9 million or 11.6%. This increase was primarily driven by incremental investments to support our team members, including rate increases primarily made in June 2021 and July 2022, higher equity-based compensation, and the opening of five new restaurants in 2021 and two new restaurants during the three quarters ended September 25, 2022. These increases were partially offset by operational efficiencies and lower variable-based compensation. As a percentage of revenues, net, labor increased 0.3% due primarily to the aforementioned incremental hourly rate increases to support our team members, partially offset by an increase in our average check, operational efficiencies, and lower variable-based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common area expenses and property taxes.</w:t>
      </w:r>
    </w:p>
    <w:p>
      <w:pPr>
        <w:spacing w:after="0" w:line="24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Occupancy expenses for the quarter ended September 25, 2022 were $7.6 million compared to $7.0 million for the quarter ended September 26, 2021, an increase of $0.6 million or 9.2%, primarily driven by the opening of two new restaurants in the fourth quarter of 2021 and two new restaurants during the three quarters ended September 25, 2022.</w:t>
      </w:r>
    </w:p>
    <w:p>
      <w:pPr>
        <w:spacing w:after="0" w:line="199"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Occupancy expenses for the three quarters ended September 25, 2022 were $22.8 million compared to $20.9 million for the three quarters ended September 26, 2021, an increase of $1.9 million or 9.0%, primarily driven by the opening of five new restaurants in 2021 and two new restaurants during the three quarters ended September 25, 2022.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5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operating expenses for the quarter ended September 25, 2022 were $ 16.9 million compared to $15.6 million for the quarter ended September 26, 2021, an increase of $1.3 million or 8.5%, primarily driven by the opening of two new restaurants in the fourth quarter of 2021 and two new restaurants during the three quarters ended September 25, 2022, as well as an increase in repair and maintenance expenses and utilities, offset by a decrease in operating supplies.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operating expenses for the three quarters ended September 25, 2022 were $47.2 million compared to $44.2 million for the three quarters ended September 26, 2021, an increase of $3.0 million or 6.9%, primarily driven by the opening of five new restaurants in 2021 and two new restaurants during the three quarters ended September 25, 2022, as well as an increase in repair and maintenance expenses and utilities, offset by a decrease in travel and uniform costs.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5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for the quarter ended September 25, 2022 were $18.1 million compared to $11.8 million for the quarter ended September 26, 2021, an increase of $6.3 million or 53.7%. This increase was primarily driven by increases in equity-based compensation of $3.2 million, insurance of $0.7 million, transaction-related fees and expenses, consisting primarily of certain professional fees of $0.6 million, and software licensing fees.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for the three quarters ended September 25, 2022 were $49.2 million compared to $35.8 million for the three quarters ended September 26, 2021, an increase of $13.4 million or 37.6%. This increase was primarily driven by an increase in equity-based compensation of $9.9 million, insurance of $2.1 million, transaction-related fees and expenses, consisting primarily of certain professional fees of $1.3 million, and software licensing fees, partially offset by a decrease in variable-based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Pre-opening expenses consist primarily of occupancy expenses, which represent rent expense recognized during the period between the date of possession of the restaurant facility and the restaurant opening date, wages,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initially experience higher pre-opening expenses than our established geographic market areas, such as the Chicagoland area, where we have greater economies of scale and incur lower travel and lodging costs for our training team.</w:t>
      </w:r>
    </w:p>
    <w:p>
      <w:pPr>
        <w:spacing w:after="0" w:line="209"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Pre-opening expenses for the quarter ended September 25, 2022 were $0.8 million compared to $0.3 million for the quarter ended September 26, 2021, an increase of $0.4 million or 128.0%. The increase was due to preparation for the planned restaurant openings in the fourth quarter.</w:t>
      </w:r>
    </w:p>
    <w:p>
      <w:pPr>
        <w:spacing w:after="0" w:line="199"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Pre-opening expenses for the three quarters ended September 25, 2022 were $ 1.8 million compared to $2.3 million for the three quarters ended September 26, 2021, a decrease of $0.5 million or 23.3%. This decrease was due to the timing and geographic location of restaurant openings in the first three quarters of 2022 versus 2021.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5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for the quarter ended September 25, 2022 was $5.3 million compared to $5.5 million for the quarter ended September 26, 2021, a decrease of $0.2 million or 4.1%. This decrease was primarily attributable to an expired non-compete intangible asset, partially offset by incremental depreciation of capital expenditures related to the opening of two new restaurants in the fourth quarter of 2021 and two new restaurants during the three quarters ended September 25, 2022.</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and amortization expense for the three quarters ended September 25, 2022 was $15.8 million compared to $18.2 million for the three quarters ended September 26, 2021, a decrease of $2.4 million or 13.3%. This decrease was primarily attributable to an expired non-compete intangible asset, partially offset by incremental depreciation of capital expenditures related to the opening of five new restaurants in 2021 and two new restaurants during the three quarters ended September 25, 2022.</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57"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pacing w:after="0" w:line="199"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Net income attributable to equity method investment for the quarter ended September 25, 2022 was $0.4 million compared to $0.3 million for the quarter ended September 26, 2021. This increase was primarily driven by increased revenue, which is attributable to an increase in average check.</w:t>
      </w:r>
    </w:p>
    <w:p>
      <w:pPr>
        <w:spacing w:after="0" w:line="19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Net income attributable to equity method investment for the three quarters ended September 25, 2022 was $0.8 million compared to $0.7 million for the three quarters ended September 26, 2021. This increase was primarily driven by increased revenue, which is attributable to an increase in average check.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Income, Net</w:t>
      </w:r>
    </w:p>
    <w:p>
      <w:pPr>
        <w:spacing w:after="0" w:line="244"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19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Other income, net for the quarter ended September 25, 2022 was $0.2 million compared to $ 0.3 million for the quarter ended September 26, 2021, a decrease of $0.1 million or 21.9%. This decrease was primarily due to an increase in losses on asset disposals.</w:t>
      </w:r>
    </w:p>
    <w:p>
      <w:pPr>
        <w:spacing w:after="0" w:line="184"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color w:val="auto"/>
        </w:rPr>
        <w:t>Other income, net for the three quarters ended September 25, 2022 was $0.3 million compared to $1.1 million for the three quarters ended September 26, 2021, a decrease of $0.8 million or 69.6%. This decrease was primarily due to an increase in trading losses in the rabbi trust used to fund our deferred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5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expense for the quarter ended September 25, 2022 was $7.1 million compared to $ 10.7 million for the quarter ended September 26, 2021, a decrease of $3.6 million or 33.6%. This decrease was primarily driven by the payoff of the Second Term B-3 Loans with the use of IPO proceeds during the year ended December 26, 2021 and decreased borrowings on the First Lien Term B-3 Loans during the quarter ended September 25, 2022. This decrease was partially offset by $0.9 million of additional interest expense on the First Lien Term B-3 Loans due to an increased interest rate. There were no outstanding borrowings under the Revolving Facility during the quarter ended September 25, 2022 or September 26, 2021.</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expense for the three quarters ended September 25, 2022 was $19.3 million compared to $32.1 million for the three quarters ended September 26, 2021, a decrease of $12.8 million or 40.0%. This decrease was primarily driven by the payoff of the Second Term B-3 Loans with the use of IPO proceeds during the year ended December 26, 2021 and decreased borrowings on the First Lien Term B-3 Loans during the quarter ended September 25, 2022. This decrease was partially offset by $0.8 million of additional interest expense on the First Lien Term B-3 Loans due to an increased interest rate. There were no outstanding borrowings under the Revolving Facility during the three quarters ended September 25, 2022 or September 26,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 Liability Adjustment</w:t>
      </w:r>
    </w:p>
    <w:p>
      <w:pPr>
        <w:spacing w:after="0" w:line="244"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In connection with the IPO, we entered into a Tax Receivable Agreement liability with certain members of Portillo's OpCo that provides for the payment by us of 85% of the amount of tax benefits, if any, that Portillo's Inc. actually realizes or in some cases is deemed to realize as a result of certain transactions.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60"/>
        <w:spacing w:after="0" w:line="265" w:lineRule="auto"/>
        <w:rPr>
          <w:sz w:val="20"/>
          <w:szCs w:val="20"/>
          <w:color w:val="auto"/>
        </w:rPr>
      </w:pPr>
      <w:r>
        <w:rPr>
          <w:rFonts w:ascii="Arial" w:cs="Arial" w:eastAsia="Arial" w:hAnsi="Arial"/>
          <w:sz w:val="18"/>
          <w:szCs w:val="18"/>
          <w:color w:val="auto"/>
        </w:rPr>
        <w:t>The tax receivable agreement liability adjustment was $0.7 million for the quarter ended September 25, 2022 and $2.5 million for the three quarters ended September 25, 2022 related to a remeasurement primarily due to option exercises. There was no tax receivable agreement liability adjustment for the quarter or three quarters ended September 26, 2021.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5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passed through to and included in the taxable income or loss of its members on a pro rata basis. As of the IPO, we are subject to U.S. federal, as well as state and local income taxes with respect to our allocable share of any taxable income or loss of Portillo's OpCo, as well as any stand-alone income or loss generated by Portillo's Inc.</w:t>
      </w:r>
    </w:p>
    <w:p>
      <w:pPr>
        <w:spacing w:after="0" w:line="206"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color w:val="auto"/>
        </w:rPr>
        <w:t>Income tax expense for the quarter ended September 25, 2022 was $1.0 million. Our effective income tax rate for the quarter ended September 25, 2022 was 23.9%. There was no income tax expense for the quarter ended September 26, 2021.</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Income tax expense for the three quarters ended September 25, 2022 was $3.5 million. Our effective income tax rate for the three quarters ended September 25, 2022 was 19.5%. There was no income tax expense for the three quarters ended September 26, 2021.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Non-controlling Interests</w:t>
      </w:r>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IPO, we became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0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Net income attributable to non-controlling interests for the quarter ended September 25, 2022 was $1.6 million. There was no such income for the quarter ended September 26, 2021.</w:t>
      </w:r>
    </w:p>
    <w:p>
      <w:pPr>
        <w:spacing w:after="0" w:line="18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Net income attributable to non-controlling interests for the three quarters ended September 25, 2022 was $7.6 million. There was no such income for the three quarters ended September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Key Performance Indicators and Non-GAAP Financial Measures</w:t>
      </w:r>
    </w:p>
    <w:p>
      <w:pPr>
        <w:spacing w:after="0" w:line="25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new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Quarter Ended</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Quarters Ended</w:t>
            </w:r>
          </w:p>
        </w:tc>
        <w:tc>
          <w:tcPr>
            <w:tcW w:w="820" w:type="dxa"/>
            <w:vAlign w:val="bottom"/>
          </w:tcPr>
          <w:p>
            <w:pPr>
              <w:spacing w:after="0"/>
              <w:rPr>
                <w:sz w:val="19"/>
                <w:szCs w:val="19"/>
                <w:color w:val="auto"/>
              </w:rPr>
            </w:pPr>
          </w:p>
        </w:tc>
      </w:tr>
      <w:tr>
        <w:trPr>
          <w:trHeight w:val="245"/>
        </w:trPr>
        <w:tc>
          <w:tcPr>
            <w:tcW w:w="4280" w:type="dxa"/>
            <w:vAlign w:val="bottom"/>
          </w:tcPr>
          <w:p>
            <w:pPr>
              <w:spacing w:after="0"/>
              <w:rPr>
                <w:sz w:val="21"/>
                <w:szCs w:val="21"/>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26, 2021</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540" w:type="dxa"/>
            <w:vAlign w:val="bottom"/>
            <w:tcBorders>
              <w:top w:val="single" w:sz="8" w:color="auto"/>
            </w:tcBorders>
            <w:shd w:val="clear" w:color="auto" w:fill="DBDBDB"/>
          </w:tcPr>
          <w:p>
            <w:pPr>
              <w:spacing w:after="0"/>
              <w:rPr>
                <w:sz w:val="20"/>
                <w:szCs w:val="20"/>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spacing w:after="0"/>
              <w:rPr>
                <w:sz w:val="20"/>
                <w:szCs w:val="20"/>
                <w:color w:val="auto"/>
              </w:rPr>
            </w:pP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top w:val="single" w:sz="8" w:color="DBDBDB"/>
            </w:tcBorders>
            <w:shd w:val="clear" w:color="auto" w:fill="DBDBDB"/>
          </w:tcPr>
          <w:p>
            <w:pPr>
              <w:spacing w:after="0"/>
              <w:rPr>
                <w:sz w:val="20"/>
                <w:szCs w:val="20"/>
                <w:color w:val="auto"/>
              </w:rPr>
            </w:pPr>
          </w:p>
        </w:tc>
        <w:tc>
          <w:tcPr>
            <w:tcW w:w="860" w:type="dxa"/>
            <w:vAlign w:val="bottom"/>
            <w:tcBorders>
              <w:top w:val="single" w:sz="8" w:color="auto"/>
            </w:tcBorders>
            <w:shd w:val="clear" w:color="auto" w:fill="DBDBDB"/>
          </w:tcPr>
          <w:p>
            <w:pPr>
              <w:spacing w:after="0"/>
              <w:rPr>
                <w:sz w:val="20"/>
                <w:szCs w:val="20"/>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r>
      <w:tr>
        <w:trPr>
          <w:trHeight w:val="234"/>
        </w:trPr>
        <w:tc>
          <w:tcPr>
            <w:tcW w:w="428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5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7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N/A</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0"/>
                <w:szCs w:val="20"/>
                <w:color w:val="auto"/>
              </w:rPr>
            </w:pPr>
          </w:p>
        </w:tc>
        <w:tc>
          <w:tcPr>
            <w:tcW w:w="86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8.0</w:t>
            </w:r>
          </w:p>
        </w:tc>
      </w:tr>
      <w:tr>
        <w:trPr>
          <w:trHeight w:val="249"/>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6.8 %</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10.6 %</w:t>
            </w:r>
          </w:p>
        </w:tc>
      </w:tr>
      <w:tr>
        <w:trPr>
          <w:trHeight w:val="234"/>
        </w:trPr>
        <w:tc>
          <w:tcPr>
            <w:tcW w:w="4280" w:type="dxa"/>
            <w:vAlign w:val="bottom"/>
          </w:tcPr>
          <w:p>
            <w:pPr>
              <w:ind w:left="20"/>
              <w:spacing w:after="0"/>
              <w:rPr>
                <w:sz w:val="20"/>
                <w:szCs w:val="20"/>
                <w:color w:val="auto"/>
              </w:rPr>
            </w:pPr>
            <w:r>
              <w:rPr>
                <w:rFonts w:ascii="Arial" w:cs="Arial" w:eastAsia="Arial" w:hAnsi="Arial"/>
                <w:sz w:val="16"/>
                <w:szCs w:val="16"/>
                <w:color w:val="auto"/>
              </w:rPr>
              <w:t>Adjusted EBITDA (in thousands)</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21,620</w:t>
            </w:r>
          </w:p>
        </w:tc>
        <w:tc>
          <w:tcPr>
            <w:tcW w:w="100" w:type="dxa"/>
            <w:vAlign w:val="bottom"/>
          </w:tcPr>
          <w:p>
            <w:pPr>
              <w:spacing w:after="0"/>
              <w:rPr>
                <w:sz w:val="20"/>
                <w:szCs w:val="20"/>
                <w:color w:val="auto"/>
              </w:rPr>
            </w:pP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24,202</w:t>
            </w:r>
          </w:p>
        </w:tc>
        <w:tc>
          <w:tcPr>
            <w:tcW w:w="80" w:type="dxa"/>
            <w:vAlign w:val="bottom"/>
          </w:tcPr>
          <w:p>
            <w:pPr>
              <w:spacing w:after="0"/>
              <w:rPr>
                <w:sz w:val="20"/>
                <w:szCs w:val="20"/>
                <w:color w:val="auto"/>
              </w:rPr>
            </w:pP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66,864</w:t>
            </w:r>
          </w:p>
        </w:tc>
        <w:tc>
          <w:tcPr>
            <w:tcW w:w="80" w:type="dxa"/>
            <w:vAlign w:val="bottom"/>
          </w:tcPr>
          <w:p>
            <w:pPr>
              <w:spacing w:after="0"/>
              <w:rPr>
                <w:sz w:val="20"/>
                <w:szCs w:val="20"/>
                <w:color w:val="auto"/>
              </w:rPr>
            </w:pPr>
          </w:p>
        </w:tc>
        <w:tc>
          <w:tcPr>
            <w:tcW w:w="86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75,276</w:t>
            </w:r>
          </w:p>
        </w:tc>
      </w:tr>
      <w:tr>
        <w:trPr>
          <w:trHeight w:val="249"/>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17.5 %</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15.3 %</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19.0 %</w:t>
            </w:r>
          </w:p>
        </w:tc>
      </w:tr>
      <w:tr>
        <w:trPr>
          <w:trHeight w:val="234"/>
        </w:trPr>
        <w:tc>
          <w:tcPr>
            <w:tcW w:w="428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34,088</w:t>
            </w:r>
          </w:p>
        </w:tc>
        <w:tc>
          <w:tcPr>
            <w:tcW w:w="100" w:type="dxa"/>
            <w:vAlign w:val="bottom"/>
          </w:tcPr>
          <w:p>
            <w:pPr>
              <w:spacing w:after="0"/>
              <w:rPr>
                <w:sz w:val="20"/>
                <w:szCs w:val="20"/>
                <w:color w:val="auto"/>
              </w:rPr>
            </w:pP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34,243</w:t>
            </w:r>
          </w:p>
        </w:tc>
        <w:tc>
          <w:tcPr>
            <w:tcW w:w="80" w:type="dxa"/>
            <w:vAlign w:val="bottom"/>
          </w:tcPr>
          <w:p>
            <w:pPr>
              <w:spacing w:after="0"/>
              <w:rPr>
                <w:sz w:val="20"/>
                <w:szCs w:val="20"/>
                <w:color w:val="auto"/>
              </w:rPr>
            </w:pP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100,457</w:t>
            </w:r>
          </w:p>
        </w:tc>
        <w:tc>
          <w:tcPr>
            <w:tcW w:w="80" w:type="dxa"/>
            <w:vAlign w:val="bottom"/>
          </w:tcPr>
          <w:p>
            <w:pPr>
              <w:spacing w:after="0"/>
              <w:rPr>
                <w:sz w:val="20"/>
                <w:szCs w:val="20"/>
                <w:color w:val="auto"/>
              </w:rPr>
            </w:pPr>
          </w:p>
        </w:tc>
        <w:tc>
          <w:tcPr>
            <w:tcW w:w="86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107,069</w:t>
            </w:r>
          </w:p>
        </w:tc>
      </w:tr>
      <w:tr>
        <w:trPr>
          <w:trHeight w:val="249"/>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22.6 %</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24.8 %</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23.0 %</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27.0 %</w:t>
            </w:r>
          </w:p>
        </w:tc>
      </w:tr>
    </w:tbl>
    <w:p>
      <w:pPr>
        <w:spacing w:after="0" w:line="80" w:lineRule="exact"/>
        <w:rPr>
          <w:sz w:val="20"/>
          <w:szCs w:val="20"/>
          <w:color w:val="auto"/>
        </w:rPr>
      </w:pPr>
    </w:p>
    <w:p>
      <w:pPr>
        <w:ind w:left="240" w:hanging="233"/>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as described in Note 2. Summary Of Significant Accounting</w:t>
      </w:r>
    </w:p>
    <w:p>
      <w:pPr>
        <w:spacing w:after="0" w:line="19" w:lineRule="exact"/>
        <w:rPr>
          <w:rFonts w:ascii="Arial" w:cs="Arial" w:eastAsia="Arial" w:hAnsi="Arial"/>
          <w:sz w:val="16"/>
          <w:szCs w:val="16"/>
          <w:color w:val="auto"/>
        </w:rPr>
      </w:pPr>
    </w:p>
    <w:p>
      <w:pPr>
        <w:ind w:right="320"/>
        <w:spacing w:after="0" w:line="253" w:lineRule="auto"/>
        <w:rPr>
          <w:rFonts w:ascii="Arial" w:cs="Arial" w:eastAsia="Arial" w:hAnsi="Arial"/>
          <w:sz w:val="16"/>
          <w:szCs w:val="16"/>
          <w:color w:val="auto"/>
        </w:rPr>
      </w:pPr>
      <w:r>
        <w:rPr>
          <w:rFonts w:ascii="Arial" w:cs="Arial" w:eastAsia="Arial" w:hAnsi="Arial"/>
          <w:sz w:val="16"/>
          <w:szCs w:val="16"/>
          <w:color w:val="auto"/>
        </w:rPr>
        <w:t>Policies in the notes to the unaudited condensed consolidated financial statements. AUVs for the quarters ended September 25, 2022 and September 26, 2021 represent AUVs for the twelve months ended September 25, 2022 and September 26, 2021, respectively.</w:t>
      </w:r>
    </w:p>
    <w:p>
      <w:pPr>
        <w:ind w:left="240" w:hanging="233"/>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three quarters ended September 25, 2022 and September 26, 2021, there were 61 and 60 restaurants in our Comparable Restaurant Base, respectively. The Comparable Restaurant Base excludes a restaurant that is owned by C&amp;O, of which Portillo’s owns 50% of the equity, as described in Note 2. Summary Of Significant Accounting Policies in the notes to the unaudited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5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a restaurant that is owned by C&amp;O, divided by the number of restaurants in the Comparable Restaurant Base by period.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EBITDA represents net income before depreciation and amortization, interest expense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total revenues.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5" w:lineRule="exact"/>
        <w:rPr>
          <w:sz w:val="20"/>
          <w:szCs w:val="20"/>
          <w:color w:val="auto"/>
        </w:rPr>
      </w:pPr>
    </w:p>
    <w:p>
      <w:pPr>
        <w:ind w:right="940" w:firstLine="7"/>
        <w:spacing w:after="0" w:line="261" w:lineRule="auto"/>
        <w:tabs>
          <w:tab w:leader="none" w:pos="2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20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Quarter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Quarters Ended</w:t>
            </w:r>
          </w:p>
        </w:tc>
        <w:tc>
          <w:tcPr>
            <w:tcW w:w="800" w:type="dxa"/>
            <w:vAlign w:val="bottom"/>
          </w:tcPr>
          <w:p>
            <w:pPr>
              <w:spacing w:after="0"/>
              <w:rPr>
                <w:sz w:val="19"/>
                <w:szCs w:val="19"/>
                <w:color w:val="auto"/>
              </w:rPr>
            </w:pPr>
          </w:p>
        </w:tc>
      </w:tr>
      <w:tr>
        <w:trPr>
          <w:trHeight w:val="245"/>
        </w:trPr>
        <w:tc>
          <w:tcPr>
            <w:tcW w:w="4220" w:type="dxa"/>
            <w:vAlign w:val="bottom"/>
          </w:tcPr>
          <w:p>
            <w:pPr>
              <w:spacing w:after="0"/>
              <w:rPr>
                <w:sz w:val="21"/>
                <w:szCs w:val="21"/>
                <w:color w:val="auto"/>
              </w:rPr>
            </w:pP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26, 2021</w:t>
            </w: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42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540" w:type="dxa"/>
            <w:vAlign w:val="bottom"/>
            <w:tcBorders>
              <w:top w:val="single" w:sz="8" w:color="auto"/>
            </w:tcBorders>
            <w:shd w:val="clear" w:color="auto" w:fill="DBDBDB"/>
          </w:tcPr>
          <w:p>
            <w:pPr>
              <w:jc w:val="right"/>
              <w:ind w:right="36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3,198</w:t>
            </w:r>
          </w:p>
        </w:tc>
        <w:tc>
          <w:tcPr>
            <w:tcW w:w="10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jc w:val="right"/>
              <w:ind w:right="56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6,531</w:t>
            </w:r>
          </w:p>
        </w:tc>
        <w:tc>
          <w:tcPr>
            <w:tcW w:w="10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jc w:val="right"/>
              <w:ind w:right="32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14,504</w:t>
            </w:r>
          </w:p>
        </w:tc>
        <w:tc>
          <w:tcPr>
            <w:tcW w:w="100" w:type="dxa"/>
            <w:vAlign w:val="bottom"/>
            <w:tcBorders>
              <w:top w:val="single" w:sz="8" w:color="auto"/>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20,404</w:t>
            </w:r>
          </w:p>
        </w:tc>
      </w:tr>
      <w:tr>
        <w:trPr>
          <w:trHeight w:val="234"/>
        </w:trPr>
        <w:tc>
          <w:tcPr>
            <w:tcW w:w="4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5,289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5,516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15,803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18,225</w:t>
            </w:r>
          </w:p>
        </w:tc>
      </w:tr>
      <w:tr>
        <w:trPr>
          <w:trHeight w:val="249"/>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10,683</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19,286</w:t>
            </w:r>
          </w:p>
        </w:tc>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32,124</w:t>
            </w:r>
          </w:p>
        </w:tc>
      </w:tr>
      <w:tr>
        <w:trPr>
          <w:trHeight w:val="235"/>
        </w:trPr>
        <w:tc>
          <w:tcPr>
            <w:tcW w:w="4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54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3,511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41"/>
        </w:trPr>
        <w:tc>
          <w:tcPr>
            <w:tcW w:w="42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EBITDA</w:t>
            </w:r>
          </w:p>
        </w:tc>
        <w:tc>
          <w:tcPr>
            <w:tcW w:w="540" w:type="dxa"/>
            <w:vAlign w:val="bottom"/>
            <w:tcBorders>
              <w:top w:val="single" w:sz="8" w:color="auto"/>
            </w:tcBorders>
            <w:shd w:val="clear" w:color="auto" w:fill="DBDBDB"/>
          </w:tcPr>
          <w:p>
            <w:pPr>
              <w:spacing w:after="0"/>
              <w:rPr>
                <w:sz w:val="20"/>
                <w:szCs w:val="20"/>
                <w:color w:val="auto"/>
              </w:rPr>
            </w:pPr>
          </w:p>
        </w:tc>
        <w:tc>
          <w:tcPr>
            <w:tcW w:w="1140" w:type="dxa"/>
            <w:vAlign w:val="bottom"/>
            <w:tcBorders>
              <w:top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16,583</w:t>
            </w:r>
          </w:p>
        </w:tc>
        <w:tc>
          <w:tcPr>
            <w:tcW w:w="10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22,730</w:t>
            </w:r>
          </w:p>
        </w:tc>
        <w:tc>
          <w:tcPr>
            <w:tcW w:w="10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spacing w:after="0"/>
              <w:rPr>
                <w:sz w:val="20"/>
                <w:szCs w:val="20"/>
                <w:color w:val="auto"/>
              </w:rPr>
            </w:pPr>
          </w:p>
        </w:tc>
        <w:tc>
          <w:tcPr>
            <w:tcW w:w="118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53,104</w:t>
            </w:r>
          </w:p>
        </w:tc>
        <w:tc>
          <w:tcPr>
            <w:tcW w:w="100" w:type="dxa"/>
            <w:vAlign w:val="bottom"/>
            <w:tcBorders>
              <w:top w:val="single" w:sz="8" w:color="DBDBDB"/>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spacing w:after="0"/>
              <w:rPr>
                <w:sz w:val="20"/>
                <w:szCs w:val="20"/>
                <w:color w:val="auto"/>
              </w:rPr>
            </w:pPr>
          </w:p>
        </w:tc>
        <w:tc>
          <w:tcPr>
            <w:tcW w:w="80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70,753</w:t>
            </w:r>
          </w:p>
        </w:tc>
      </w:tr>
      <w:tr>
        <w:trPr>
          <w:trHeight w:val="234"/>
        </w:trPr>
        <w:tc>
          <w:tcPr>
            <w:tcW w:w="4220" w:type="dxa"/>
            <w:vAlign w:val="bottom"/>
          </w:tcPr>
          <w:p>
            <w:pPr>
              <w:ind w:left="20"/>
              <w:spacing w:after="0"/>
              <w:rPr>
                <w:sz w:val="20"/>
                <w:szCs w:val="20"/>
                <w:color w:val="auto"/>
              </w:rPr>
            </w:pPr>
            <w:r>
              <w:rPr>
                <w:rFonts w:ascii="Arial" w:cs="Arial" w:eastAsia="Arial" w:hAnsi="Arial"/>
                <w:sz w:val="16"/>
                <w:szCs w:val="16"/>
                <w:color w:val="auto"/>
              </w:rPr>
              <w:t>Deferred rent (1)</w:t>
            </w:r>
          </w:p>
        </w:tc>
        <w:tc>
          <w:tcPr>
            <w:tcW w:w="54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2,375</w:t>
            </w:r>
          </w:p>
        </w:tc>
      </w:tr>
      <w:tr>
        <w:trPr>
          <w:trHeight w:val="249"/>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Equity-based compensation</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11,347</w:t>
            </w:r>
          </w:p>
        </w:tc>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443</w:t>
            </w:r>
          </w:p>
        </w:tc>
      </w:tr>
      <w:tr>
        <w:trPr>
          <w:trHeight w:val="234"/>
        </w:trPr>
        <w:tc>
          <w:tcPr>
            <w:tcW w:w="4220" w:type="dxa"/>
            <w:vAlign w:val="bottom"/>
          </w:tcPr>
          <w:p>
            <w:pPr>
              <w:ind w:left="20"/>
              <w:spacing w:after="0"/>
              <w:rPr>
                <w:sz w:val="20"/>
                <w:szCs w:val="20"/>
                <w:color w:val="auto"/>
              </w:rPr>
            </w:pPr>
            <w:r>
              <w:rPr>
                <w:rFonts w:ascii="Arial" w:cs="Arial" w:eastAsia="Arial" w:hAnsi="Arial"/>
                <w:sz w:val="16"/>
                <w:szCs w:val="16"/>
                <w:color w:val="auto"/>
              </w:rPr>
              <w:t>Consulting fees (2)</w:t>
            </w:r>
          </w:p>
        </w:tc>
        <w:tc>
          <w:tcPr>
            <w:tcW w:w="54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1,168</w:t>
            </w:r>
          </w:p>
        </w:tc>
      </w:tr>
      <w:tr>
        <w:trPr>
          <w:trHeight w:val="249"/>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loss (3)</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157</w:t>
            </w:r>
          </w:p>
        </w:tc>
      </w:tr>
      <w:tr>
        <w:trPr>
          <w:trHeight w:val="234"/>
        </w:trPr>
        <w:tc>
          <w:tcPr>
            <w:tcW w:w="4220" w:type="dxa"/>
            <w:vAlign w:val="bottom"/>
          </w:tcPr>
          <w:p>
            <w:pPr>
              <w:ind w:left="20"/>
              <w:spacing w:after="0"/>
              <w:rPr>
                <w:sz w:val="20"/>
                <w:szCs w:val="20"/>
                <w:color w:val="auto"/>
              </w:rPr>
            </w:pPr>
            <w:r>
              <w:rPr>
                <w:rFonts w:ascii="Arial" w:cs="Arial" w:eastAsia="Arial" w:hAnsi="Arial"/>
                <w:sz w:val="16"/>
                <w:szCs w:val="16"/>
                <w:color w:val="auto"/>
              </w:rPr>
              <w:t>Transaction-related fees &amp; expenses (4)</w:t>
            </w:r>
          </w:p>
        </w:tc>
        <w:tc>
          <w:tcPr>
            <w:tcW w:w="54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380</w:t>
            </w:r>
          </w:p>
        </w:tc>
      </w:tr>
      <w:tr>
        <w:trPr>
          <w:trHeight w:val="242"/>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 adjustment (5)</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80"/>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80"/>
              <w:spacing w:after="0"/>
              <w:rPr>
                <w:sz w:val="20"/>
                <w:szCs w:val="20"/>
                <w:color w:val="auto"/>
              </w:rPr>
            </w:pPr>
            <w:r>
              <w:rPr>
                <w:rFonts w:ascii="Arial" w:cs="Arial" w:eastAsia="Arial" w:hAnsi="Arial"/>
                <w:sz w:val="16"/>
                <w:szCs w:val="16"/>
                <w:color w:val="auto"/>
              </w:rPr>
              <w:t>(2,462)</w:t>
            </w:r>
          </w:p>
        </w:tc>
        <w:tc>
          <w:tcPr>
            <w:tcW w:w="10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w:t>
            </w:r>
          </w:p>
        </w:tc>
      </w:tr>
      <w:tr>
        <w:trPr>
          <w:trHeight w:val="235"/>
        </w:trPr>
        <w:tc>
          <w:tcPr>
            <w:tcW w:w="4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5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21,620</w:t>
            </w:r>
          </w:p>
        </w:tc>
        <w:tc>
          <w:tcPr>
            <w:tcW w:w="100" w:type="dxa"/>
            <w:vAlign w:val="bottom"/>
            <w:tcBorders>
              <w:bottom w:val="single" w:sz="8" w:color="DBDBDB"/>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24,202</w:t>
            </w:r>
          </w:p>
        </w:tc>
        <w:tc>
          <w:tcPr>
            <w:tcW w:w="100" w:type="dxa"/>
            <w:vAlign w:val="bottom"/>
            <w:tcBorders>
              <w:bottom w:val="single" w:sz="8" w:color="DBDBDB"/>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66,864</w:t>
            </w:r>
          </w:p>
        </w:tc>
        <w:tc>
          <w:tcPr>
            <w:tcW w:w="10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75,276</w:t>
            </w:r>
          </w:p>
        </w:tc>
      </w:tr>
      <w:tr>
        <w:trPr>
          <w:trHeight w:val="266"/>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54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Borders>
              <w:bottom w:val="single" w:sz="8" w:color="DBDBDB"/>
            </w:tcBorders>
            <w:shd w:val="clear" w:color="auto" w:fill="DBDBDB"/>
          </w:tcPr>
          <w:p>
            <w:pPr>
              <w:spacing w:after="0"/>
              <w:rPr>
                <w:sz w:val="22"/>
                <w:szCs w:val="22"/>
                <w:color w:val="auto"/>
              </w:rPr>
            </w:pPr>
          </w:p>
        </w:tc>
        <w:tc>
          <w:tcPr>
            <w:tcW w:w="74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Borders>
              <w:bottom w:val="single" w:sz="8" w:color="DBDBDB"/>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Borders>
              <w:bottom w:val="single" w:sz="8" w:color="DBDBDB"/>
            </w:tcBorders>
            <w:shd w:val="clear" w:color="auto" w:fill="DBDBDB"/>
          </w:tcPr>
          <w:p>
            <w:pPr>
              <w:spacing w:after="0"/>
              <w:rPr>
                <w:sz w:val="22"/>
                <w:szCs w:val="22"/>
                <w:color w:val="auto"/>
              </w:rPr>
            </w:pPr>
          </w:p>
        </w:tc>
        <w:tc>
          <w:tcPr>
            <w:tcW w:w="880" w:type="dxa"/>
            <w:vAlign w:val="bottom"/>
            <w:tcBorders>
              <w:bottom w:val="single" w:sz="8" w:color="auto"/>
            </w:tcBorders>
            <w:shd w:val="clear" w:color="auto" w:fill="DBDBDB"/>
          </w:tcPr>
          <w:p>
            <w:pPr>
              <w:spacing w:after="0"/>
              <w:rPr>
                <w:sz w:val="22"/>
                <w:szCs w:val="22"/>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19.0 %</w:t>
            </w: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29" w:lineRule="exact"/>
        <w:rPr>
          <w:rFonts w:ascii="Arial" w:cs="Arial" w:eastAsia="Arial" w:hAnsi="Arial"/>
          <w:sz w:val="16"/>
          <w:szCs w:val="16"/>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consulting fees related to our former owner.</w:t>
      </w:r>
    </w:p>
    <w:p>
      <w:pPr>
        <w:spacing w:after="0" w:line="7" w:lineRule="exact"/>
        <w:rPr>
          <w:rFonts w:ascii="Arial" w:cs="Arial" w:eastAsia="Arial" w:hAnsi="Arial"/>
          <w:sz w:val="16"/>
          <w:szCs w:val="16"/>
          <w:color w:val="auto"/>
        </w:rPr>
      </w:pPr>
    </w:p>
    <w:p>
      <w:pPr>
        <w:ind w:left="240" w:hanging="233"/>
        <w:spacing w:after="0" w:line="227" w:lineRule="auto"/>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w:t>
      </w:r>
    </w:p>
    <w:p>
      <w:pPr>
        <w:spacing w:after="0" w:line="232" w:lineRule="auto"/>
        <w:rPr>
          <w:sz w:val="20"/>
          <w:szCs w:val="20"/>
          <w:color w:val="auto"/>
        </w:rPr>
      </w:pPr>
      <w:r>
        <w:rPr>
          <w:rFonts w:ascii="Arial" w:cs="Arial" w:eastAsia="Arial" w:hAnsi="Arial"/>
          <w:sz w:val="16"/>
          <w:szCs w:val="16"/>
          <w:color w:val="auto"/>
        </w:rPr>
        <w:t>professional fees.</w:t>
      </w:r>
    </w:p>
    <w:p>
      <w:pPr>
        <w:spacing w:after="0"/>
        <w:rPr>
          <w:sz w:val="20"/>
          <w:szCs w:val="20"/>
          <w:color w:val="auto"/>
        </w:rPr>
      </w:pPr>
      <w:r>
        <w:rPr>
          <w:rFonts w:ascii="Arial" w:cs="Arial" w:eastAsia="Arial" w:hAnsi="Arial"/>
          <w:sz w:val="16"/>
          <w:szCs w:val="16"/>
          <w:color w:val="auto"/>
        </w:rPr>
        <w:t>(5) Represents remeasurement of the Tax Receivable Agreement liability.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1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20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Quarter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Quarters Ended</w:t>
            </w:r>
          </w:p>
        </w:tc>
        <w:tc>
          <w:tcPr>
            <w:tcW w:w="840" w:type="dxa"/>
            <w:vAlign w:val="bottom"/>
          </w:tcPr>
          <w:p>
            <w:pPr>
              <w:spacing w:after="0"/>
              <w:rPr>
                <w:sz w:val="19"/>
                <w:szCs w:val="19"/>
                <w:color w:val="auto"/>
              </w:rPr>
            </w:pPr>
          </w:p>
        </w:tc>
      </w:tr>
      <w:tr>
        <w:trPr>
          <w:trHeight w:val="245"/>
        </w:trPr>
        <w:tc>
          <w:tcPr>
            <w:tcW w:w="4220" w:type="dxa"/>
            <w:vAlign w:val="bottom"/>
          </w:tcPr>
          <w:p>
            <w:pPr>
              <w:spacing w:after="0"/>
              <w:rPr>
                <w:sz w:val="21"/>
                <w:szCs w:val="21"/>
                <w:color w:val="auto"/>
              </w:rPr>
            </w:pPr>
          </w:p>
        </w:tc>
        <w:tc>
          <w:tcPr>
            <w:tcW w:w="1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25, 2022</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26, 2021</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42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tcBorders>
              <w:top w:val="single" w:sz="8" w:color="auto"/>
            </w:tcBorders>
            <w:shd w:val="clear" w:color="auto" w:fill="DBDBDB"/>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10,586</w:t>
            </w:r>
          </w:p>
        </w:tc>
        <w:tc>
          <w:tcPr>
            <w:tcW w:w="12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jc w:val="right"/>
              <w:ind w:right="56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17,214</w:t>
            </w:r>
          </w:p>
        </w:tc>
        <w:tc>
          <w:tcPr>
            <w:tcW w:w="10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jc w:val="right"/>
              <w:ind w:right="32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34,839</w:t>
            </w:r>
          </w:p>
        </w:tc>
        <w:tc>
          <w:tcPr>
            <w:tcW w:w="100" w:type="dxa"/>
            <w:vAlign w:val="bottom"/>
            <w:tcBorders>
              <w:top w:val="single" w:sz="8" w:color="DBDBDB"/>
            </w:tcBorders>
            <w:shd w:val="clear" w:color="auto" w:fill="DBDBDB"/>
          </w:tcPr>
          <w:p>
            <w:pPr>
              <w:spacing w:after="0"/>
              <w:rPr>
                <w:sz w:val="20"/>
                <w:szCs w:val="20"/>
                <w:color w:val="auto"/>
              </w:rPr>
            </w:pPr>
          </w:p>
        </w:tc>
        <w:tc>
          <w:tcPr>
            <w:tcW w:w="860" w:type="dxa"/>
            <w:vAlign w:val="bottom"/>
            <w:tcBorders>
              <w:top w:val="single" w:sz="8" w:color="auto"/>
            </w:tcBorders>
            <w:shd w:val="clear" w:color="auto" w:fill="DBDBDB"/>
          </w:tcPr>
          <w:p>
            <w:pPr>
              <w:jc w:val="right"/>
              <w:ind w:right="68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DBDBDB"/>
          </w:tcPr>
          <w:p>
            <w:pPr>
              <w:jc w:val="right"/>
              <w:ind w:right="120"/>
              <w:spacing w:after="0"/>
              <w:rPr>
                <w:sz w:val="20"/>
                <w:szCs w:val="20"/>
                <w:color w:val="auto"/>
              </w:rPr>
            </w:pPr>
            <w:r>
              <w:rPr>
                <w:rFonts w:ascii="Arial" w:cs="Arial" w:eastAsia="Arial" w:hAnsi="Arial"/>
                <w:sz w:val="16"/>
                <w:szCs w:val="16"/>
                <w:color w:val="auto"/>
              </w:rPr>
              <w:t>52,528</w:t>
            </w:r>
          </w:p>
        </w:tc>
      </w:tr>
      <w:tr>
        <w:trPr>
          <w:trHeight w:val="234"/>
        </w:trPr>
        <w:tc>
          <w:tcPr>
            <w:tcW w:w="4220" w:type="dxa"/>
            <w:vAlign w:val="bottom"/>
          </w:tcPr>
          <w:p>
            <w:pPr>
              <w:ind w:left="20"/>
              <w:spacing w:after="0"/>
              <w:rPr>
                <w:sz w:val="20"/>
                <w:szCs w:val="20"/>
                <w:color w:val="auto"/>
              </w:rPr>
            </w:pPr>
            <w:r>
              <w:rPr>
                <w:rFonts w:ascii="Arial" w:cs="Arial" w:eastAsia="Arial" w:hAnsi="Arial"/>
                <w:sz w:val="16"/>
                <w:szCs w:val="16"/>
                <w:color w:val="auto"/>
              </w:rPr>
              <w:t>Plus:</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42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18,059</w:t>
            </w:r>
          </w:p>
        </w:tc>
        <w:tc>
          <w:tcPr>
            <w:tcW w:w="1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11,750</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49,185</w:t>
            </w:r>
          </w:p>
        </w:tc>
        <w:tc>
          <w:tcPr>
            <w:tcW w:w="10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4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35,755</w:t>
            </w:r>
          </w:p>
        </w:tc>
      </w:tr>
      <w:tr>
        <w:trPr>
          <w:trHeight w:val="234"/>
        </w:trPr>
        <w:tc>
          <w:tcPr>
            <w:tcW w:w="422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560" w:type="dxa"/>
            <w:vAlign w:val="bottom"/>
          </w:tcPr>
          <w:p>
            <w:pPr>
              <w:spacing w:after="0"/>
              <w:rPr>
                <w:sz w:val="20"/>
                <w:szCs w:val="20"/>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2,307</w:t>
            </w:r>
          </w:p>
        </w:tc>
      </w:tr>
      <w:tr>
        <w:trPr>
          <w:trHeight w:val="249"/>
        </w:trPr>
        <w:tc>
          <w:tcPr>
            <w:tcW w:w="42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5,289</w:t>
            </w:r>
          </w:p>
        </w:tc>
        <w:tc>
          <w:tcPr>
            <w:tcW w:w="1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5,516</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15,803</w:t>
            </w:r>
          </w:p>
        </w:tc>
        <w:tc>
          <w:tcPr>
            <w:tcW w:w="10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4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18,225</w:t>
            </w:r>
          </w:p>
        </w:tc>
      </w:tr>
      <w:tr>
        <w:trPr>
          <w:trHeight w:val="234"/>
        </w:trPr>
        <w:tc>
          <w:tcPr>
            <w:tcW w:w="422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56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(651)</w:t>
            </w:r>
          </w:p>
        </w:tc>
      </w:tr>
      <w:tr>
        <w:trPr>
          <w:trHeight w:val="242"/>
        </w:trPr>
        <w:tc>
          <w:tcPr>
            <w:tcW w:w="42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loss (income), net</w:t>
            </w:r>
          </w:p>
        </w:tc>
        <w:tc>
          <w:tcPr>
            <w:tcW w:w="56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(1,095)</w:t>
            </w:r>
          </w:p>
        </w:tc>
      </w:tr>
      <w:tr>
        <w:trPr>
          <w:trHeight w:val="235"/>
        </w:trPr>
        <w:tc>
          <w:tcPr>
            <w:tcW w:w="4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5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34,088</w:t>
            </w:r>
          </w:p>
        </w:tc>
        <w:tc>
          <w:tcPr>
            <w:tcW w:w="120" w:type="dxa"/>
            <w:vAlign w:val="bottom"/>
            <w:tcBorders>
              <w:bottom w:val="single" w:sz="8" w:color="DBDBDB"/>
            </w:tcBorders>
          </w:tcPr>
          <w:p>
            <w:pPr>
              <w:spacing w:after="0"/>
              <w:rPr>
                <w:sz w:val="20"/>
                <w:szCs w:val="20"/>
                <w:color w:val="auto"/>
              </w:rPr>
            </w:pP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34,243</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100,457</w:t>
            </w:r>
          </w:p>
        </w:tc>
        <w:tc>
          <w:tcPr>
            <w:tcW w:w="100" w:type="dxa"/>
            <w:vAlign w:val="bottom"/>
            <w:tcBorders>
              <w:bottom w:val="single" w:sz="8" w:color="DBDBDB"/>
            </w:tcBorders>
          </w:tcPr>
          <w:p>
            <w:pPr>
              <w:spacing w:after="0"/>
              <w:rPr>
                <w:sz w:val="20"/>
                <w:szCs w:val="20"/>
                <w:color w:val="auto"/>
              </w:rPr>
            </w:pPr>
          </w:p>
        </w:tc>
        <w:tc>
          <w:tcPr>
            <w:tcW w:w="86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107,069</w:t>
            </w:r>
          </w:p>
        </w:tc>
      </w:tr>
      <w:tr>
        <w:trPr>
          <w:trHeight w:val="266"/>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560" w:type="dxa"/>
            <w:vAlign w:val="bottom"/>
            <w:tcBorders>
              <w:bottom w:val="single" w:sz="8" w:color="auto"/>
            </w:tcBorders>
            <w:shd w:val="clear" w:color="auto" w:fill="DBDBDB"/>
          </w:tcPr>
          <w:p>
            <w:pPr>
              <w:spacing w:after="0"/>
              <w:rPr>
                <w:sz w:val="22"/>
                <w:szCs w:val="2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22.6 %</w:t>
            </w:r>
          </w:p>
        </w:tc>
        <w:tc>
          <w:tcPr>
            <w:tcW w:w="120" w:type="dxa"/>
            <w:vAlign w:val="bottom"/>
            <w:tcBorders>
              <w:bottom w:val="single" w:sz="8" w:color="DBDBDB"/>
            </w:tcBorders>
            <w:shd w:val="clear" w:color="auto" w:fill="DBDBDB"/>
          </w:tcPr>
          <w:p>
            <w:pPr>
              <w:spacing w:after="0"/>
              <w:rPr>
                <w:sz w:val="22"/>
                <w:szCs w:val="22"/>
                <w:color w:val="auto"/>
              </w:rPr>
            </w:pPr>
          </w:p>
        </w:tc>
        <w:tc>
          <w:tcPr>
            <w:tcW w:w="74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Borders>
              <w:bottom w:val="single" w:sz="8" w:color="DBDBDB"/>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Borders>
              <w:bottom w:val="single" w:sz="8" w:color="DBDBDB"/>
            </w:tcBorders>
            <w:shd w:val="clear" w:color="auto" w:fill="DBDBDB"/>
          </w:tcPr>
          <w:p>
            <w:pPr>
              <w:spacing w:after="0"/>
              <w:rPr>
                <w:sz w:val="22"/>
                <w:szCs w:val="22"/>
                <w:color w:val="auto"/>
              </w:rPr>
            </w:pPr>
          </w:p>
        </w:tc>
        <w:tc>
          <w:tcPr>
            <w:tcW w:w="860" w:type="dxa"/>
            <w:vAlign w:val="bottom"/>
            <w:tcBorders>
              <w:bottom w:val="single" w:sz="8" w:color="auto"/>
            </w:tcBorders>
            <w:shd w:val="clear" w:color="auto" w:fill="DBDBDB"/>
          </w:tcPr>
          <w:p>
            <w:pPr>
              <w:spacing w:after="0"/>
              <w:rPr>
                <w:sz w:val="22"/>
                <w:szCs w:val="22"/>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27.0 %</w:t>
            </w: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Liquidity and Capital Resources</w:t>
      </w:r>
    </w:p>
    <w:p>
      <w:pPr>
        <w:spacing w:after="0" w:line="25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Revolving Facility. As of September 25, 2022, we maintained a cash and cash equivalents and restricted cash balance of $46.7 million and had $45.0 million of availability under our Revolver, after giving effect to $5.0 million in outstanding letters of credit.</w:t>
      </w:r>
    </w:p>
    <w:p>
      <w:pPr>
        <w:spacing w:after="0" w:line="19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0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Liquidity Upon IPO</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October 25, 2021, Portillo's Inc. completed the IPO of 23,310,810 shares of the Class A common stock (including 3,040,540 shares sold to the underwriters pursuant to their overallotment option). Portillo's Inc. received net proceeds from the offering of approximately</w:t>
      </w:r>
    </w:p>
    <w:p>
      <w:pPr>
        <w:ind w:right="60"/>
        <w:spacing w:after="0" w:line="261" w:lineRule="auto"/>
        <w:rPr>
          <w:sz w:val="20"/>
          <w:szCs w:val="20"/>
          <w:color w:val="auto"/>
        </w:rPr>
      </w:pPr>
      <w:r>
        <w:rPr>
          <w:rFonts w:ascii="Arial" w:cs="Arial" w:eastAsia="Arial" w:hAnsi="Arial"/>
          <w:sz w:val="18"/>
          <w:szCs w:val="18"/>
          <w:color w:val="auto"/>
        </w:rPr>
        <w:t>$430.0 million (after deducting underwriting fees and commissions and offering expenses). The net proceeds and cash on hand were used as follows:</w:t>
      </w:r>
    </w:p>
    <w:p>
      <w:pPr>
        <w:spacing w:after="0" w:line="202" w:lineRule="exact"/>
        <w:rPr>
          <w:sz w:val="20"/>
          <w:szCs w:val="20"/>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5" w:lineRule="exact"/>
        <w:rPr>
          <w:rFonts w:ascii="Arial" w:cs="Arial" w:eastAsia="Arial" w:hAnsi="Arial"/>
          <w:sz w:val="18"/>
          <w:szCs w:val="18"/>
          <w:color w:val="auto"/>
        </w:rPr>
      </w:pPr>
    </w:p>
    <w:p>
      <w:pPr>
        <w:ind w:left="660" w:right="1180" w:hanging="331"/>
        <w:spacing w:after="0" w:line="248"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third quarter of 2022, the Company completed a secondary offering of 8,066,458 shares (including 66,458 shares sold to the underwriters pursuant to their overallotment option) of the Company's Class A common stock at an offering price of $23.75 per share. All of the shares sold in the offering represented shares owned by pre-IPO LLC Members directly or indirectly through the Blocker Companies. The Company did not receive any proceeds from the sale of shares of Class A common stock, but rather used the net proceeds to purchase shares and LLC Units, as applicable, from the pre-IPO LLC Members.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pursuant to which we will generally be required to pay 85% of the amount of cash savings, if any, in U.S. federal, state, and local income tax that we actually realize or be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w:t>
      </w:r>
    </w:p>
    <w:p>
      <w:pPr>
        <w:spacing w:after="0" w:line="21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of September 25, 2022, we estimate that our obligation for future payments under the TRA totaled $ 205.3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$241.5 million as of September 25, 2022. Under this scenario, we would be required to pay the TRA Parties approximately 85% of such amount, or $205.3 million, primarily over the next 15 years, substantially declining in year 16 through year 47.</w:t>
      </w:r>
    </w:p>
    <w:p>
      <w:pPr>
        <w:spacing w:after="0" w:line="394"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Summary of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9"/>
                <w:szCs w:val="19"/>
                <w:color w:val="auto"/>
              </w:rPr>
            </w:pPr>
          </w:p>
        </w:tc>
        <w:tc>
          <w:tcPr>
            <w:tcW w:w="3920" w:type="dxa"/>
            <w:vAlign w:val="bottom"/>
            <w:gridSpan w:val="4"/>
          </w:tcPr>
          <w:p>
            <w:pPr>
              <w:jc w:val="right"/>
              <w:ind w:right="1120"/>
              <w:spacing w:after="0"/>
              <w:rPr>
                <w:sz w:val="20"/>
                <w:szCs w:val="20"/>
                <w:color w:val="auto"/>
              </w:rPr>
            </w:pPr>
            <w:r>
              <w:rPr>
                <w:rFonts w:ascii="Arial" w:cs="Arial" w:eastAsia="Arial" w:hAnsi="Arial"/>
                <w:sz w:val="16"/>
                <w:szCs w:val="16"/>
                <w:b w:val="1"/>
                <w:bCs w:val="1"/>
                <w:color w:val="auto"/>
              </w:rPr>
              <w:t>Three Quarters Ended</w:t>
            </w:r>
          </w:p>
        </w:tc>
      </w:tr>
      <w:tr>
        <w:trPr>
          <w:trHeight w:val="245"/>
        </w:trPr>
        <w:tc>
          <w:tcPr>
            <w:tcW w:w="716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September 26, 2021</w:t>
            </w:r>
          </w:p>
        </w:tc>
      </w:tr>
      <w:tr>
        <w:trPr>
          <w:trHeight w:val="238"/>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38,969</w:t>
            </w: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39,891</w:t>
            </w:r>
          </w:p>
        </w:tc>
      </w:tr>
      <w:tr>
        <w:trPr>
          <w:trHeight w:val="234"/>
        </w:trPr>
        <w:tc>
          <w:tcPr>
            <w:tcW w:w="7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(27,764)</w:t>
            </w:r>
          </w:p>
        </w:tc>
      </w:tr>
      <w:tr>
        <w:trPr>
          <w:trHeight w:val="242"/>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(4,002)</w:t>
            </w:r>
          </w:p>
        </w:tc>
      </w:tr>
      <w:tr>
        <w:trPr>
          <w:trHeight w:val="234"/>
        </w:trPr>
        <w:tc>
          <w:tcPr>
            <w:tcW w:w="71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7,459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8,125</w:t>
            </w:r>
          </w:p>
        </w:tc>
      </w:tr>
      <w:tr>
        <w:trPr>
          <w:trHeight w:val="242"/>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6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r>
      <w:tr>
        <w:trPr>
          <w:trHeight w:val="241"/>
        </w:trPr>
        <w:tc>
          <w:tcPr>
            <w:tcW w:w="716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49,557</w:t>
            </w: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for the three quarters ended September 25, 2022 was $39.0 million compared to net cash provided by operating activities of $39.9 million for the three quarters ended September 26, 2021, a decrease of $0.9 million or 2.3%. This decrease was primarily driven by lower net income of $5.9 million, the change in operating assets and liabilities of $3.8 million and partially offset by the change in non-cash items of $8.8 million.</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$3.8 million change in our operating asset and liability balances was primarily driven by operating assets and liabilities being a use of net cash of $8.3 million in the three quarters ended September 25, 2022, compared to a use of net cash of $4.4 million in three quarters ended September 26, 2021 driven by the change in trade receivables, accounts payable, and accrued expenses and other liabilities in the three quarters ended September 25, 2022. The $8.8 million change from the three quarters ended September 25, 2022 in non-cash charges is primarily attributable to equity-based compensation, offset by a decrease in depreciation and amortization.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57"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Net cash used in investing activities was $30.0 million for the three quarters ended September 25, 2022 compared to $27.8 million for the three quarters ended September 26, 2021, an increase of $2.2 million or 7.9%. This increase was primarily due to the timing and number of restaurant openings in 2022 compared to the timing and number of restaurant openings in 2021.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44"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Net cash used in financing activities was $1.5 million for the three quarters ended September 25, 2022 compared to net cash used in financing activities of $4.0 million for the three quarters ended September 26, 2021, a decrease of $2.5 million or 61.5%. This decrease is primarily due to a decrease in payment of initial public offering costs of $1.3 million and proceeds from stock option exercises of $1.7 million.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Revolving Facility and Liens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We maintain a Revolving Facility that provides for a revolving total commitment amount of $50.0 million. The Revolving Facility will mature and all amounts outstanding will be due and payable in June 2024. The Revolving Facility permits the issuance of letters of credit upon our request.</w:t>
      </w:r>
    </w:p>
    <w:p>
      <w:pPr>
        <w:spacing w:after="0" w:line="199" w:lineRule="exact"/>
        <w:rPr>
          <w:sz w:val="20"/>
          <w:szCs w:val="20"/>
          <w:color w:val="auto"/>
        </w:rPr>
      </w:pPr>
    </w:p>
    <w:p>
      <w:pPr>
        <w:jc w:val="both"/>
        <w:ind w:right="520"/>
        <w:spacing w:after="0" w:line="282" w:lineRule="auto"/>
        <w:rPr>
          <w:sz w:val="20"/>
          <w:szCs w:val="20"/>
          <w:color w:val="auto"/>
        </w:rPr>
      </w:pPr>
      <w:r>
        <w:rPr>
          <w:rFonts w:ascii="Arial" w:cs="Arial" w:eastAsia="Arial" w:hAnsi="Arial"/>
          <w:sz w:val="18"/>
          <w:szCs w:val="18"/>
          <w:color w:val="auto"/>
        </w:rPr>
        <w:t>As of September 25, 2022, there were no borrowings outstanding under the Revolving Facility. We had $45.0 million of availability, as of September 25, 2022, after giving effect to $5.0 million in outstanding letters of credit.</w:t>
      </w:r>
    </w:p>
    <w:p>
      <w:pPr>
        <w:spacing w:after="0" w:line="184" w:lineRule="exact"/>
        <w:rPr>
          <w:sz w:val="20"/>
          <w:szCs w:val="20"/>
          <w:color w:val="auto"/>
        </w:rPr>
      </w:pPr>
    </w:p>
    <w:p>
      <w:pPr>
        <w:jc w:val="both"/>
        <w:ind w:right="500"/>
        <w:spacing w:after="0" w:line="265"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(including prepayment penalties) in full.</w:t>
      </w:r>
    </w:p>
    <w:p>
      <w:pPr>
        <w:spacing w:after="0" w:line="199"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Borrowings under the First Lien Credit Agreement are guaranteed by PHD Intermediate LLC ("Holdings"), Portillo’s Holdings LLC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199"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color w:val="auto"/>
        </w:rPr>
        <w:t>The Borrower is subject to certain financial and reporting covenants pursuant to the terms of the First Lien Credit Agreement. These covenants are customary for these types of debt agreements. As of September 25, 2022, the Company was in compliance with all covenants.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Material Cash Requirements</w:t>
      </w:r>
    </w:p>
    <w:p>
      <w:pPr>
        <w:spacing w:after="0" w:line="25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There have been no material changes to the material cash requirements as disclosed in our Annual Report on Form 10-K for the fiscal year ended December 26, 2021, other than those payments made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Critical Accounting Estimates</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condensed consolidated financial statements, which have been prepared in accordance with generally accepted accounting principles in the United States of America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in our Annual Report on Form 10-K for the fiscal year ended December 26, 2021.</w:t>
      </w:r>
    </w:p>
    <w:p>
      <w:pPr>
        <w:spacing w:after="0" w:line="20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See Note 2. Summary Of Significant Accounting Policies under Part I, Item 1 of this Form 10-Q for an analysis of recently issued accounting pronouncements.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JOBS Act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long as we are an EGC, we may take advantage of certain exemptions from various reporting requirements that are applicable to other public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companies that are not EGCs, including, but not limited to, not being required to comply with the auditor attestation requirements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Section 404(b) of the Sarbanes-Oxley Act, reduced disclosure obligations regarding executive compensation in our periodic reports and proxy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exemptions from the requirements of holding advisory “say-on-pay” votes on executive compensation and shareholder advisory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votes on golden parachute compensation.</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$1.07 billion in annual gross revenue, have a market value for our Class A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3. Quantitative and Qualitative Disclosures About Market Risk.</w:t>
      </w:r>
    </w:p>
    <w:p>
      <w:pPr>
        <w:spacing w:after="0" w:line="25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There have been no material changes to our exposure to market risks as described in Part II, Item 7A of our Annual Report on Form 10-K for the fiscal year ended December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4. Controls and Procedures.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5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5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25,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20320</wp:posOffset>
            </wp:positionV>
            <wp:extent cx="5924550" cy="323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2455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1. Legal Proceedings.</w:t>
      </w:r>
    </w:p>
    <w:p>
      <w:pPr>
        <w:spacing w:after="0" w:line="25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Information regarding certain legal proceedings to which the Company is a party are discussed in Note 13. Contingencies in the notes to the unaudited condensed consolidated financial statements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1A. Risk Factors.</w:t>
      </w:r>
    </w:p>
    <w:p>
      <w:pPr>
        <w:spacing w:after="0" w:line="25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fiscal year ended December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2. Unregistered Sales of Equity Securities and Use of Proceeds.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third quarter of 2022, the Company completed a secondary offering of 8,066,458 shares (including 66,458 shares sold to the underwriters pursuant to their overallotment option) of the Company's Class A common stock at an offering price of $23.75 per share. We used all of the net proceeds from the secondary offering to purchase LLC Units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The shares sold in the offering represented (i) 2,123,899 existing shares of Class A common stock held by the pre-IPO LLC Members and (ii) 5,942,559 newly-issued shares of Class A common stock issued in connection with the redemption of 5,942,559 LLC interests by the pre-IPO LLC Members. In connection with the redemption, 5,942,559 shares of Class B common stock were surrendered by the pre-IPO LLC Members and canceled and the Company received 5,942,559 newly-issued LLC interests, increasing the Company's total ownership interest in Portillo's OpCo.</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3. Defaults Upon Senior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4. Mine Safety Disclosures.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5.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6.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22"/>
                <w:szCs w:val="22"/>
                <w:color w:val="auto"/>
              </w:rPr>
            </w:pPr>
          </w:p>
        </w:tc>
        <w:tc>
          <w:tcPr>
            <w:tcW w:w="8940" w:type="dxa"/>
            <w:vAlign w:val="bottom"/>
            <w:gridSpan w:val="11"/>
          </w:tcPr>
          <w:p>
            <w:pPr>
              <w:ind w:left="394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01"/>
        </w:trPr>
        <w:tc>
          <w:tcPr>
            <w:tcW w:w="20" w:type="dxa"/>
            <w:vAlign w:val="bottom"/>
            <w:tcBorders>
              <w:top w:val="single" w:sz="8" w:color="auto"/>
            </w:tcBorders>
            <w:vMerge w:val="restart"/>
          </w:tcPr>
          <w:p>
            <w:pPr>
              <w:spacing w:after="0"/>
              <w:rPr>
                <w:sz w:val="17"/>
                <w:szCs w:val="17"/>
                <w:color w:val="auto"/>
              </w:rPr>
            </w:pPr>
          </w:p>
        </w:tc>
        <w:tc>
          <w:tcPr>
            <w:tcW w:w="260" w:type="dxa"/>
            <w:vAlign w:val="bottom"/>
            <w:tcBorders>
              <w:top w:val="single" w:sz="8" w:color="auto"/>
            </w:tcBorders>
            <w:vMerge w:val="restart"/>
          </w:tcPr>
          <w:p>
            <w:pPr>
              <w:spacing w:after="0"/>
              <w:rPr>
                <w:rFonts w:ascii="Arial" w:cs="Arial" w:eastAsia="Arial" w:hAnsi="Arial"/>
                <w:sz w:val="18"/>
                <w:szCs w:val="18"/>
                <w:color w:val="auto"/>
                <w:w w:val="95"/>
              </w:rPr>
            </w:pPr>
            <w:hyperlink r:id="rId95">
              <w:r>
                <w:rPr>
                  <w:rFonts w:ascii="Arial" w:cs="Arial" w:eastAsia="Arial" w:hAnsi="Arial"/>
                  <w:sz w:val="18"/>
                  <w:szCs w:val="18"/>
                  <w:color w:val="auto"/>
                  <w:w w:val="95"/>
                </w:rPr>
                <w:t>3.</w:t>
              </w:r>
              <w:r>
                <w:rPr>
                  <w:rFonts w:ascii="Arial" w:cs="Arial" w:eastAsia="Arial" w:hAnsi="Arial"/>
                  <w:sz w:val="18"/>
                  <w:szCs w:val="18"/>
                  <w:u w:val="single" w:color="auto"/>
                  <w:color w:val="auto"/>
                  <w:w w:val="95"/>
                </w:rPr>
                <w:t>1</w:t>
              </w:r>
            </w:hyperlink>
          </w:p>
        </w:tc>
        <w:tc>
          <w:tcPr>
            <w:tcW w:w="100" w:type="dxa"/>
            <w:vAlign w:val="bottom"/>
            <w:tcBorders>
              <w:top w:val="single" w:sz="8" w:color="auto"/>
            </w:tcBorders>
            <w:vMerge w:val="restart"/>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940" w:type="dxa"/>
            <w:vAlign w:val="bottom"/>
            <w:tcBorders>
              <w:top w:val="single" w:sz="8" w:color="auto"/>
            </w:tcBorders>
            <w:gridSpan w:val="11"/>
          </w:tcPr>
          <w:p>
            <w:pPr>
              <w:spacing w:after="0" w:line="201" w:lineRule="exact"/>
              <w:rPr>
                <w:rFonts w:ascii="Arial" w:cs="Arial" w:eastAsia="Arial" w:hAnsi="Arial"/>
                <w:sz w:val="18"/>
                <w:szCs w:val="18"/>
                <w:color w:val="auto"/>
              </w:rPr>
            </w:pPr>
            <w:hyperlink r:id="rId95">
              <w:r>
                <w:rPr>
                  <w:rFonts w:ascii="Arial" w:cs="Arial" w:eastAsia="Arial" w:hAnsi="Arial"/>
                  <w:sz w:val="18"/>
                  <w:szCs w:val="18"/>
                  <w:color w:val="auto"/>
                </w:rPr>
                <w:t>Amended and Restated Certificate of Incorporation of Portillo's Inc. (incorporated by reference to Exhibit 3.1 of</w:t>
              </w:r>
            </w:hyperlink>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auto"/>
            </w:tcBorders>
            <w:vMerge w:val="continue"/>
          </w:tcPr>
          <w:p>
            <w:pPr>
              <w:spacing w:after="0"/>
              <w:rPr>
                <w:sz w:val="16"/>
                <w:szCs w:val="16"/>
                <w:color w:val="auto"/>
              </w:rPr>
            </w:pPr>
          </w:p>
        </w:tc>
        <w:tc>
          <w:tcPr>
            <w:tcW w:w="260" w:type="dxa"/>
            <w:vAlign w:val="bottom"/>
            <w:tcBorders>
              <w:top w:val="single" w:sz="8" w:color="auto"/>
            </w:tcBorders>
            <w:vMerge w:val="continue"/>
          </w:tcPr>
          <w:p>
            <w:pPr>
              <w:spacing w:after="0"/>
              <w:rPr>
                <w:sz w:val="16"/>
                <w:szCs w:val="16"/>
                <w:color w:val="auto"/>
              </w:rPr>
            </w:pPr>
          </w:p>
        </w:tc>
        <w:tc>
          <w:tcPr>
            <w:tcW w:w="100" w:type="dxa"/>
            <w:vAlign w:val="bottom"/>
            <w:tcBorders>
              <w:top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tcBorders>
              <w:top w:val="single" w:sz="8" w:color="auto"/>
            </w:tcBorders>
            <w:gridSpan w:val="8"/>
          </w:tcPr>
          <w:p>
            <w:pPr>
              <w:spacing w:after="0" w:line="195" w:lineRule="exact"/>
              <w:rPr>
                <w:rFonts w:ascii="Arial" w:cs="Arial" w:eastAsia="Arial" w:hAnsi="Arial"/>
                <w:sz w:val="18"/>
                <w:szCs w:val="18"/>
                <w:color w:val="auto"/>
              </w:rPr>
            </w:pPr>
            <w:hyperlink r:id="rId95">
              <w:r>
                <w:rPr>
                  <w:rFonts w:ascii="Arial" w:cs="Arial" w:eastAsia="Arial" w:hAnsi="Arial"/>
                  <w:sz w:val="18"/>
                  <w:szCs w:val="18"/>
                  <w:color w:val="auto"/>
                </w:rPr>
                <w:t>the Company's Quarterly Report on Form 10-Q filed on November 18, 2021)</w:t>
              </w:r>
            </w:hyperlink>
          </w:p>
        </w:tc>
        <w:tc>
          <w:tcPr>
            <w:tcW w:w="240" w:type="dxa"/>
            <w:vAlign w:val="bottom"/>
            <w:gridSpan w:val="3"/>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vMerge w:val="restart"/>
          </w:tcPr>
          <w:p>
            <w:pPr>
              <w:spacing w:after="0"/>
              <w:rPr>
                <w:sz w:val="21"/>
                <w:szCs w:val="21"/>
                <w:color w:val="auto"/>
              </w:rPr>
            </w:pPr>
          </w:p>
        </w:tc>
        <w:tc>
          <w:tcPr>
            <w:tcW w:w="260" w:type="dxa"/>
            <w:vAlign w:val="bottom"/>
            <w:vMerge w:val="restart"/>
          </w:tcPr>
          <w:p>
            <w:pPr>
              <w:spacing w:after="0"/>
              <w:rPr>
                <w:rFonts w:ascii="Arial" w:cs="Arial" w:eastAsia="Arial" w:hAnsi="Arial"/>
                <w:sz w:val="18"/>
                <w:szCs w:val="18"/>
                <w:color w:val="auto"/>
                <w:w w:val="95"/>
              </w:rPr>
            </w:pPr>
            <w:hyperlink r:id="rId96">
              <w:r>
                <w:rPr>
                  <w:rFonts w:ascii="Arial" w:cs="Arial" w:eastAsia="Arial" w:hAnsi="Arial"/>
                  <w:sz w:val="18"/>
                  <w:szCs w:val="18"/>
                  <w:color w:val="auto"/>
                  <w:w w:val="95"/>
                </w:rPr>
                <w:t>3.</w:t>
              </w:r>
              <w:r>
                <w:rPr>
                  <w:rFonts w:ascii="Arial" w:cs="Arial" w:eastAsia="Arial" w:hAnsi="Arial"/>
                  <w:sz w:val="18"/>
                  <w:szCs w:val="18"/>
                  <w:u w:val="single" w:color="auto"/>
                  <w:color w:val="auto"/>
                  <w:w w:val="95"/>
                </w:rPr>
                <w:t>2</w:t>
              </w:r>
            </w:hyperlink>
          </w:p>
        </w:tc>
        <w:tc>
          <w:tcPr>
            <w:tcW w:w="100" w:type="dxa"/>
            <w:vAlign w:val="bottom"/>
            <w:vMerge w:val="restart"/>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auto"/>
            </w:tcBorders>
            <w:gridSpan w:val="7"/>
          </w:tcPr>
          <w:p>
            <w:pPr>
              <w:spacing w:after="0"/>
              <w:rPr>
                <w:rFonts w:ascii="Arial" w:cs="Arial" w:eastAsia="Arial" w:hAnsi="Arial"/>
                <w:sz w:val="18"/>
                <w:szCs w:val="18"/>
                <w:color w:val="auto"/>
                <w:w w:val="99"/>
              </w:rPr>
            </w:pPr>
            <w:hyperlink r:id="rId96">
              <w:r>
                <w:rPr>
                  <w:rFonts w:ascii="Arial" w:cs="Arial" w:eastAsia="Arial" w:hAnsi="Arial"/>
                  <w:sz w:val="18"/>
                  <w:szCs w:val="18"/>
                  <w:color w:val="auto"/>
                  <w:w w:val="99"/>
                </w:rPr>
                <w:t>Amended and Restated Bylaws of Portillo’s Inc. (incorporated by reference to Exhibit 3.2 of the Company's</w:t>
              </w:r>
            </w:hyperlink>
          </w:p>
        </w:tc>
        <w:tc>
          <w:tcPr>
            <w:tcW w:w="520" w:type="dxa"/>
            <w:vAlign w:val="bottom"/>
            <w:gridSpan w:val="4"/>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tcBorders>
              <w:bottom w:val="single" w:sz="8" w:color="auto"/>
            </w:tcBorders>
            <w:gridSpan w:val="2"/>
          </w:tcPr>
          <w:p>
            <w:pPr>
              <w:spacing w:after="0" w:line="195" w:lineRule="exact"/>
              <w:rPr>
                <w:rFonts w:ascii="Arial" w:cs="Arial" w:eastAsia="Arial" w:hAnsi="Arial"/>
                <w:sz w:val="18"/>
                <w:szCs w:val="18"/>
                <w:color w:val="auto"/>
                <w:w w:val="99"/>
              </w:rPr>
            </w:pPr>
            <w:hyperlink r:id="rId96">
              <w:r>
                <w:rPr>
                  <w:rFonts w:ascii="Arial" w:cs="Arial" w:eastAsia="Arial" w:hAnsi="Arial"/>
                  <w:sz w:val="18"/>
                  <w:szCs w:val="18"/>
                  <w:color w:val="auto"/>
                  <w:w w:val="99"/>
                </w:rPr>
                <w:t>Quarterly Report on Form 10-Q filed on November 18, 2021)</w:t>
              </w:r>
            </w:hyperlink>
          </w:p>
        </w:tc>
        <w:tc>
          <w:tcPr>
            <w:tcW w:w="4140" w:type="dxa"/>
            <w:vAlign w:val="bottom"/>
            <w:gridSpan w:val="9"/>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vMerge w:val="restart"/>
          </w:tcPr>
          <w:p>
            <w:pPr>
              <w:spacing w:after="0"/>
              <w:rPr>
                <w:sz w:val="21"/>
                <w:szCs w:val="21"/>
                <w:color w:val="auto"/>
              </w:rPr>
            </w:pPr>
          </w:p>
        </w:tc>
        <w:tc>
          <w:tcPr>
            <w:tcW w:w="360" w:type="dxa"/>
            <w:vAlign w:val="bottom"/>
            <w:gridSpan w:val="2"/>
            <w:vMerge w:val="restart"/>
          </w:tcPr>
          <w:p>
            <w:pPr>
              <w:spacing w:after="0"/>
              <w:rPr>
                <w:rFonts w:ascii="Arial" w:cs="Arial" w:eastAsia="Arial" w:hAnsi="Arial"/>
                <w:sz w:val="18"/>
                <w:szCs w:val="18"/>
                <w:color w:val="auto"/>
                <w:w w:val="96"/>
              </w:rPr>
            </w:pPr>
            <w:hyperlink r:id="rId97">
              <w:r>
                <w:rPr>
                  <w:rFonts w:ascii="Arial" w:cs="Arial" w:eastAsia="Arial" w:hAnsi="Arial"/>
                  <w:sz w:val="18"/>
                  <w:szCs w:val="18"/>
                  <w:color w:val="auto"/>
                  <w:w w:val="96"/>
                </w:rPr>
                <w:t>10.</w:t>
              </w:r>
              <w:r>
                <w:rPr>
                  <w:rFonts w:ascii="Arial" w:cs="Arial" w:eastAsia="Arial" w:hAnsi="Arial"/>
                  <w:sz w:val="18"/>
                  <w:szCs w:val="18"/>
                  <w:u w:val="single" w:color="auto"/>
                  <w:color w:val="auto"/>
                  <w:w w:val="96"/>
                </w:rPr>
                <w:t>1</w:t>
              </w:r>
            </w:hyperlink>
          </w:p>
        </w:tc>
        <w:tc>
          <w:tcPr>
            <w:tcW w:w="700" w:type="dxa"/>
            <w:vAlign w:val="bottom"/>
            <w:vMerge w:val="restart"/>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11"/>
          </w:tcPr>
          <w:p>
            <w:pPr>
              <w:spacing w:after="0"/>
              <w:rPr>
                <w:rFonts w:ascii="Arial" w:cs="Arial" w:eastAsia="Arial" w:hAnsi="Arial"/>
                <w:sz w:val="18"/>
                <w:szCs w:val="18"/>
                <w:color w:val="auto"/>
              </w:rPr>
            </w:pPr>
            <w:hyperlink r:id="rId97">
              <w:r>
                <w:rPr>
                  <w:rFonts w:ascii="Arial" w:cs="Arial" w:eastAsia="Arial" w:hAnsi="Arial"/>
                  <w:sz w:val="18"/>
                  <w:szCs w:val="18"/>
                  <w:color w:val="auto"/>
                </w:rPr>
                <w:t>Form of Stock and Unit Purchase Agreement by and among Portillo’s Inc. and the parties named therein</w:t>
              </w:r>
            </w:hyperlink>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 w:type="dxa"/>
            <w:vAlign w:val="bottom"/>
            <w:tcBorders>
              <w:bottom w:val="single" w:sz="8" w:color="auto"/>
            </w:tcBorders>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20" w:type="dxa"/>
            <w:vAlign w:val="bottom"/>
            <w:tcBorders>
              <w:top w:val="single" w:sz="8" w:color="auto"/>
              <w:bottom w:val="single" w:sz="8" w:color="auto"/>
            </w:tcBorders>
            <w:gridSpan w:val="5"/>
          </w:tcPr>
          <w:p>
            <w:pPr>
              <w:spacing w:after="0" w:line="195" w:lineRule="exact"/>
              <w:rPr>
                <w:rFonts w:ascii="Arial" w:cs="Arial" w:eastAsia="Arial" w:hAnsi="Arial"/>
                <w:sz w:val="18"/>
                <w:szCs w:val="18"/>
                <w:color w:val="auto"/>
                <w:w w:val="99"/>
              </w:rPr>
            </w:pPr>
            <w:hyperlink r:id="rId97">
              <w:r>
                <w:rPr>
                  <w:rFonts w:ascii="Arial" w:cs="Arial" w:eastAsia="Arial" w:hAnsi="Arial"/>
                  <w:sz w:val="18"/>
                  <w:szCs w:val="18"/>
                  <w:color w:val="auto"/>
                  <w:w w:val="99"/>
                </w:rPr>
                <w:t>(incorporated by reference to the Company's Registration Statement on S-1 filed on August 8, 2022)</w:t>
              </w:r>
            </w:hyperlink>
          </w:p>
        </w:tc>
        <w:tc>
          <w:tcPr>
            <w:tcW w:w="300" w:type="dxa"/>
            <w:vAlign w:val="bottom"/>
            <w:tcBorders>
              <w:top w:val="single" w:sz="8" w:color="auto"/>
            </w:tcBorders>
          </w:tcPr>
          <w:p>
            <w:pPr>
              <w:spacing w:after="0"/>
              <w:rPr>
                <w:sz w:val="16"/>
                <w:szCs w:val="16"/>
                <w:color w:val="auto"/>
              </w:rPr>
            </w:pPr>
          </w:p>
        </w:tc>
        <w:tc>
          <w:tcPr>
            <w:tcW w:w="720" w:type="dxa"/>
            <w:vAlign w:val="bottom"/>
            <w:gridSpan w:val="5"/>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Certification of the Principal Executive Officer pursuant to Securities Exchange Act Rules 13a-14(a), as adopted</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top w:val="single" w:sz="8" w:color="auto"/>
            </w:tcBorders>
            <w:vMerge w:val="restart"/>
          </w:tcPr>
          <w:p>
            <w:pPr>
              <w:spacing w:after="0" w:line="195" w:lineRule="exact"/>
              <w:rPr>
                <w:sz w:val="20"/>
                <w:szCs w:val="20"/>
                <w:color w:val="auto"/>
              </w:rPr>
            </w:pPr>
            <w:r>
              <w:rPr>
                <w:rFonts w:ascii="Arial" w:cs="Arial" w:eastAsia="Arial" w:hAnsi="Arial"/>
                <w:sz w:val="18"/>
                <w:szCs w:val="18"/>
                <w:color w:val="auto"/>
                <w:w w:val="99"/>
              </w:rPr>
              <w:t>pursuant to Section 302 of the Sarbanes-Oxley Act of 2002</w:t>
            </w:r>
          </w:p>
        </w:tc>
        <w:tc>
          <w:tcPr>
            <w:tcW w:w="4140" w:type="dxa"/>
            <w:vAlign w:val="bottom"/>
            <w:tcBorders>
              <w:top w:val="single" w:sz="8" w:color="auto"/>
            </w:tcBorders>
            <w:gridSpan w:val="9"/>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10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top w:val="single" w:sz="8" w:color="auto"/>
              <w:bottom w:val="single" w:sz="8" w:color="auto"/>
            </w:tcBorders>
            <w:vMerge w:val="continue"/>
          </w:tcPr>
          <w:p>
            <w:pPr>
              <w:spacing w:after="0"/>
              <w:rPr>
                <w:sz w:val="7"/>
                <w:szCs w:val="7"/>
                <w:color w:val="auto"/>
              </w:rPr>
            </w:pPr>
          </w:p>
        </w:tc>
        <w:tc>
          <w:tcPr>
            <w:tcW w:w="4140" w:type="dxa"/>
            <w:vAlign w:val="bottom"/>
            <w:tcBorders>
              <w:top w:val="single" w:sz="8" w:color="auto"/>
            </w:tcBorders>
            <w:gridSpan w:val="9"/>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Certification of the Principal Financial Officer pursuant to Securities Exchange Act Rules 13a-14(a), as adopted</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top w:val="single" w:sz="8" w:color="auto"/>
            </w:tcBorders>
            <w:vMerge w:val="restart"/>
          </w:tcPr>
          <w:p>
            <w:pPr>
              <w:spacing w:after="0" w:line="195" w:lineRule="exact"/>
              <w:rPr>
                <w:sz w:val="20"/>
                <w:szCs w:val="20"/>
                <w:color w:val="auto"/>
              </w:rPr>
            </w:pPr>
            <w:r>
              <w:rPr>
                <w:rFonts w:ascii="Arial" w:cs="Arial" w:eastAsia="Arial" w:hAnsi="Arial"/>
                <w:sz w:val="18"/>
                <w:szCs w:val="18"/>
                <w:color w:val="auto"/>
                <w:w w:val="99"/>
              </w:rPr>
              <w:t>pursuant to Section 302 of the Sarbanes-Oxley Act of 2002</w:t>
            </w:r>
          </w:p>
        </w:tc>
        <w:tc>
          <w:tcPr>
            <w:tcW w:w="4080" w:type="dxa"/>
            <w:vAlign w:val="bottom"/>
            <w:tcBorders>
              <w:top w:val="single" w:sz="8" w:color="auto"/>
            </w:tcBorders>
            <w:gridSpan w:val="8"/>
            <w:vMerge w:val="restart"/>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10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top w:val="single" w:sz="8" w:color="auto"/>
              <w:bottom w:val="single" w:sz="8" w:color="auto"/>
            </w:tcBorders>
            <w:vMerge w:val="continue"/>
          </w:tcPr>
          <w:p>
            <w:pPr>
              <w:spacing w:after="0"/>
              <w:rPr>
                <w:sz w:val="7"/>
                <w:szCs w:val="7"/>
                <w:color w:val="auto"/>
              </w:rPr>
            </w:pPr>
          </w:p>
        </w:tc>
        <w:tc>
          <w:tcPr>
            <w:tcW w:w="4080" w:type="dxa"/>
            <w:vAlign w:val="bottom"/>
            <w:tcBorders>
              <w:top w:val="single" w:sz="8" w:color="auto"/>
            </w:tcBorders>
            <w:gridSpan w:val="8"/>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Certifications of the Chief Executive Officer and Chief Financial Officer pursuant to 18 U.S.C. Section 1350, as</w:t>
            </w:r>
          </w:p>
        </w:tc>
        <w:tc>
          <w:tcPr>
            <w:tcW w:w="240" w:type="dxa"/>
            <w:vAlign w:val="bottom"/>
            <w:gridSpan w:val="3"/>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940" w:type="dxa"/>
            <w:vAlign w:val="bottom"/>
            <w:gridSpan w:val="11"/>
            <w:vMerge w:val="restart"/>
          </w:tcPr>
          <w:p>
            <w:pPr>
              <w:spacing w:after="0" w:line="195" w:lineRule="exact"/>
              <w:rPr>
                <w:sz w:val="20"/>
                <w:szCs w:val="20"/>
                <w:color w:val="auto"/>
              </w:rPr>
            </w:pPr>
            <w:r>
              <w:rPr>
                <w:rFonts w:ascii="Arial" w:cs="Arial" w:eastAsia="Arial" w:hAnsi="Arial"/>
                <w:sz w:val="18"/>
                <w:szCs w:val="18"/>
                <w:color w:val="auto"/>
              </w:rPr>
              <w:t>adopted pursuant to Section 906 of the Sarbanes-Oxley Act of 2002</w:t>
            </w:r>
          </w:p>
        </w:tc>
        <w:tc>
          <w:tcPr>
            <w:tcW w:w="1080" w:type="dxa"/>
            <w:vAlign w:val="bottom"/>
            <w:vMerge w:val="restart"/>
          </w:tcPr>
          <w:p>
            <w:pPr>
              <w:jc w:val="center"/>
              <w:ind w:right="11"/>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940" w:type="dxa"/>
            <w:vAlign w:val="bottom"/>
            <w:gridSpan w:val="11"/>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3"/>
            <w:shd w:val="clear" w:color="auto" w:fill="000000"/>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180" w:type="dxa"/>
            <w:vAlign w:val="bottom"/>
            <w:gridSpan w:val="5"/>
            <w:vMerge w:val="restart"/>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3"/>
                <w:szCs w:val="23"/>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118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8940" w:type="dxa"/>
            <w:vAlign w:val="bottom"/>
            <w:gridSpan w:val="11"/>
            <w:vMerge w:val="restart"/>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940" w:type="dxa"/>
            <w:vAlign w:val="bottom"/>
            <w:gridSpan w:val="11"/>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180" w:type="dxa"/>
            <w:vAlign w:val="bottom"/>
            <w:gridSpan w:val="5"/>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1180" w:type="dxa"/>
            <w:vAlign w:val="bottom"/>
            <w:gridSpan w:val="5"/>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1180" w:type="dxa"/>
            <w:vAlign w:val="bottom"/>
            <w:gridSpan w:val="5"/>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1180" w:type="dxa"/>
            <w:vAlign w:val="bottom"/>
            <w:gridSpan w:val="5"/>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1180" w:type="dxa"/>
            <w:vAlign w:val="bottom"/>
            <w:gridSpan w:val="5"/>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80" w:type="dxa"/>
            <w:vAlign w:val="bottom"/>
            <w:gridSpan w:val="3"/>
            <w:vMerge w:val="restart"/>
          </w:tcPr>
          <w:p>
            <w:pPr>
              <w:ind w:left="2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11"/>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940" w:type="dxa"/>
            <w:vAlign w:val="bottom"/>
            <w:gridSpan w:val="11"/>
            <w:vMerge w:val="restart"/>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940" w:type="dxa"/>
            <w:vAlign w:val="bottom"/>
            <w:gridSpan w:val="11"/>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80" w:hanging="273"/>
        <w:spacing w:after="0"/>
        <w:tabs>
          <w:tab w:leader="none" w:pos="2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3" w:lineRule="exact"/>
        <w:rPr>
          <w:sz w:val="20"/>
          <w:szCs w:val="20"/>
          <w:color w:val="auto"/>
        </w:rPr>
      </w:pPr>
    </w:p>
    <w:p>
      <w:pPr>
        <w:ind w:left="360" w:hanging="353"/>
        <w:spacing w:after="0"/>
        <w:tabs>
          <w:tab w:leader="none" w:pos="3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7" w:lineRule="exact"/>
        <w:rPr>
          <w:sz w:val="20"/>
          <w:szCs w:val="20"/>
          <w:color w:val="auto"/>
        </w:rPr>
      </w:pPr>
    </w:p>
    <w:p>
      <w:pPr>
        <w:ind w:left="300" w:hanging="293"/>
        <w:spacing w:after="0"/>
        <w:tabs>
          <w:tab w:leader="none" w:pos="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99060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4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43" w:lineRule="exact"/>
        <w:rPr>
          <w:sz w:val="20"/>
          <w:szCs w:val="20"/>
          <w:color w:val="auto"/>
        </w:rPr>
      </w:pPr>
    </w:p>
    <w:p>
      <w:pPr>
        <w:ind w:left="20"/>
        <w:spacing w:after="0"/>
        <w:tabs>
          <w:tab w:leader="none" w:pos="4620" w:val="left"/>
          <w:tab w:leader="none" w:pos="52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33655</wp:posOffset>
            </wp:positionV>
            <wp:extent cx="38220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822065" cy="8255"/>
                    </a:xfrm>
                    <a:prstGeom prst="rect">
                      <a:avLst/>
                    </a:prstGeom>
                    <a:noFill/>
                  </pic:spPr>
                </pic:pic>
              </a:graphicData>
            </a:graphic>
          </wp:anchor>
        </w:drawing>
      </w:r>
    </w:p>
    <w:p>
      <w:pPr>
        <w:spacing w:after="0" w:line="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Osanloo</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Chief Executive Officer and Director</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325" w:lineRule="exact"/>
        <w:rPr>
          <w:sz w:val="20"/>
          <w:szCs w:val="20"/>
          <w:color w:val="auto"/>
        </w:rPr>
      </w:pPr>
    </w:p>
    <w:p>
      <w:pPr>
        <w:ind w:left="20"/>
        <w:spacing w:after="0"/>
        <w:tabs>
          <w:tab w:leader="none" w:pos="4620" w:val="left"/>
          <w:tab w:leader="none" w:pos="52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33655</wp:posOffset>
            </wp:positionV>
            <wp:extent cx="38220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822065" cy="8255"/>
                    </a:xfrm>
                    <a:prstGeom prst="rect">
                      <a:avLst/>
                    </a:prstGeom>
                    <a:noFill/>
                  </pic:spPr>
                </pic:pic>
              </a:graphicData>
            </a:graphic>
          </wp:anchor>
        </w:drawing>
      </w:r>
    </w:p>
    <w:p>
      <w:pPr>
        <w:spacing w:after="0" w:line="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39</w:t>
      </w:r>
    </w:p>
    <w:p>
      <w:pPr>
        <w:sectPr>
          <w:pgSz w:w="11900" w:h="16838" w:orient="portrait"/>
          <w:cols w:equalWidth="0" w:num="1">
            <w:col w:w="11240"/>
          </w:cols>
          <w:pgMar w:left="320" w:top="36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48" w:lineRule="exact"/>
        <w:rPr>
          <w:sz w:val="20"/>
          <w:szCs w:val="20"/>
          <w:color w:val="auto"/>
        </w:rPr>
      </w:pPr>
    </w:p>
    <w:p>
      <w:pPr>
        <w:ind w:left="1380" w:hanging="913"/>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25, 2022 of Portillo's Inc.;</w:t>
      </w:r>
    </w:p>
    <w:p>
      <w:pPr>
        <w:spacing w:after="0" w:line="28" w:lineRule="exact"/>
        <w:rPr>
          <w:rFonts w:ascii="Arial" w:cs="Arial" w:eastAsia="Arial" w:hAnsi="Arial"/>
          <w:sz w:val="18"/>
          <w:szCs w:val="18"/>
          <w:color w:val="auto"/>
        </w:rPr>
      </w:pPr>
    </w:p>
    <w:p>
      <w:pPr>
        <w:ind w:left="1380" w:right="160" w:hanging="913"/>
        <w:spacing w:after="0" w:line="222"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8"/>
          <w:szCs w:val="18"/>
          <w:color w:val="auto"/>
        </w:rPr>
      </w:pPr>
    </w:p>
    <w:p>
      <w:pPr>
        <w:ind w:left="1380" w:right="160" w:hanging="913"/>
        <w:spacing w:after="0" w:line="225"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 w:lineRule="exact"/>
        <w:rPr>
          <w:rFonts w:ascii="Arial" w:cs="Arial" w:eastAsia="Arial" w:hAnsi="Arial"/>
          <w:sz w:val="18"/>
          <w:szCs w:val="18"/>
          <w:color w:val="auto"/>
        </w:rPr>
      </w:pPr>
    </w:p>
    <w:p>
      <w:pPr>
        <w:ind w:left="1380" w:right="720" w:hanging="913"/>
        <w:spacing w:after="0" w:line="23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 w:lineRule="exact"/>
        <w:rPr>
          <w:rFonts w:ascii="Arial" w:cs="Arial" w:eastAsia="Arial" w:hAnsi="Arial"/>
          <w:sz w:val="18"/>
          <w:szCs w:val="18"/>
          <w:color w:val="auto"/>
        </w:rPr>
      </w:pPr>
    </w:p>
    <w:p>
      <w:pPr>
        <w:ind w:left="1380" w:right="100" w:hanging="457"/>
        <w:spacing w:after="0" w:line="225"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18"/>
          <w:szCs w:val="18"/>
          <w:color w:val="auto"/>
        </w:rPr>
      </w:pPr>
    </w:p>
    <w:p>
      <w:pPr>
        <w:ind w:left="1380" w:hanging="457"/>
        <w:spacing w:after="0"/>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[Omitted];</w:t>
      </w:r>
    </w:p>
    <w:p>
      <w:pPr>
        <w:spacing w:after="0" w:line="28" w:lineRule="exact"/>
        <w:rPr>
          <w:rFonts w:ascii="Arial" w:cs="Arial" w:eastAsia="Arial" w:hAnsi="Arial"/>
          <w:sz w:val="18"/>
          <w:szCs w:val="18"/>
          <w:color w:val="auto"/>
        </w:rPr>
      </w:pPr>
    </w:p>
    <w:p>
      <w:pPr>
        <w:ind w:left="1380" w:right="300" w:hanging="457"/>
        <w:spacing w:after="0" w:line="222"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 w:lineRule="exact"/>
        <w:rPr>
          <w:rFonts w:ascii="Arial" w:cs="Arial" w:eastAsia="Arial" w:hAnsi="Arial"/>
          <w:sz w:val="18"/>
          <w:szCs w:val="18"/>
          <w:color w:val="auto"/>
        </w:rPr>
      </w:pPr>
    </w:p>
    <w:p>
      <w:pPr>
        <w:ind w:left="1380" w:right="60" w:hanging="457"/>
        <w:spacing w:after="0" w:line="225"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Arial" w:cs="Arial" w:eastAsia="Arial" w:hAnsi="Arial"/>
          <w:sz w:val="18"/>
          <w:szCs w:val="18"/>
          <w:color w:val="auto"/>
        </w:rPr>
      </w:pPr>
    </w:p>
    <w:p>
      <w:pPr>
        <w:ind w:left="1380" w:right="400" w:hanging="913"/>
        <w:spacing w:after="0" w:line="225"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 w:lineRule="exact"/>
        <w:rPr>
          <w:rFonts w:ascii="Arial" w:cs="Arial" w:eastAsia="Arial" w:hAnsi="Arial"/>
          <w:sz w:val="18"/>
          <w:szCs w:val="18"/>
          <w:color w:val="auto"/>
        </w:rPr>
      </w:pPr>
    </w:p>
    <w:p>
      <w:pPr>
        <w:jc w:val="both"/>
        <w:ind w:left="1380" w:right="420" w:hanging="457"/>
        <w:spacing w:after="0" w:line="225"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8"/>
          <w:szCs w:val="18"/>
          <w:color w:val="auto"/>
        </w:rPr>
      </w:pPr>
    </w:p>
    <w:p>
      <w:pPr>
        <w:ind w:left="1380" w:right="760" w:hanging="457"/>
        <w:spacing w:after="0" w:line="23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16510</wp:posOffset>
            </wp:positionV>
            <wp:extent cx="3234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1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Michael Osanloo</w:t>
      </w:r>
    </w:p>
    <w:p>
      <w:pPr>
        <w:spacing w:after="0" w:line="2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Chief Executive Officer and Director</w:t>
      </w: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48" w:lineRule="exact"/>
        <w:rPr>
          <w:sz w:val="20"/>
          <w:szCs w:val="20"/>
          <w:color w:val="auto"/>
        </w:rPr>
      </w:pPr>
    </w:p>
    <w:p>
      <w:pPr>
        <w:ind w:left="1300" w:right="240" w:hanging="859"/>
        <w:spacing w:after="0" w:line="22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25, 2022 of Portillo's Inc.; Based on my knowledge, this report does not contain any untrue statement of a material fact or omit to state a material fact necessary to make the statements made, in light of the circumstances under which such statements were made, not</w:t>
      </w:r>
    </w:p>
    <w:p>
      <w:pPr>
        <w:spacing w:after="0" w:line="1" w:lineRule="exact"/>
        <w:rPr>
          <w:rFonts w:ascii="Arial" w:cs="Arial" w:eastAsia="Arial" w:hAnsi="Arial"/>
          <w:sz w:val="18"/>
          <w:szCs w:val="18"/>
          <w:color w:val="auto"/>
        </w:rPr>
      </w:pPr>
    </w:p>
    <w:p>
      <w:pPr>
        <w:ind w:left="1300" w:hanging="85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4" w:lineRule="exact"/>
        <w:rPr>
          <w:rFonts w:ascii="Arial" w:cs="Arial" w:eastAsia="Arial" w:hAnsi="Arial"/>
          <w:sz w:val="18"/>
          <w:szCs w:val="18"/>
          <w:color w:val="auto"/>
        </w:rPr>
      </w:pPr>
    </w:p>
    <w:p>
      <w:pPr>
        <w:ind w:left="1300" w:right="240"/>
        <w:spacing w:after="0" w:line="220" w:lineRule="auto"/>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24" w:lineRule="exact"/>
        <w:rPr>
          <w:rFonts w:ascii="Arial" w:cs="Arial" w:eastAsia="Arial" w:hAnsi="Arial"/>
          <w:sz w:val="18"/>
          <w:szCs w:val="18"/>
          <w:color w:val="auto"/>
        </w:rPr>
      </w:pPr>
    </w:p>
    <w:p>
      <w:pPr>
        <w:ind w:left="1300"/>
        <w:spacing w:after="0" w:line="213"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w:t>
      </w:r>
    </w:p>
    <w:p>
      <w:pPr>
        <w:ind w:left="1300" w:hanging="85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procedures (as defined in Exchange Act Rules 13a-15(e) and 15d-15(e)) for the registrant and have:</w:t>
      </w:r>
    </w:p>
    <w:p>
      <w:pPr>
        <w:spacing w:after="0" w:line="24" w:lineRule="exact"/>
        <w:rPr>
          <w:rFonts w:ascii="Arial" w:cs="Arial" w:eastAsia="Arial" w:hAnsi="Arial"/>
          <w:sz w:val="18"/>
          <w:szCs w:val="18"/>
          <w:color w:val="auto"/>
        </w:rPr>
      </w:pPr>
    </w:p>
    <w:p>
      <w:pPr>
        <w:ind w:left="1300" w:right="80" w:hanging="430"/>
        <w:spacing w:after="0" w:line="22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18"/>
          <w:szCs w:val="18"/>
          <w:color w:val="auto"/>
        </w:rPr>
      </w:pPr>
    </w:p>
    <w:p>
      <w:pPr>
        <w:ind w:left="1300" w:hanging="43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[Omitted];</w:t>
      </w:r>
    </w:p>
    <w:p>
      <w:pPr>
        <w:spacing w:after="0" w:line="28" w:lineRule="exact"/>
        <w:rPr>
          <w:rFonts w:ascii="Arial" w:cs="Arial" w:eastAsia="Arial" w:hAnsi="Arial"/>
          <w:sz w:val="18"/>
          <w:szCs w:val="18"/>
          <w:color w:val="auto"/>
        </w:rPr>
      </w:pPr>
    </w:p>
    <w:p>
      <w:pPr>
        <w:ind w:left="1300" w:right="380" w:hanging="430"/>
        <w:spacing w:after="0" w:line="22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 w:lineRule="exact"/>
        <w:rPr>
          <w:rFonts w:ascii="Arial" w:cs="Arial" w:eastAsia="Arial" w:hAnsi="Arial"/>
          <w:sz w:val="18"/>
          <w:szCs w:val="18"/>
          <w:color w:val="auto"/>
        </w:rPr>
      </w:pPr>
    </w:p>
    <w:p>
      <w:pPr>
        <w:ind w:left="1300" w:right="140" w:hanging="430"/>
        <w:spacing w:after="0" w:line="22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Arial" w:cs="Arial" w:eastAsia="Arial" w:hAnsi="Arial"/>
          <w:sz w:val="18"/>
          <w:szCs w:val="18"/>
          <w:color w:val="auto"/>
        </w:rPr>
      </w:pPr>
    </w:p>
    <w:p>
      <w:pPr>
        <w:ind w:left="1300" w:right="480"/>
        <w:spacing w:after="0" w:line="225"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4" w:lineRule="exact"/>
        <w:rPr>
          <w:rFonts w:ascii="Arial" w:cs="Arial" w:eastAsia="Arial" w:hAnsi="Arial"/>
          <w:sz w:val="18"/>
          <w:szCs w:val="18"/>
          <w:color w:val="auto"/>
        </w:rPr>
      </w:pPr>
    </w:p>
    <w:p>
      <w:pPr>
        <w:jc w:val="both"/>
        <w:ind w:left="1300" w:right="500" w:hanging="430"/>
        <w:spacing w:after="0" w:line="22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8"/>
          <w:szCs w:val="18"/>
          <w:color w:val="auto"/>
        </w:rPr>
      </w:pPr>
    </w:p>
    <w:p>
      <w:pPr>
        <w:ind w:left="1300" w:right="840" w:hanging="430"/>
        <w:spacing w:after="0" w:line="23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16510</wp:posOffset>
            </wp:positionV>
            <wp:extent cx="3234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24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ind w:left="61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September 25,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5"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 w:lineRule="exact"/>
        <w:rPr>
          <w:sz w:val="20"/>
          <w:szCs w:val="20"/>
          <w:color w:val="auto"/>
        </w:rPr>
      </w:pPr>
    </w:p>
    <w:p>
      <w:pPr>
        <w:ind w:left="900" w:right="140" w:hanging="446"/>
        <w:spacing w:after="0" w:line="233"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700" w:type="dxa"/>
            <w:vAlign w:val="bottom"/>
          </w:tcPr>
          <w:p>
            <w:pPr>
              <w:spacing w:after="0"/>
              <w:rPr>
                <w:sz w:val="20"/>
                <w:szCs w:val="20"/>
                <w:color w:val="auto"/>
              </w:rPr>
            </w:pPr>
            <w:r>
              <w:rPr>
                <w:rFonts w:ascii="Arial" w:cs="Arial" w:eastAsia="Arial" w:hAnsi="Arial"/>
                <w:sz w:val="18"/>
                <w:szCs w:val="18"/>
                <w:color w:val="auto"/>
              </w:rPr>
              <w:t>Date: November 3, 2022</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Osanloo</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Michael Osanloo</w:t>
            </w:r>
          </w:p>
        </w:tc>
      </w:tr>
      <w:tr>
        <w:trPr>
          <w:trHeight w:val="188"/>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line="188" w:lineRule="exact"/>
              <w:rPr>
                <w:sz w:val="20"/>
                <w:szCs w:val="20"/>
                <w:color w:val="auto"/>
              </w:rPr>
            </w:pPr>
            <w:r>
              <w:rPr>
                <w:rFonts w:ascii="Arial" w:cs="Arial" w:eastAsia="Arial" w:hAnsi="Arial"/>
                <w:sz w:val="18"/>
                <w:szCs w:val="18"/>
                <w:color w:val="auto"/>
              </w:rPr>
              <w:t>President, Chief Executive Officer and Director</w:t>
            </w:r>
          </w:p>
        </w:tc>
      </w:tr>
      <w:tr>
        <w:trPr>
          <w:trHeight w:val="236"/>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700" w:type="dxa"/>
            <w:vAlign w:val="bottom"/>
          </w:tcPr>
          <w:p>
            <w:pPr>
              <w:spacing w:after="0"/>
              <w:rPr>
                <w:sz w:val="20"/>
                <w:szCs w:val="20"/>
                <w:color w:val="auto"/>
              </w:rPr>
            </w:pPr>
            <w:r>
              <w:rPr>
                <w:rFonts w:ascii="Arial" w:cs="Arial" w:eastAsia="Arial" w:hAnsi="Arial"/>
                <w:sz w:val="18"/>
                <w:szCs w:val="18"/>
                <w:color w:val="auto"/>
              </w:rPr>
              <w:t>Date: November 3, 2022</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Michelle Hook</w:t>
            </w:r>
          </w:p>
        </w:tc>
      </w:tr>
      <w:tr>
        <w:trPr>
          <w:trHeight w:val="180"/>
        </w:trPr>
        <w:tc>
          <w:tcPr>
            <w:tcW w:w="3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ind w:left="20"/>
              <w:spacing w:after="0" w:line="180" w:lineRule="exact"/>
              <w:rPr>
                <w:sz w:val="20"/>
                <w:szCs w:val="20"/>
                <w:color w:val="auto"/>
              </w:rPr>
            </w:pPr>
            <w:r>
              <w:rPr>
                <w:rFonts w:ascii="Arial" w:cs="Arial" w:eastAsia="Arial" w:hAnsi="Arial"/>
                <w:sz w:val="18"/>
                <w:szCs w:val="18"/>
                <w:color w:val="auto"/>
              </w:rPr>
              <w:t>Chief Financial Officer and Treasurer</w:t>
            </w:r>
          </w:p>
        </w:tc>
      </w:tr>
      <w:tr>
        <w:trPr>
          <w:trHeight w:val="236"/>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Roman"/>
      <w:start w:val="2"/>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8" Type="http://schemas.openxmlformats.org/officeDocument/2006/relationships/image" Target="media/image88.jpe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jpeg"/><Relationship Id="rId103" Type="http://schemas.openxmlformats.org/officeDocument/2006/relationships/image" Target="media/image93.png"/><Relationship Id="rId104" Type="http://schemas.openxmlformats.org/officeDocument/2006/relationships/image" Target="media/image94.png"/><Relationship Id="rId95" Type="http://schemas.openxmlformats.org/officeDocument/2006/relationships/hyperlink" Target="https://www.sec.gov/Archives/edgar/data/1871509/000187150921000009/exhibit31amendedandrestate.htm" TargetMode="External"/><Relationship Id="rId96" Type="http://schemas.openxmlformats.org/officeDocument/2006/relationships/hyperlink" Target="https://www.sec.gov/Archives/edgar/data/1871509/000187150921000009/exhibit32amendedandrestate.htm" TargetMode="External"/><Relationship Id="rId97" Type="http://schemas.openxmlformats.org/officeDocument/2006/relationships/hyperlink" Target="https://www.sec.gov/Archives/edgar/data/1871509/000119312522214895/d382690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2022-11-03T07:10:38Z</dcterms:created>
  <dcterms:modified xsi:type="dcterms:W3CDTF">2022-11-03T07:10:38Z</dcterms:modified>
</cp:coreProperties>
</file>