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UNITED STATES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SECURITIES AND EXCHANGE COMMISSION</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WASHINGTON, D.C. 20549</w:t>
      </w:r>
    </w:p>
    <w:p>
      <w:pPr>
        <w:pStyle w:val="TextBody"/>
        <w:bidi w:val="0"/>
        <w:spacing w:before="0" w:after="0"/>
        <w:jc w:val="center"/>
        <w:rPr/>
      </w:pPr>
      <w:r>
        <w:rPr/>
      </w:r>
    </w:p>
    <w:tbl>
      <w:tblPr>
        <w:tblW w:w="2129" w:type="dxa"/>
        <w:jc w:val="center"/>
        <w:tblInd w:w="0" w:type="dxa"/>
        <w:tblLayout w:type="fixed"/>
        <w:tblCellMar>
          <w:top w:w="28" w:type="dxa"/>
          <w:left w:w="28" w:type="dxa"/>
          <w:bottom w:w="28" w:type="dxa"/>
          <w:right w:w="28" w:type="dxa"/>
        </w:tblCellMar>
      </w:tblPr>
      <w:tblGrid>
        <w:gridCol w:w="682"/>
        <w:gridCol w:w="598"/>
        <w:gridCol w:w="849"/>
      </w:tblGrid>
      <w:tr>
        <w:trPr/>
        <w:tc>
          <w:tcPr>
            <w:tcW w:w="6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rFonts w:ascii="Arial Narrow;sans-serif" w:hAnsi="Arial Narrow;sans-serif"/>
                <w:b/>
                <w:color w:val="000000"/>
                <w:sz w:val="44"/>
              </w:rPr>
            </w:pPr>
            <w:r>
              <w:rPr>
                <w:rFonts w:ascii="Arial Narrow;sans-serif" w:hAnsi="Arial Narrow;sans-serif"/>
                <w:b/>
                <w:color w:val="000000"/>
                <w:sz w:val="44"/>
              </w:rPr>
              <w:t>FORM 10-Q</w:t>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 Narrow;sans-serif" w:hAnsi="Arial Narrow;sans-serif"/>
          <w:b w:val="false"/>
          <w:color w:val="000000"/>
          <w:sz w:val="22"/>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FOR THE QUARTERLY PERIOD ENDED June 28, 2026</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 Narrow;sans-serif" w:hAnsi="Arial Narrow;sans-serif"/>
          <w:b w:val="false"/>
          <w:color w:val="000000"/>
          <w:sz w:val="22"/>
        </w:rPr>
        <w:t>TRANSITION REPORT PURSUANT TO SECTION 13 OR 15(d) OF THE SECURITIES EXCHANGE ACT OF 1934 FOR THE TRANSITION PERIOD FROM         TO</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COMMISSION FILE NUMBER: 001-40951</w:t>
      </w:r>
    </w:p>
    <w:p>
      <w:pPr>
        <w:pStyle w:val="TextBody"/>
        <w:bidi w:val="0"/>
        <w:spacing w:before="0" w:after="0"/>
        <w:jc w:val="center"/>
        <w:rPr/>
      </w:pPr>
      <w:r>
        <w:rPr/>
        <w:drawing>
          <wp:inline distT="0" distB="0" distL="0" distR="0">
            <wp:extent cx="25336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7239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PORTILLO'S INC.</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tbl>
      <w:tblPr>
        <w:tblW w:w="6417" w:type="dxa"/>
        <w:jc w:val="center"/>
        <w:tblInd w:w="0" w:type="dxa"/>
        <w:tblLayout w:type="fixed"/>
        <w:tblCellMar>
          <w:top w:w="28" w:type="dxa"/>
          <w:left w:w="28" w:type="dxa"/>
          <w:bottom w:w="28" w:type="dxa"/>
          <w:right w:w="28" w:type="dxa"/>
        </w:tblCellMar>
      </w:tblPr>
      <w:tblGrid>
        <w:gridCol w:w="1350"/>
        <w:gridCol w:w="1186"/>
        <w:gridCol w:w="1199"/>
        <w:gridCol w:w="109"/>
        <w:gridCol w:w="109"/>
        <w:gridCol w:w="109"/>
        <w:gridCol w:w="688"/>
        <w:gridCol w:w="688"/>
        <w:gridCol w:w="979"/>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9"/>
              </w:rPr>
            </w:pPr>
            <w:r>
              <w:rPr>
                <w:rFonts w:ascii="Arial Narrow;sans-serif" w:hAnsi="Arial Narrow;sans-serif"/>
                <w:b/>
                <w:color w:val="000000"/>
                <w:sz w:val="19"/>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9"/>
              </w:rPr>
            </w:pPr>
            <w:r>
              <w:rPr>
                <w:rFonts w:ascii="Arial Narrow;sans-serif" w:hAnsi="Arial Narrow;sans-serif"/>
                <w:b/>
                <w:color w:val="000000"/>
                <w:sz w:val="19"/>
              </w:rPr>
              <w:t>87-1104304</w:t>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641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19"/>
              </w:rPr>
            </w:pPr>
            <w:r>
              <w:rPr>
                <w:rFonts w:ascii="Arial Narrow;sans-serif" w:hAnsi="Arial Narrow;sans-serif"/>
                <w:b/>
                <w:color w:val="000000"/>
                <w:sz w:val="19"/>
              </w:rPr>
              <w:t>2001 Spring Road, Suite 400, Oak Brook, Illinois 60523</w:t>
            </w:r>
          </w:p>
        </w:tc>
      </w:tr>
      <w:tr>
        <w:trPr/>
        <w:tc>
          <w:tcPr>
            <w:tcW w:w="6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(630) 954-3773</w:t>
      </w:r>
    </w:p>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tbl>
      <w:tblPr>
        <w:tblW w:w="5325" w:type="dxa"/>
        <w:jc w:val="center"/>
        <w:tblInd w:w="0" w:type="dxa"/>
        <w:tblLayout w:type="fixed"/>
        <w:tblCellMar>
          <w:top w:w="28" w:type="dxa"/>
          <w:left w:w="28" w:type="dxa"/>
          <w:bottom w:w="28" w:type="dxa"/>
          <w:right w:w="28" w:type="dxa"/>
        </w:tblCellMar>
      </w:tblPr>
      <w:tblGrid>
        <w:gridCol w:w="1703"/>
        <w:gridCol w:w="1495"/>
        <w:gridCol w:w="2127"/>
      </w:tblGrid>
      <w:tr>
        <w:trPr/>
        <w:tc>
          <w:tcPr>
            <w:tcW w:w="170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N/A</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(Former name, former address and former fiscal year, if changed since last report)</w:t>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7708" w:type="dxa"/>
        <w:jc w:val="left"/>
        <w:tblInd w:w="0" w:type="dxa"/>
        <w:tblLayout w:type="fixed"/>
        <w:tblCellMar>
          <w:top w:w="28" w:type="dxa"/>
          <w:left w:w="28" w:type="dxa"/>
          <w:bottom w:w="28" w:type="dxa"/>
          <w:right w:w="28" w:type="dxa"/>
        </w:tblCellMar>
      </w:tblPr>
      <w:tblGrid>
        <w:gridCol w:w="1185"/>
        <w:gridCol w:w="1044"/>
        <w:gridCol w:w="1056"/>
        <w:gridCol w:w="409"/>
        <w:gridCol w:w="409"/>
        <w:gridCol w:w="411"/>
        <w:gridCol w:w="934"/>
        <w:gridCol w:w="934"/>
        <w:gridCol w:w="1326"/>
      </w:tblGrid>
      <w:tr>
        <w:trPr/>
        <w:tc>
          <w:tcPr>
            <w:tcW w:w="11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Title of each class</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Trading Symbol</w:t>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Name of each exchange on which registered</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PTLO</w:t>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left"/>
        <w:rPr>
          <w:color w:val="000000"/>
        </w:rPr>
      </w:pPr>
      <w:r>
        <w:rPr>
          <w:color w:val="000000"/>
        </w:rPr>
        <w:t>☒     </w:t>
      </w:r>
      <w:r>
        <w:rPr>
          <w:rFonts w:ascii="Arial Narrow;sans-serif" w:hAnsi="Arial Narrow;sans-serif"/>
          <w:b w:val="false"/>
          <w:color w:val="000000"/>
          <w:sz w:val="18"/>
        </w:rPr>
        <w:t>Yes ☐     No</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11"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09"/>
        <w:gridCol w:w="109"/>
        <w:gridCol w:w="109"/>
        <w:gridCol w:w="594"/>
        <w:gridCol w:w="594"/>
        <w:gridCol w:w="597"/>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Indicate by check mark whether the registrant is a shell company (as defined in Rule 12b-2 of the Exchange Act). </w:t>
      </w:r>
    </w:p>
    <w:p>
      <w:pPr>
        <w:pStyle w:val="TextBody"/>
        <w:bidi w:val="0"/>
        <w:spacing w:lineRule="auto" w:line="288" w:before="0" w:after="0"/>
        <w:jc w:val="center"/>
        <w:rPr>
          <w:color w:val="000000"/>
        </w:rPr>
      </w:pPr>
      <w:r>
        <w:rPr>
          <w:color w:val="000000"/>
        </w:rPr>
        <w:t>☐     </w:t>
      </w:r>
      <w:r>
        <w:rPr>
          <w:rFonts w:ascii="Arial Narrow;sans-serif" w:hAnsi="Arial Narrow;sans-serif"/>
          <w:b w:val="false"/>
          <w:color w:val="000000"/>
          <w:sz w:val="18"/>
        </w:rPr>
        <w:t xml:space="preserve">Yes     ☒     No </w:t>
      </w:r>
    </w:p>
    <w:p>
      <w:pPr>
        <w:pStyle w:val="TextBody"/>
        <w:bidi w:val="0"/>
        <w:spacing w:lineRule="auto" w:line="288" w:before="0" w:after="0"/>
        <w:jc w:val="left"/>
        <w:rPr/>
      </w:pPr>
      <w:r>
        <w:rPr>
          <w:rFonts w:ascii="Arial Narrow;sans-serif" w:hAnsi="Arial Narrow;sans-serif"/>
          <w:b w:val="false"/>
          <w:color w:val="000000"/>
          <w:sz w:val="18"/>
          <w:shd w:fill="FFFFFF" w:val="clear"/>
        </w:rPr>
        <w:t xml:space="preserve">As of July 29, 2026, there were </w:t>
      </w:r>
      <w:r>
        <w:rPr>
          <w:rFonts w:ascii="Arial Narrow;sans-serif" w:hAnsi="Arial Narrow;sans-serif"/>
          <w:b w:val="false"/>
          <w:color w:val="000000"/>
          <w:sz w:val="18"/>
        </w:rPr>
        <w:t>72,518,678</w:t>
      </w:r>
      <w:r>
        <w:rPr>
          <w:color w:val="000000"/>
          <w:shd w:fill="FFFFFF" w:val="clear"/>
        </w:rPr>
        <w:t xml:space="preserve"> </w:t>
      </w:r>
      <w:r>
        <w:rPr>
          <w:rFonts w:ascii="Arial Narrow;sans-serif" w:hAnsi="Arial Narrow;sans-serif"/>
          <w:b w:val="false"/>
          <w:color w:val="000000"/>
          <w:sz w:val="18"/>
          <w:shd w:fill="FFFFFF" w:val="clear"/>
        </w:rPr>
        <w:t xml:space="preserve">shares of the registrant's Class A common stock, par value $0.01 per share, and </w:t>
      </w:r>
      <w:r>
        <w:rPr>
          <w:rFonts w:ascii="Arial Narrow;sans-serif" w:hAnsi="Arial Narrow;sans-serif"/>
          <w:b w:val="false"/>
          <w:color w:val="000000"/>
          <w:sz w:val="18"/>
        </w:rPr>
        <w:t>3,424,546</w:t>
      </w:r>
      <w:r>
        <w:rPr>
          <w:color w:val="000000"/>
          <w:shd w:fill="FFFFFF" w:val="clear"/>
        </w:rPr>
        <w:t xml:space="preserve"> </w:t>
      </w:r>
      <w:r>
        <w:rPr>
          <w:rFonts w:ascii="Arial Narrow;sans-serif" w:hAnsi="Arial Narrow;sans-serif"/>
          <w:b w:val="false"/>
          <w:color w:val="000000"/>
          <w:sz w:val="18"/>
          <w:shd w:fill="FFFFFF" w:val="clear"/>
        </w:rPr>
        <w:t xml:space="preserve">shares of the registrant's Class B common stock, par value $0.00001 per share, issued and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TABLE OF CONTENTS</w:t>
      </w:r>
    </w:p>
    <w:p>
      <w:pPr>
        <w:pStyle w:val="TextBody"/>
        <w:bidi w:val="0"/>
        <w:spacing w:before="0" w:after="0"/>
        <w:jc w:val="center"/>
        <w:rPr/>
      </w:pPr>
      <w:r>
        <w:rPr/>
        <w:drawing>
          <wp:inline distT="0" distB="0" distL="0" distR="0">
            <wp:extent cx="6629400" cy="3619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629400" cy="361950"/>
                    </a:xfrm>
                    <a:prstGeom prst="rect">
                      <a:avLst/>
                    </a:prstGeom>
                  </pic:spPr>
                </pic:pic>
              </a:graphicData>
            </a:graphic>
          </wp:inline>
        </w:drawing>
      </w:r>
      <w:bookmarkStart w:id="1" w:name="i-2"/>
      <w:bookmarkEnd w:id="1"/>
    </w:p>
    <w:p>
      <w:pPr>
        <w:pStyle w:val="TextBody"/>
        <w:bidi w:val="0"/>
        <w:spacing w:before="0" w:after="0"/>
        <w:jc w:val="center"/>
        <w:rPr/>
      </w:pPr>
      <w:r>
        <w:rPr/>
      </w:r>
    </w:p>
    <w:tbl>
      <w:tblPr>
        <w:tblW w:w="9831" w:type="dxa"/>
        <w:jc w:val="center"/>
        <w:tblInd w:w="0" w:type="dxa"/>
        <w:tblLayout w:type="fixed"/>
        <w:tblCellMar>
          <w:top w:w="28" w:type="dxa"/>
          <w:left w:w="28" w:type="dxa"/>
          <w:bottom w:w="28" w:type="dxa"/>
          <w:right w:w="28" w:type="dxa"/>
        </w:tblCellMar>
      </w:tblPr>
      <w:tblGrid>
        <w:gridCol w:w="579"/>
        <w:gridCol w:w="507"/>
        <w:gridCol w:w="507"/>
        <w:gridCol w:w="507"/>
        <w:gridCol w:w="507"/>
        <w:gridCol w:w="507"/>
        <w:gridCol w:w="2095"/>
        <w:gridCol w:w="2095"/>
        <w:gridCol w:w="2155"/>
        <w:gridCol w:w="109"/>
        <w:gridCol w:w="109"/>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59"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0">
              <w:r>
                <w:rPr>
                  <w:rStyle w:val="InternetLink"/>
                  <w:rFonts w:ascii="Arial Narrow;sans-serif" w:hAnsi="Arial Narrow;sans-serif"/>
                  <w:b/>
                  <w:color w:val="000000"/>
                  <w:sz w:val="20"/>
                  <w:u w:val="single"/>
                </w:rPr>
                <w:t>Cautionary Note Regarding Forward-Looking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0">
              <w:r>
                <w:rPr>
                  <w:rStyle w:val="InternetLink"/>
                  <w:rFonts w:ascii="Arial Narrow;sans-serif" w:hAnsi="Arial Narrow;sans-serif"/>
                  <w:b w:val="false"/>
                  <w:color w:val="000000"/>
                  <w:sz w:val="20"/>
                  <w:u w:val="single"/>
                </w:rPr>
                <w:t>1</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3">
              <w:r>
                <w:rPr>
                  <w:rStyle w:val="InternetLink"/>
                  <w:rFonts w:ascii="Arial Narrow;sans-serif" w:hAnsi="Arial Narrow;sans-serif"/>
                  <w:b/>
                  <w:color w:val="000000"/>
                  <w:sz w:val="22"/>
                  <w:u w:val="single"/>
                </w:rPr>
                <w:t>Part I</w:t>
              </w:r>
            </w:hyperlink>
          </w:p>
        </w:tc>
        <w:tc>
          <w:tcPr>
            <w:tcW w:w="786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u w:val="single"/>
              </w:rPr>
            </w:pPr>
            <w:r>
              <w:rPr>
                <w:rFonts w:ascii="Arial Narrow;sans-serif" w:hAnsi="Arial Narrow;sans-serif"/>
                <w:b/>
                <w:color w:val="000000"/>
                <w:sz w:val="22"/>
                <w:u w:val="single"/>
              </w:rPr>
              <w:t>Financial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6">
              <w:r>
                <w:rPr>
                  <w:rStyle w:val="InternetLink"/>
                  <w:rFonts w:ascii="Arial Narrow;sans-serif" w:hAnsi="Arial Narrow;sans-serif"/>
                  <w:b w:val="false"/>
                  <w:color w:val="000000"/>
                  <w:sz w:val="20"/>
                  <w:u w:val="single"/>
                </w:rPr>
                <w:t>Item 1.</w:t>
              </w:r>
            </w:hyperlink>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6">
              <w:r>
                <w:rPr>
                  <w:rStyle w:val="InternetLink"/>
                  <w:rFonts w:ascii="Arial Narrow;sans-serif" w:hAnsi="Arial Narrow;sans-serif"/>
                  <w:b w:val="false"/>
                  <w:color w:val="000000"/>
                  <w:sz w:val="20"/>
                  <w:u w:val="single"/>
                </w:rPr>
                <w:t>Financial Statements (Unaudited)</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9">
              <w:r>
                <w:rPr>
                  <w:rStyle w:val="InternetLink"/>
                  <w:rFonts w:ascii="Arial Narrow;sans-serif" w:hAnsi="Arial Narrow;sans-serif"/>
                  <w:b w:val="false"/>
                  <w:color w:val="000000"/>
                  <w:sz w:val="20"/>
                  <w:u w:val="single"/>
                </w:rPr>
                <w:t>3</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
              <w:r>
                <w:rPr>
                  <w:rStyle w:val="InternetLink"/>
                  <w:rFonts w:ascii="Arial Narrow;sans-serif" w:hAnsi="Arial Narrow;sans-serif"/>
                  <w:b w:val="false"/>
                  <w:color w:val="000000"/>
                  <w:sz w:val="20"/>
                  <w:u w:val="single"/>
                </w:rPr>
                <w:t>Condensed Consolidated Balance Sheets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9">
              <w:r>
                <w:rPr>
                  <w:rStyle w:val="InternetLink"/>
                  <w:rFonts w:ascii="Arial Narrow;sans-serif" w:hAnsi="Arial Narrow;sans-serif"/>
                  <w:b w:val="false"/>
                  <w:color w:val="000000"/>
                  <w:sz w:val="20"/>
                  <w:u w:val="single"/>
                </w:rPr>
                <w:t>3</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2">
              <w:r>
                <w:rPr>
                  <w:rStyle w:val="InternetLink"/>
                  <w:rFonts w:ascii="Arial Narrow;sans-serif" w:hAnsi="Arial Narrow;sans-serif"/>
                  <w:b w:val="false"/>
                  <w:color w:val="000000"/>
                  <w:sz w:val="20"/>
                  <w:u w:val="single"/>
                </w:rPr>
                <w:t>Condensed Consolidated Statements of Operations</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2">
              <w:r>
                <w:rPr>
                  <w:rStyle w:val="InternetLink"/>
                  <w:rFonts w:ascii="Arial Narrow;sans-serif" w:hAnsi="Arial Narrow;sans-serif"/>
                  <w:b w:val="false"/>
                  <w:color w:val="000000"/>
                  <w:sz w:val="20"/>
                  <w:u w:val="single"/>
                </w:rPr>
                <w:t>4</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5">
              <w:r>
                <w:rPr>
                  <w:rStyle w:val="InternetLink"/>
                  <w:rFonts w:ascii="Arial Narrow;sans-serif" w:hAnsi="Arial Narrow;sans-serif"/>
                  <w:b w:val="false"/>
                  <w:color w:val="000000"/>
                  <w:sz w:val="20"/>
                  <w:u w:val="single"/>
                </w:rPr>
                <w:t>Condensed Consolidated Statements of Stockholders'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5">
              <w:r>
                <w:rPr>
                  <w:rStyle w:val="InternetLink"/>
                  <w:rFonts w:ascii="Arial Narrow;sans-serif" w:hAnsi="Arial Narrow;sans-serif"/>
                  <w:b w:val="false"/>
                  <w:color w:val="000000"/>
                  <w:sz w:val="20"/>
                  <w:u w:val="single"/>
                </w:rPr>
                <w:t>5</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8">
              <w:r>
                <w:rPr>
                  <w:rStyle w:val="InternetLink"/>
                  <w:rFonts w:ascii="Arial Narrow;sans-serif" w:hAnsi="Arial Narrow;sans-serif"/>
                  <w:b w:val="false"/>
                  <w:color w:val="000000"/>
                  <w:sz w:val="20"/>
                  <w:u w:val="single"/>
                </w:rPr>
                <w:t>Condensed Consolidated Statements of Cash Flows</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8">
              <w:r>
                <w:rPr>
                  <w:rStyle w:val="InternetLink"/>
                  <w:rFonts w:ascii="Arial Narrow;sans-serif" w:hAnsi="Arial Narrow;sans-serif"/>
                  <w:b w:val="false"/>
                  <w:color w:val="000000"/>
                  <w:sz w:val="20"/>
                  <w:u w:val="single"/>
                </w:rPr>
                <w:t>7</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3">
              <w:r>
                <w:rPr>
                  <w:rStyle w:val="InternetLink"/>
                  <w:rFonts w:ascii="Arial Narrow;sans-serif" w:hAnsi="Arial Narrow;sans-serif"/>
                  <w:b w:val="false"/>
                  <w:color w:val="000000"/>
                  <w:sz w:val="20"/>
                  <w:u w:val="single"/>
                </w:rPr>
                <w:t>Notes to Condensed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34">
              <w:r>
                <w:rPr>
                  <w:rStyle w:val="InternetLink"/>
                  <w:rFonts w:ascii="Arial Narrow;sans-serif" w:hAnsi="Arial Narrow;sans-serif"/>
                  <w:b w:val="false"/>
                  <w:color w:val="000000"/>
                  <w:sz w:val="20"/>
                  <w:u w:val="single"/>
                </w:rPr>
                <w:t>9</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33">
              <w:r>
                <w:rPr>
                  <w:rStyle w:val="InternetLink"/>
                  <w:rFonts w:ascii="Arial Narrow;sans-serif" w:hAnsi="Arial Narrow;sans-serif"/>
                  <w:b w:val="false"/>
                  <w:color w:val="000000"/>
                  <w:sz w:val="20"/>
                  <w:u w:val="single"/>
                </w:rPr>
                <w:t>Item 2.</w:t>
              </w:r>
            </w:hyperlink>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33">
              <w:r>
                <w:rPr>
                  <w:rStyle w:val="InternetLink"/>
                  <w:rFonts w:ascii="Arial Narrow;sans-serif" w:hAnsi="Arial Narrow;sans-serif"/>
                  <w:b w:val="false"/>
                  <w:color w:val="000000"/>
                  <w:sz w:val="20"/>
                  <w:u w:val="single"/>
                </w:rPr>
                <w:t>Management's Discussion and Analysis of Financial Condition and Results of Operations</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33">
              <w:r>
                <w:rPr>
                  <w:rStyle w:val="InternetLink"/>
                  <w:rFonts w:ascii="Arial Narrow;sans-serif" w:hAnsi="Arial Narrow;sans-serif"/>
                  <w:b w:val="false"/>
                  <w:color w:val="000000"/>
                  <w:sz w:val="20"/>
                  <w:u w:val="single"/>
                </w:rPr>
                <w:t>21</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84">
              <w:r>
                <w:rPr>
                  <w:rStyle w:val="InternetLink"/>
                  <w:rFonts w:ascii="Arial Narrow;sans-serif" w:hAnsi="Arial Narrow;sans-serif"/>
                  <w:b w:val="false"/>
                  <w:color w:val="000000"/>
                  <w:sz w:val="20"/>
                  <w:u w:val="single"/>
                </w:rPr>
                <w:t>Item 3.</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84">
              <w:r>
                <w:rPr>
                  <w:rStyle w:val="InternetLink"/>
                  <w:rFonts w:ascii="Arial Narrow;sans-serif" w:hAnsi="Arial Narrow;sans-serif"/>
                  <w:b w:val="false"/>
                  <w:color w:val="000000"/>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84">
              <w:r>
                <w:rPr>
                  <w:rStyle w:val="InternetLink"/>
                  <w:rFonts w:ascii="Arial Narrow;sans-serif" w:hAnsi="Arial Narrow;sans-serif"/>
                  <w:b w:val="false"/>
                  <w:color w:val="000000"/>
                  <w:sz w:val="20"/>
                  <w:u w:val="single"/>
                </w:rPr>
                <w:t>35</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87">
              <w:r>
                <w:rPr>
                  <w:rStyle w:val="InternetLink"/>
                  <w:rFonts w:ascii="Arial Narrow;sans-serif" w:hAnsi="Arial Narrow;sans-serif"/>
                  <w:b w:val="false"/>
                  <w:color w:val="000000"/>
                  <w:sz w:val="20"/>
                  <w:u w:val="single"/>
                </w:rPr>
                <w:t>Item 4.</w:t>
              </w:r>
            </w:hyperlink>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87">
              <w:r>
                <w:rPr>
                  <w:rStyle w:val="InternetLink"/>
                  <w:rFonts w:ascii="Arial Narrow;sans-serif" w:hAnsi="Arial Narrow;sans-serif"/>
                  <w:b w:val="false"/>
                  <w:color w:val="000000"/>
                  <w:sz w:val="20"/>
                  <w:u w:val="single"/>
                </w:rPr>
                <w:t>Controls and Procedures</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87">
              <w:r>
                <w:rPr>
                  <w:rStyle w:val="InternetLink"/>
                  <w:rFonts w:ascii="Arial Narrow;sans-serif" w:hAnsi="Arial Narrow;sans-serif"/>
                  <w:b w:val="false"/>
                  <w:color w:val="000000"/>
                  <w:sz w:val="20"/>
                  <w:u w:val="single"/>
                </w:rPr>
                <w:t>35</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0">
              <w:r>
                <w:rPr>
                  <w:rStyle w:val="InternetLink"/>
                  <w:rFonts w:ascii="Arial Narrow;sans-serif" w:hAnsi="Arial Narrow;sans-serif"/>
                  <w:b/>
                  <w:color w:val="000000"/>
                  <w:sz w:val="22"/>
                  <w:u w:val="single"/>
                </w:rPr>
                <w:t>Part II</w:t>
              </w:r>
            </w:hyperlink>
          </w:p>
        </w:tc>
        <w:tc>
          <w:tcPr>
            <w:tcW w:w="7866" w:type="dxa"/>
            <w:gridSpan w:val="6"/>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2"/>
                <w:u w:val="single"/>
              </w:rPr>
            </w:pPr>
            <w:r>
              <w:rPr>
                <w:rFonts w:ascii="Arial Narrow;sans-serif" w:hAnsi="Arial Narrow;sans-serif"/>
                <w:b/>
                <w:color w:val="000000"/>
                <w:sz w:val="22"/>
                <w:u w:val="single"/>
              </w:rPr>
              <w:t>Other Information</w:t>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3">
              <w:r>
                <w:rPr>
                  <w:rStyle w:val="InternetLink"/>
                  <w:rFonts w:ascii="Arial Narrow;sans-serif" w:hAnsi="Arial Narrow;sans-serif"/>
                  <w:b w:val="false"/>
                  <w:color w:val="000000"/>
                  <w:sz w:val="20"/>
                  <w:u w:val="single"/>
                </w:rPr>
                <w:t>Item 1.</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3">
              <w:r>
                <w:rPr>
                  <w:rStyle w:val="InternetLink"/>
                  <w:rFonts w:ascii="Arial Narrow;sans-serif" w:hAnsi="Arial Narrow;sans-serif"/>
                  <w:b w:val="false"/>
                  <w:color w:val="000000"/>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93">
              <w:r>
                <w:rPr>
                  <w:rStyle w:val="InternetLink"/>
                  <w:rFonts w:ascii="Arial Narrow;sans-serif" w:hAnsi="Arial Narrow;sans-serif"/>
                  <w:b w:val="false"/>
                  <w:color w:val="000000"/>
                  <w:sz w:val="20"/>
                  <w:u w:val="single"/>
                </w:rPr>
                <w:t>36</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6">
              <w:r>
                <w:rPr>
                  <w:rStyle w:val="InternetLink"/>
                  <w:rFonts w:ascii="Arial Narrow;sans-serif" w:hAnsi="Arial Narrow;sans-serif"/>
                  <w:b w:val="false"/>
                  <w:color w:val="000000"/>
                  <w:sz w:val="20"/>
                  <w:u w:val="single"/>
                </w:rPr>
                <w:t>Item 1A.</w:t>
              </w:r>
            </w:hyperlink>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6">
              <w:r>
                <w:rPr>
                  <w:rStyle w:val="InternetLink"/>
                  <w:rFonts w:ascii="Arial Narrow;sans-serif" w:hAnsi="Arial Narrow;sans-serif"/>
                  <w:b w:val="false"/>
                  <w:color w:val="000000"/>
                  <w:sz w:val="20"/>
                  <w:u w:val="single"/>
                </w:rPr>
                <w:t>Risk Factors</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96">
              <w:r>
                <w:rPr>
                  <w:rStyle w:val="InternetLink"/>
                  <w:rFonts w:ascii="Arial Narrow;sans-serif" w:hAnsi="Arial Narrow;sans-serif"/>
                  <w:b w:val="false"/>
                  <w:color w:val="000000"/>
                  <w:sz w:val="20"/>
                  <w:u w:val="single"/>
                </w:rPr>
                <w:t>36</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9">
              <w:r>
                <w:rPr>
                  <w:rStyle w:val="InternetLink"/>
                  <w:rFonts w:ascii="Arial Narrow;sans-serif" w:hAnsi="Arial Narrow;sans-serif"/>
                  <w:b w:val="false"/>
                  <w:color w:val="000000"/>
                  <w:sz w:val="20"/>
                  <w:u w:val="single"/>
                </w:rPr>
                <w:t>Item 2.</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9">
              <w:r>
                <w:rPr>
                  <w:rStyle w:val="InternetLink"/>
                  <w:rFonts w:ascii="Arial Narrow;sans-serif" w:hAnsi="Arial Narrow;sans-serif"/>
                  <w:b w:val="false"/>
                  <w:color w:val="000000"/>
                  <w:sz w:val="20"/>
                  <w:u w:val="single"/>
                </w:rPr>
                <w:t>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99">
              <w:r>
                <w:rPr>
                  <w:rStyle w:val="InternetLink"/>
                  <w:rFonts w:ascii="Arial Narrow;sans-serif" w:hAnsi="Arial Narrow;sans-serif"/>
                  <w:b w:val="false"/>
                  <w:color w:val="000000"/>
                  <w:sz w:val="20"/>
                  <w:u w:val="single"/>
                </w:rPr>
                <w:t>36</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02">
              <w:r>
                <w:rPr>
                  <w:rStyle w:val="InternetLink"/>
                  <w:rFonts w:ascii="Arial Narrow;sans-serif" w:hAnsi="Arial Narrow;sans-serif"/>
                  <w:b w:val="false"/>
                  <w:color w:val="000000"/>
                  <w:sz w:val="20"/>
                  <w:u w:val="single"/>
                </w:rPr>
                <w:t>Item 3.</w:t>
              </w:r>
            </w:hyperlink>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02">
              <w:r>
                <w:rPr>
                  <w:rStyle w:val="InternetLink"/>
                  <w:rFonts w:ascii="Arial Narrow;sans-serif" w:hAnsi="Arial Narrow;sans-serif"/>
                  <w:b w:val="false"/>
                  <w:color w:val="000000"/>
                  <w:sz w:val="20"/>
                  <w:u w:val="single"/>
                </w:rPr>
                <w:t>Defaults Upon Senior Securities</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02">
              <w:r>
                <w:rPr>
                  <w:rStyle w:val="InternetLink"/>
                  <w:rFonts w:ascii="Arial Narrow;sans-serif" w:hAnsi="Arial Narrow;sans-serif"/>
                  <w:b w:val="false"/>
                  <w:color w:val="000000"/>
                  <w:sz w:val="20"/>
                  <w:u w:val="single"/>
                </w:rPr>
                <w:t>36</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05">
              <w:r>
                <w:rPr>
                  <w:rStyle w:val="InternetLink"/>
                  <w:rFonts w:ascii="Arial Narrow;sans-serif" w:hAnsi="Arial Narrow;sans-serif"/>
                  <w:b w:val="false"/>
                  <w:color w:val="000000"/>
                  <w:sz w:val="20"/>
                  <w:u w:val="single"/>
                </w:rPr>
                <w:t>Item 4.</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05">
              <w:r>
                <w:rPr>
                  <w:rStyle w:val="InternetLink"/>
                  <w:rFonts w:ascii="Arial Narrow;sans-serif" w:hAnsi="Arial Narrow;sans-serif"/>
                  <w:b w:val="false"/>
                  <w:color w:val="000000"/>
                  <w:sz w:val="20"/>
                  <w:u w:val="single"/>
                </w:rPr>
                <w:t>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05">
              <w:r>
                <w:rPr>
                  <w:rStyle w:val="InternetLink"/>
                  <w:rFonts w:ascii="Arial Narrow;sans-serif" w:hAnsi="Arial Narrow;sans-serif"/>
                  <w:b w:val="false"/>
                  <w:color w:val="000000"/>
                  <w:sz w:val="20"/>
                  <w:u w:val="single"/>
                </w:rPr>
                <w:t>36</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08">
              <w:r>
                <w:rPr>
                  <w:rStyle w:val="InternetLink"/>
                  <w:rFonts w:ascii="Arial Narrow;sans-serif" w:hAnsi="Arial Narrow;sans-serif"/>
                  <w:b w:val="false"/>
                  <w:color w:val="000000"/>
                  <w:sz w:val="20"/>
                  <w:u w:val="single"/>
                </w:rPr>
                <w:t>Item 5.</w:t>
              </w:r>
            </w:hyperlink>
          </w:p>
        </w:tc>
        <w:tc>
          <w:tcPr>
            <w:tcW w:w="63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08">
              <w:r>
                <w:rPr>
                  <w:rStyle w:val="InternetLink"/>
                  <w:rFonts w:ascii="Arial Narrow;sans-serif" w:hAnsi="Arial Narrow;sans-serif"/>
                  <w:b w:val="false"/>
                  <w:color w:val="000000"/>
                  <w:sz w:val="20"/>
                  <w:u w:val="single"/>
                </w:rPr>
                <w:t>Other Information</w:t>
              </w:r>
            </w:hyperlink>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08">
              <w:r>
                <w:rPr>
                  <w:rStyle w:val="InternetLink"/>
                  <w:rFonts w:ascii="Arial Narrow;sans-serif" w:hAnsi="Arial Narrow;sans-serif"/>
                  <w:b w:val="false"/>
                  <w:color w:val="000000"/>
                  <w:sz w:val="20"/>
                  <w:u w:val="single"/>
                </w:rPr>
                <w:t>36</w:t>
              </w:r>
            </w:hyperlink>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14">
              <w:r>
                <w:rPr>
                  <w:rStyle w:val="InternetLink"/>
                  <w:rFonts w:ascii="Arial Narrow;sans-serif" w:hAnsi="Arial Narrow;sans-serif"/>
                  <w:b w:val="false"/>
                  <w:color w:val="000000"/>
                  <w:sz w:val="20"/>
                  <w:u w:val="single"/>
                </w:rPr>
                <w:t>Item 6.</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14">
              <w:r>
                <w:rPr>
                  <w:rStyle w:val="InternetLink"/>
                  <w:rFonts w:ascii="Arial Narrow;sans-serif" w:hAnsi="Arial Narrow;sans-serif"/>
                  <w:b w:val="false"/>
                  <w:color w:val="000000"/>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14">
              <w:r>
                <w:rPr>
                  <w:rStyle w:val="InternetLink"/>
                  <w:rFonts w:ascii="Arial Narrow;sans-serif" w:hAnsi="Arial Narrow;sans-serif"/>
                  <w:b w:val="false"/>
                  <w:color w:val="000000"/>
                  <w:sz w:val="20"/>
                  <w:u w:val="single"/>
                </w:rPr>
                <w:t>37</w:t>
              </w:r>
            </w:hyperlink>
          </w:p>
        </w:tc>
      </w:tr>
      <w:tr>
        <w:trPr/>
        <w:tc>
          <w:tcPr>
            <w:tcW w:w="15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17">
              <w:r>
                <w:rPr>
                  <w:rStyle w:val="InternetLink"/>
                  <w:rFonts w:ascii="Arial Narrow;sans-serif" w:hAnsi="Arial Narrow;sans-serif"/>
                  <w:b w:val="false"/>
                  <w:color w:val="000000"/>
                  <w:sz w:val="20"/>
                  <w:u w:val="single"/>
                </w:rPr>
                <w:t>Signatures</w:t>
              </w:r>
            </w:hyperlink>
          </w:p>
        </w:tc>
        <w:tc>
          <w:tcPr>
            <w:tcW w:w="6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17">
              <w:r>
                <w:rPr>
                  <w:rStyle w:val="InternetLink"/>
                  <w:rFonts w:ascii="Arial Narrow;sans-serif" w:hAnsi="Arial Narrow;sans-serif"/>
                  <w:b w:val="false"/>
                  <w:color w:val="000000"/>
                  <w:sz w:val="20"/>
                  <w:u w:val="single"/>
                </w:rPr>
                <w:t>38</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Cautionary Note Regarding Forward-Looking Information</w:t>
      </w:r>
    </w:p>
    <w:p>
      <w:pPr>
        <w:pStyle w:val="TextBody"/>
        <w:bidi w:val="0"/>
        <w:spacing w:before="0" w:after="0"/>
        <w:jc w:val="center"/>
        <w:rPr/>
      </w:pPr>
      <w:r>
        <w:rPr/>
        <w:drawing>
          <wp:inline distT="0" distB="0" distL="0" distR="0">
            <wp:extent cx="6629400" cy="3619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6629400" cy="361950"/>
                    </a:xfrm>
                    <a:prstGeom prst="rect">
                      <a:avLst/>
                    </a:prstGeom>
                  </pic:spPr>
                </pic:pic>
              </a:graphicData>
            </a:graphic>
          </wp:inline>
        </w:drawing>
      </w:r>
      <w:bookmarkStart w:id="2" w:name="i-3"/>
      <w:bookmarkEnd w:id="2"/>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we may not predict. As a result, our actual results may differ materially from those contemplated by the forward-looking statements, and you should not unduly rely on these statements. Important factors that could cause actual results to differ materially from those in the forward-looking statements include regional, national or global political, economic, business, competitive, market and regulatory conditions and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related to or arising from our organizational structure;</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of food-borne illness and food safety and other health concerns about our food;</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shd w:fill="FFFFFF" w:val="clear"/>
        </w:rPr>
        <w:t>risks relating to the economy and financial markets, including in relation to trade and tax policy changes and other macroeconomic uncertainty, including inflation, fluctuating interest rates, stock market volatility, recession concerns, and other factors;</w:t>
      </w:r>
    </w:p>
    <w:p>
      <w:pPr>
        <w:pStyle w:val="TextBody"/>
        <w:bidi w:val="0"/>
        <w:spacing w:lineRule="auto" w:line="288" w:before="0" w:after="0"/>
        <w:ind w:left="0" w:right="0" w:hanging="360"/>
        <w:jc w:val="left"/>
        <w:rPr/>
      </w:pPr>
      <w:r>
        <w:rPr>
          <w:color w:val="000000"/>
          <w:shd w:fill="FFFFFF" w:val="clear"/>
        </w:rPr>
        <w:t>•</w:t>
      </w:r>
      <w:r>
        <w:rPr>
          <w:rFonts w:ascii="Arial Narrow;sans-serif" w:hAnsi="Arial Narrow;sans-serif"/>
          <w:b w:val="false"/>
          <w:color w:val="000000"/>
          <w:sz w:val="20"/>
          <w:shd w:fill="FFFFFF" w:val="clear"/>
        </w:rPr>
        <w:t>risks associated with onboarding new members of management, including the Chief Executive Officer and Chief Financial Officer and the related transition;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unionization activities of our Team Members on our reputation, operations and profitability</w:t>
      </w:r>
      <w:r>
        <w:rPr>
          <w:rFonts w:ascii="Arial Narrow;sans-serif" w:hAnsi="Arial Narrow;sans-serif"/>
          <w:b w:val="false"/>
          <w:color w:val="000000"/>
          <w:sz w:val="20"/>
          <w:shd w:fill="FFFFFF" w:val="clear"/>
        </w:rPr>
        <w:t xml:space="preserve">; </w:t>
      </w:r>
    </w:p>
    <w:p>
      <w:pPr>
        <w:pStyle w:val="TextBody"/>
        <w:bidi w:val="0"/>
        <w:spacing w:lineRule="auto" w:line="288" w:before="0" w:after="0"/>
        <w:ind w:left="0" w:right="0" w:hanging="360"/>
        <w:jc w:val="left"/>
        <w:rPr/>
      </w:pPr>
      <w:r>
        <w:rPr>
          <w:color w:val="000000"/>
          <w:shd w:fill="FFFFFF" w:val="clear"/>
        </w:rPr>
        <w:t>•</w:t>
      </w:r>
      <w:r>
        <w:rPr>
          <w:rFonts w:ascii="Arial Narrow;sans-serif" w:hAnsi="Arial Narrow;sans-serif"/>
          <w:b w:val="false"/>
          <w:color w:val="000000"/>
          <w:sz w:val="20"/>
        </w:rPr>
        <w:t>risks associated with our reliance on certain information technology systems, and potential failures or interruptions;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associated with data, privacy, cyber security and the use and implementation of information technology systems, including our digital ordering and payment platforms for our delivery business;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risks associated with increased adoption, implementation and use of artificial intelligence ("AI") technologies across our business;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competition, including from our competitors in the restaurant industry or our own restaurants;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increasingly competitive labor market and our ability to attract and retain the best talent and qualified employees;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federal, state or local government regulations relating to privacy, data protection, advertising and consumer protection, building and zoning requirements, labor and employment matters, costs of or ability to open new restaurants, or the sale of food and alcoholic beverages;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inability to achieve our growth strategy, including as a result of, among other things, the availability of suitable new restaurant sites in existing and new markets and opening of new restaurants at the anticipated rate and on the anticipated timeline and cost structure;</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the impact of consumer sentiment and other economic factors on our sales;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fluctuation in food and other operating costs, tariffs and import taxes, and supply shortages; and</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other risks identified in our filings with the Securities and Exchange Commission (the “SEC").</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28, 2025 filed with the SEC on February 24, 2026, and subsequent filings with the SEC, which are available on the SEC's website at www.sec.gov.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2755"/>
                <wp:effectExtent l="0" t="0" r="0" b="0"/>
                <wp:wrapNone/>
                <wp:docPr id="6" name="Frame3"/>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90500" cy="180975"/>
                                          </a:xfrm>
                                          <a:prstGeom prst="rect">
                                            <a:avLst/>
                                          </a:prstGeom>
                                        </pic:spPr>
                                      </pic:pic>
                                    </a:graphicData>
                                  </a:graphic>
                                </wp:inline>
                              </w:drawing>
                            </w:r>
                            <w:bookmarkStart w:id="3" w:name="i-4"/>
                            <w:bookmarkEnd w:id="3"/>
                            <w:r>
                              <w:rPr>
                                <w:color w:val="000000"/>
                              </w:rPr>
                              <w:t xml:space="preserve"> </w:t>
                            </w:r>
                            <w:r>
                              <w:rPr>
                                <w:rFonts w:ascii="Arial Narrow;sans-serif" w:hAnsi="Arial Narrow;sans-serif"/>
                                <w:b w:val="false"/>
                                <w:color w:val="000000"/>
                                <w:sz w:val="20"/>
                              </w:rPr>
                              <w:t>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190500" cy="180975"/>
                                    </a:xfrm>
                                    <a:prstGeom prst="rect">
                                      <a:avLst/>
                                    </a:prstGeom>
                                  </pic:spPr>
                                </pic:pic>
                              </a:graphicData>
                            </a:graphic>
                          </wp:inline>
                        </w:drawing>
                      </w:r>
                      <w:bookmarkStart w:id="4" w:name="i-4"/>
                      <w:bookmarkEnd w:id="4"/>
                      <w:r>
                        <w:rPr>
                          <w:color w:val="000000"/>
                        </w:rPr>
                        <w:t xml:space="preserve"> </w:t>
                      </w:r>
                      <w:r>
                        <w:rPr>
                          <w:rFonts w:ascii="Arial Narrow;sans-serif" w:hAnsi="Arial Narrow;sans-serif"/>
                          <w:b w:val="false"/>
                          <w:color w:val="000000"/>
                          <w:sz w:val="20"/>
                        </w:rPr>
                        <w:t>Form 10-Q | 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PART I – FINANCIAL INFORMATION</w:t>
      </w:r>
    </w:p>
    <w:p>
      <w:pPr>
        <w:pStyle w:val="TextBody"/>
        <w:bidi w:val="0"/>
        <w:spacing w:before="0" w:after="0"/>
        <w:jc w:val="center"/>
        <w:rPr/>
      </w:pPr>
      <w:r>
        <w:rPr/>
        <w:drawing>
          <wp:inline distT="0" distB="0" distL="0" distR="0">
            <wp:extent cx="6629400" cy="3619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7"/>
                    <a:stretch>
                      <a:fillRect/>
                    </a:stretch>
                  </pic:blipFill>
                  <pic:spPr bwMode="auto">
                    <a:xfrm>
                      <a:off x="0" y="0"/>
                      <a:ext cx="6629400" cy="361950"/>
                    </a:xfrm>
                    <a:prstGeom prst="rect">
                      <a:avLst/>
                    </a:prstGeom>
                  </pic:spPr>
                </pic:pic>
              </a:graphicData>
            </a:graphic>
          </wp:inline>
        </w:drawing>
      </w:r>
      <w:bookmarkStart w:id="5" w:name="i-5"/>
      <w:bookmarkEnd w:id="5"/>
    </w:p>
    <w:p>
      <w:pPr>
        <w:pStyle w:val="TextBody"/>
        <w:bidi w:val="0"/>
        <w:spacing w:before="0" w:after="0"/>
        <w:jc w:val="center"/>
        <w:rPr/>
      </w:pPr>
      <w:r>
        <w:rPr/>
      </w:r>
    </w:p>
    <w:tbl>
      <w:tblPr>
        <w:tblW w:w="4966" w:type="dxa"/>
        <w:jc w:val="center"/>
        <w:tblInd w:w="0" w:type="dxa"/>
        <w:tblLayout w:type="fixed"/>
        <w:tblCellMar>
          <w:top w:w="28" w:type="dxa"/>
          <w:left w:w="28" w:type="dxa"/>
          <w:bottom w:w="28" w:type="dxa"/>
          <w:right w:w="28" w:type="dxa"/>
        </w:tblCellMar>
      </w:tblPr>
      <w:tblGrid>
        <w:gridCol w:w="1604"/>
        <w:gridCol w:w="1409"/>
        <w:gridCol w:w="1412"/>
        <w:gridCol w:w="158"/>
        <w:gridCol w:w="158"/>
        <w:gridCol w:w="225"/>
      </w:tblGrid>
      <w:tr>
        <w:trPr/>
        <w:tc>
          <w:tcPr>
            <w:tcW w:w="16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Item 1. Financial Statements (Unaudited)</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Page</w:t>
            </w:r>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9">
              <w:r>
                <w:rPr>
                  <w:rStyle w:val="InternetLink"/>
                  <w:rFonts w:ascii="Arial Narrow;sans-serif" w:hAnsi="Arial Narrow;sans-serif"/>
                  <w:b w:val="false"/>
                  <w:color w:val="000000"/>
                  <w:sz w:val="20"/>
                  <w:u w:val="single"/>
                </w:rPr>
                <w:t>Condensed Consolidated Balance Sheets</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9">
              <w:r>
                <w:rPr>
                  <w:rStyle w:val="InternetLink"/>
                  <w:rFonts w:ascii="Arial Narrow;sans-serif" w:hAnsi="Arial Narrow;sans-serif"/>
                  <w:b w:val="false"/>
                  <w:color w:val="000000"/>
                  <w:sz w:val="20"/>
                  <w:u w:val="single"/>
                </w:rPr>
                <w:t>3</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2">
              <w:r>
                <w:rPr>
                  <w:rStyle w:val="InternetLink"/>
                  <w:rFonts w:ascii="Arial Narrow;sans-serif" w:hAnsi="Arial Narrow;sans-serif"/>
                  <w:b w:val="false"/>
                  <w:color w:val="000000"/>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2">
              <w:r>
                <w:rPr>
                  <w:rStyle w:val="InternetLink"/>
                  <w:rFonts w:ascii="Arial Narrow;sans-serif" w:hAnsi="Arial Narrow;sans-serif"/>
                  <w:b w:val="false"/>
                  <w:color w:val="000000"/>
                  <w:sz w:val="20"/>
                  <w:u w:val="single"/>
                </w:rPr>
                <w:t>4</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5">
              <w:r>
                <w:rPr>
                  <w:rStyle w:val="InternetLink"/>
                  <w:rFonts w:ascii="Arial Narrow;sans-serif" w:hAnsi="Arial Narrow;sans-serif"/>
                  <w:b w:val="false"/>
                  <w:color w:val="000000"/>
                  <w:sz w:val="20"/>
                  <w:u w:val="single"/>
                </w:rPr>
                <w:t>Condensed Consolidated Statements of Stockholders' Equity</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5">
              <w:r>
                <w:rPr>
                  <w:rStyle w:val="InternetLink"/>
                  <w:rFonts w:ascii="Arial Narrow;sans-serif" w:hAnsi="Arial Narrow;sans-serif"/>
                  <w:b w:val="false"/>
                  <w:color w:val="000000"/>
                  <w:sz w:val="20"/>
                  <w:u w:val="single"/>
                </w:rPr>
                <w:t>5</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28">
              <w:r>
                <w:rPr>
                  <w:rStyle w:val="InternetLink"/>
                  <w:rFonts w:ascii="Arial Narrow;sans-serif" w:hAnsi="Arial Narrow;sans-serif"/>
                  <w:b w:val="false"/>
                  <w:color w:val="000000"/>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28">
              <w:r>
                <w:rPr>
                  <w:rStyle w:val="InternetLink"/>
                  <w:rFonts w:ascii="Arial Narrow;sans-serif" w:hAnsi="Arial Narrow;sans-serif"/>
                  <w:b w:val="false"/>
                  <w:color w:val="000000"/>
                  <w:sz w:val="20"/>
                  <w:u w:val="single"/>
                </w:rPr>
                <w:t>7</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34">
              <w:r>
                <w:rPr>
                  <w:rStyle w:val="InternetLink"/>
                  <w:rFonts w:ascii="Arial Narrow;sans-serif" w:hAnsi="Arial Narrow;sans-serif"/>
                  <w:b w:val="false"/>
                  <w:color w:val="000000"/>
                  <w:sz w:val="20"/>
                  <w:u w:val="single"/>
                </w:rPr>
                <w:t>Notes to Condensed Consolidated Financial Statements</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37">
              <w:r>
                <w:rPr>
                  <w:rStyle w:val="InternetLink"/>
                  <w:rFonts w:ascii="Arial Narrow;sans-serif" w:hAnsi="Arial Narrow;sans-serif"/>
                  <w:b w:val="false"/>
                  <w:color w:val="000000"/>
                  <w:sz w:val="20"/>
                  <w:u w:val="single"/>
                </w:rPr>
                <w:t>9</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37">
              <w:r>
                <w:rPr>
                  <w:rStyle w:val="InternetLink"/>
                  <w:rFonts w:ascii="Arial Narrow;sans-serif" w:hAnsi="Arial Narrow;sans-serif"/>
                  <w:b w:val="false"/>
                  <w:color w:val="000000"/>
                  <w:sz w:val="20"/>
                  <w:u w:val="single"/>
                </w:rPr>
                <w:t>Note 1. Description Of Business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37">
              <w:r>
                <w:rPr>
                  <w:rStyle w:val="InternetLink"/>
                  <w:rFonts w:ascii="Arial Narrow;sans-serif" w:hAnsi="Arial Narrow;sans-serif"/>
                  <w:b w:val="false"/>
                  <w:color w:val="000000"/>
                  <w:sz w:val="20"/>
                  <w:u w:val="single"/>
                </w:rPr>
                <w:t>9</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43">
              <w:r>
                <w:rPr>
                  <w:rStyle w:val="InternetLink"/>
                  <w:rFonts w:ascii="Arial Narrow;sans-serif" w:hAnsi="Arial Narrow;sans-serif"/>
                  <w:b w:val="false"/>
                  <w:color w:val="000000"/>
                  <w:sz w:val="20"/>
                  <w:u w:val="single"/>
                </w:rPr>
                <w:t>Note 2. Summary Of Significant Accounting Policies</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43">
              <w:r>
                <w:rPr>
                  <w:rStyle w:val="InternetLink"/>
                  <w:rFonts w:ascii="Arial Narrow;sans-serif" w:hAnsi="Arial Narrow;sans-serif"/>
                  <w:b w:val="false"/>
                  <w:color w:val="000000"/>
                  <w:sz w:val="20"/>
                  <w:u w:val="single"/>
                </w:rPr>
                <w:t>9</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49">
              <w:r>
                <w:rPr>
                  <w:rStyle w:val="InternetLink"/>
                  <w:rFonts w:ascii="Arial Narrow;sans-serif" w:hAnsi="Arial Narrow;sans-serif"/>
                  <w:b w:val="false"/>
                  <w:color w:val="000000"/>
                  <w:sz w:val="20"/>
                  <w:u w:val="single"/>
                </w:rPr>
                <w:t>Note 3. Revenue Recognition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49">
              <w:r>
                <w:rPr>
                  <w:rStyle w:val="InternetLink"/>
                  <w:rFonts w:ascii="Arial Narrow;sans-serif" w:hAnsi="Arial Narrow;sans-serif"/>
                  <w:b w:val="false"/>
                  <w:color w:val="000000"/>
                  <w:sz w:val="20"/>
                  <w:u w:val="single"/>
                </w:rPr>
                <w:t>11</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55">
              <w:r>
                <w:rPr>
                  <w:rStyle w:val="InternetLink"/>
                  <w:rFonts w:ascii="Arial Narrow;sans-serif" w:hAnsi="Arial Narrow;sans-serif"/>
                  <w:b w:val="false"/>
                  <w:color w:val="000000"/>
                  <w:sz w:val="20"/>
                  <w:u w:val="single"/>
                </w:rPr>
                <w:t>Note 4. Inventories</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55">
              <w:r>
                <w:rPr>
                  <w:rStyle w:val="InternetLink"/>
                  <w:rFonts w:ascii="Arial Narrow;sans-serif" w:hAnsi="Arial Narrow;sans-serif"/>
                  <w:b w:val="false"/>
                  <w:color w:val="000000"/>
                  <w:sz w:val="20"/>
                  <w:u w:val="single"/>
                </w:rPr>
                <w:t>11</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58">
              <w:r>
                <w:rPr>
                  <w:rStyle w:val="InternetLink"/>
                  <w:rFonts w:ascii="Arial Narrow;sans-serif" w:hAnsi="Arial Narrow;sans-serif"/>
                  <w:b w:val="false"/>
                  <w:color w:val="000000"/>
                  <w:sz w:val="20"/>
                  <w:u w:val="single"/>
                </w:rPr>
                <w:t>Note 5. Property &amp; Equipment, Net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58">
              <w:r>
                <w:rPr>
                  <w:rStyle w:val="InternetLink"/>
                  <w:rFonts w:ascii="Arial Narrow;sans-serif" w:hAnsi="Arial Narrow;sans-serif"/>
                  <w:b w:val="false"/>
                  <w:color w:val="000000"/>
                  <w:sz w:val="20"/>
                  <w:u w:val="single"/>
                </w:rPr>
                <w:t>12</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64">
              <w:r>
                <w:rPr>
                  <w:rStyle w:val="InternetLink"/>
                  <w:rFonts w:ascii="Arial Narrow;sans-serif" w:hAnsi="Arial Narrow;sans-serif"/>
                  <w:b w:val="false"/>
                  <w:color w:val="000000"/>
                  <w:sz w:val="20"/>
                  <w:u w:val="single"/>
                </w:rPr>
                <w:t>Note 6. Goodwill &amp; Intangible Assets</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64">
              <w:r>
                <w:rPr>
                  <w:rStyle w:val="InternetLink"/>
                  <w:rFonts w:ascii="Arial Narrow;sans-serif" w:hAnsi="Arial Narrow;sans-serif"/>
                  <w:b w:val="false"/>
                  <w:color w:val="000000"/>
                  <w:sz w:val="20"/>
                  <w:u w:val="single"/>
                </w:rPr>
                <w:t>12</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73">
              <w:r>
                <w:rPr>
                  <w:rStyle w:val="InternetLink"/>
                  <w:rFonts w:ascii="Arial Narrow;sans-serif" w:hAnsi="Arial Narrow;sans-serif"/>
                  <w:b w:val="false"/>
                  <w:color w:val="000000"/>
                  <w:sz w:val="20"/>
                  <w:u w:val="single"/>
                </w:rPr>
                <w:t>Note 7. Fair Value of Financial Instruments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73">
              <w:r>
                <w:rPr>
                  <w:rStyle w:val="InternetLink"/>
                  <w:rFonts w:ascii="Arial Narrow;sans-serif" w:hAnsi="Arial Narrow;sans-serif"/>
                  <w:b w:val="false"/>
                  <w:color w:val="000000"/>
                  <w:sz w:val="20"/>
                  <w:u w:val="single"/>
                </w:rPr>
                <w:t>13</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79">
              <w:r>
                <w:rPr>
                  <w:rStyle w:val="InternetLink"/>
                  <w:rFonts w:ascii="Arial Narrow;sans-serif" w:hAnsi="Arial Narrow;sans-serif"/>
                  <w:b w:val="false"/>
                  <w:color w:val="000000"/>
                  <w:sz w:val="20"/>
                  <w:u w:val="single"/>
                </w:rPr>
                <w:t>Note 8. Debt</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79">
              <w:r>
                <w:rPr>
                  <w:rStyle w:val="InternetLink"/>
                  <w:rFonts w:ascii="Arial Narrow;sans-serif" w:hAnsi="Arial Narrow;sans-serif"/>
                  <w:b w:val="false"/>
                  <w:color w:val="000000"/>
                  <w:sz w:val="20"/>
                  <w:u w:val="single"/>
                </w:rPr>
                <w:t>14</w:t>
              </w:r>
            </w:hyperlink>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88">
              <w:r>
                <w:rPr>
                  <w:rStyle w:val="InternetLink"/>
                  <w:rFonts w:ascii="Arial Narrow;sans-serif" w:hAnsi="Arial Narrow;sans-serif"/>
                  <w:b w:val="false"/>
                  <w:color w:val="000000"/>
                  <w:sz w:val="20"/>
                  <w:u w:val="single"/>
                </w:rPr>
                <w:t>Note 9. Non-Controlling Interests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88">
              <w:r>
                <w:rPr>
                  <w:rStyle w:val="InternetLink"/>
                  <w:rFonts w:ascii="Arial Narrow;sans-serif" w:hAnsi="Arial Narrow;sans-serif"/>
                  <w:b w:val="false"/>
                  <w:color w:val="000000"/>
                  <w:sz w:val="20"/>
                  <w:u w:val="single"/>
                </w:rPr>
                <w:t>15</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94">
              <w:r>
                <w:rPr>
                  <w:rStyle w:val="InternetLink"/>
                  <w:rFonts w:ascii="Arial Narrow;sans-serif" w:hAnsi="Arial Narrow;sans-serif"/>
                  <w:b w:val="false"/>
                  <w:color w:val="000000"/>
                  <w:sz w:val="20"/>
                  <w:u w:val="single"/>
                </w:rPr>
                <w:t>Note 10. Equity-Based Compensation</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94">
              <w:r>
                <w:rPr>
                  <w:rStyle w:val="InternetLink"/>
                  <w:rFonts w:ascii="Arial Narrow;sans-serif" w:hAnsi="Arial Narrow;sans-serif"/>
                  <w:b w:val="false"/>
                  <w:color w:val="000000"/>
                  <w:sz w:val="20"/>
                  <w:u w:val="single"/>
                </w:rPr>
                <w:t>16</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03">
              <w:r>
                <w:rPr>
                  <w:rStyle w:val="InternetLink"/>
                  <w:rFonts w:ascii="Arial Narrow;sans-serif" w:hAnsi="Arial Narrow;sans-serif"/>
                  <w:b w:val="false"/>
                  <w:color w:val="000000"/>
                  <w:sz w:val="20"/>
                  <w:u w:val="single"/>
                </w:rPr>
                <w:t>Note 11. Income Taxes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03">
              <w:r>
                <w:rPr>
                  <w:rStyle w:val="InternetLink"/>
                  <w:rFonts w:ascii="Arial Narrow;sans-serif" w:hAnsi="Arial Narrow;sans-serif"/>
                  <w:b w:val="false"/>
                  <w:color w:val="000000"/>
                  <w:sz w:val="20"/>
                  <w:u w:val="single"/>
                </w:rPr>
                <w:t>17</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09">
              <w:r>
                <w:rPr>
                  <w:rStyle w:val="InternetLink"/>
                  <w:rFonts w:ascii="Arial Narrow;sans-serif" w:hAnsi="Arial Narrow;sans-serif"/>
                  <w:b w:val="false"/>
                  <w:color w:val="000000"/>
                  <w:sz w:val="20"/>
                  <w:u w:val="single"/>
                </w:rPr>
                <w:t>Note 12. Earnings Per Share</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09">
              <w:r>
                <w:rPr>
                  <w:rStyle w:val="InternetLink"/>
                  <w:rFonts w:ascii="Arial Narrow;sans-serif" w:hAnsi="Arial Narrow;sans-serif"/>
                  <w:b w:val="false"/>
                  <w:color w:val="000000"/>
                  <w:sz w:val="20"/>
                  <w:u w:val="single"/>
                </w:rPr>
                <w:t>18</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15">
              <w:r>
                <w:rPr>
                  <w:rStyle w:val="InternetLink"/>
                  <w:rFonts w:ascii="Arial Narrow;sans-serif" w:hAnsi="Arial Narrow;sans-serif"/>
                  <w:b w:val="false"/>
                  <w:color w:val="000000"/>
                  <w:sz w:val="20"/>
                  <w:u w:val="single"/>
                </w:rPr>
                <w:t>Note 13. Contingencies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15">
              <w:r>
                <w:rPr>
                  <w:rStyle w:val="InternetLink"/>
                  <w:rFonts w:ascii="Arial Narrow;sans-serif" w:hAnsi="Arial Narrow;sans-serif"/>
                  <w:b w:val="false"/>
                  <w:color w:val="000000"/>
                  <w:sz w:val="20"/>
                  <w:u w:val="single"/>
                </w:rPr>
                <w:t>19</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18">
              <w:r>
                <w:rPr>
                  <w:rStyle w:val="InternetLink"/>
                  <w:rFonts w:ascii="Arial Narrow;sans-serif" w:hAnsi="Arial Narrow;sans-serif"/>
                  <w:b w:val="false"/>
                  <w:color w:val="000000"/>
                  <w:sz w:val="20"/>
                  <w:u w:val="single"/>
                </w:rPr>
                <w:t>Note 14. Segment Information</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18">
              <w:r>
                <w:rPr>
                  <w:rStyle w:val="InternetLink"/>
                  <w:rFonts w:ascii="Arial Narrow;sans-serif" w:hAnsi="Arial Narrow;sans-serif"/>
                  <w:b w:val="false"/>
                  <w:color w:val="000000"/>
                  <w:sz w:val="20"/>
                  <w:u w:val="single"/>
                </w:rPr>
                <w:t>19</w:t>
              </w:r>
            </w:hyperlink>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24">
              <w:r>
                <w:rPr>
                  <w:rStyle w:val="InternetLink"/>
                  <w:rFonts w:ascii="Arial Narrow;sans-serif" w:hAnsi="Arial Narrow;sans-serif"/>
                  <w:b w:val="false"/>
                  <w:color w:val="000000"/>
                  <w:sz w:val="20"/>
                  <w:u w:val="single"/>
                </w:rPr>
                <w:t>Note 15. Related Party Transactions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24">
              <w:r>
                <w:rPr>
                  <w:rStyle w:val="InternetLink"/>
                  <w:rFonts w:ascii="Arial Narrow;sans-serif" w:hAnsi="Arial Narrow;sans-serif"/>
                  <w:b w:val="false"/>
                  <w:color w:val="000000"/>
                  <w:sz w:val="20"/>
                  <w:u w:val="single"/>
                </w:rPr>
                <w:t>19</w:t>
              </w:r>
            </w:hyperlink>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hyperlink w:anchor="i801f119492924e37ac138fde00fb4481_130">
              <w:r>
                <w:rPr>
                  <w:rStyle w:val="InternetLink"/>
                  <w:rFonts w:ascii="Arial Narrow;sans-serif" w:hAnsi="Arial Narrow;sans-serif"/>
                  <w:b w:val="false"/>
                  <w:color w:val="000000"/>
                  <w:sz w:val="20"/>
                  <w:u w:val="single"/>
                </w:rPr>
                <w:t>Note 16. Subsequent Events</w:t>
              </w:r>
            </w:hyperlink>
          </w:p>
        </w:tc>
        <w:tc>
          <w:tcPr>
            <w:tcW w:w="54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center"/>
              <w:rPr/>
            </w:pPr>
            <w:hyperlink w:anchor="i801f119492924e37ac138fde00fb4481_130">
              <w:r>
                <w:rPr>
                  <w:rStyle w:val="InternetLink"/>
                  <w:rFonts w:ascii="Arial Narrow;sans-serif" w:hAnsi="Arial Narrow;sans-serif"/>
                  <w:b w:val="false"/>
                  <w:color w:val="000000"/>
                  <w:sz w:val="20"/>
                  <w:u w:val="single"/>
                </w:rPr>
                <w:t>20</w:t>
              </w:r>
            </w:hyperlink>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2755"/>
                <wp:effectExtent l="0" t="0" r="0" b="0"/>
                <wp:wrapNone/>
                <wp:docPr id="10" name="Frame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8"/>
                                          <a:stretch>
                                            <a:fillRect/>
                                          </a:stretch>
                                        </pic:blipFill>
                                        <pic:spPr bwMode="auto">
                                          <a:xfrm>
                                            <a:off x="0" y="0"/>
                                            <a:ext cx="190500" cy="180975"/>
                                          </a:xfrm>
                                          <a:prstGeom prst="rect">
                                            <a:avLst/>
                                          </a:prstGeom>
                                        </pic:spPr>
                                      </pic:pic>
                                    </a:graphicData>
                                  </a:graphic>
                                </wp:inline>
                              </w:drawing>
                            </w:r>
                            <w:bookmarkStart w:id="6" w:name="i-6"/>
                            <w:bookmarkEnd w:id="6"/>
                            <w:r>
                              <w:rPr>
                                <w:color w:val="000000"/>
                              </w:rPr>
                              <w:t xml:space="preserve"> </w:t>
                            </w:r>
                            <w:r>
                              <w:rPr>
                                <w:rFonts w:ascii="Arial Narrow;sans-serif" w:hAnsi="Arial Narrow;sans-serif"/>
                                <w:b w:val="false"/>
                                <w:color w:val="000000"/>
                                <w:sz w:val="20"/>
                              </w:rPr>
                              <w:t>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190500" cy="180975"/>
                                    </a:xfrm>
                                    <a:prstGeom prst="rect">
                                      <a:avLst/>
                                    </a:prstGeom>
                                  </pic:spPr>
                                </pic:pic>
                              </a:graphicData>
                            </a:graphic>
                          </wp:inline>
                        </w:drawing>
                      </w:r>
                      <w:bookmarkStart w:id="7" w:name="i-6"/>
                      <w:bookmarkEnd w:id="7"/>
                      <w:r>
                        <w:rPr>
                          <w:color w:val="000000"/>
                        </w:rPr>
                        <w:t xml:space="preserve"> </w:t>
                      </w:r>
                      <w:r>
                        <w:rPr>
                          <w:rFonts w:ascii="Arial Narrow;sans-serif" w:hAnsi="Arial Narrow;sans-serif"/>
                          <w:b w:val="false"/>
                          <w:color w:val="000000"/>
                          <w:sz w:val="20"/>
                        </w:rPr>
                        <w:t>Form 10-Q | 2</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PORTILLO'S INC.</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0" w:after="0"/>
        <w:jc w:val="left"/>
        <w:rPr/>
      </w:pPr>
      <w:r>
        <w:rPr>
          <w:rFonts w:ascii="Arial Narrow;sans-serif" w:hAnsi="Arial Narrow;sans-serif"/>
          <w:b w:val="false"/>
          <w:i/>
          <w:color w:val="000000"/>
          <w:sz w:val="18"/>
        </w:rPr>
        <w:t>(In</w:t>
      </w:r>
      <w:r>
        <w:rPr>
          <w:color w:val="000000"/>
        </w:rPr>
        <w:t xml:space="preserve"> </w:t>
      </w:r>
      <w:r>
        <w:rPr>
          <w:rFonts w:ascii="Arial Narrow;sans-serif" w:hAnsi="Arial Narrow;sans-serif"/>
          <w:b w:val="false"/>
          <w:i/>
          <w:color w:val="000000"/>
          <w:sz w:val="18"/>
        </w:rPr>
        <w:t>thousands, except share and per share data)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1"/>
        <w:gridCol w:w="2308"/>
        <w:gridCol w:w="2346"/>
        <w:gridCol w:w="181"/>
        <w:gridCol w:w="766"/>
        <w:gridCol w:w="109"/>
        <w:gridCol w:w="109"/>
        <w:gridCol w:w="109"/>
        <w:gridCol w:w="109"/>
        <w:gridCol w:w="209"/>
        <w:gridCol w:w="887"/>
        <w:gridCol w:w="181"/>
      </w:tblGrid>
      <w:tr>
        <w:trPr/>
        <w:tc>
          <w:tcPr>
            <w:tcW w:w="289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Accounts and tenant improvement receivables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16,502 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6,844 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51,516 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430,247 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420,263 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261,086 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394,298 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394,298 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intangible assets, net</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22,037 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23,391 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method investment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209,704 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211,267 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9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870,491 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873,669 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ASSETS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1,624,516 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1,606,534 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LIABILITIES AND 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43,210 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long-term debt</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6,250 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Tax Receivable Agreement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debt</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Deferred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Short-term operating lease liabilities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8,027 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6,878 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32,236 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188,816 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193,956 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 of current portion</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235,192 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237,977 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344,524 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Long-term operating lease liabilities</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344,919 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329,190 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liabilities</w:t>
            </w:r>
          </w:p>
        </w:tc>
        <w:tc>
          <w:tcPr>
            <w:tcW w:w="9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925,748 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915,305 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1,114,564 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1,109,261 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13)</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Preferred stock, $0.01 par value per share, 10,000,000 shares authorized, none issued or outstanding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 380,000,000 shares authorized, and 72,504,761 and 71,971,736 shares issued and outstanding at June 28, 2026 and December 28, 2025, respectively.</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common stock, $0.00001 par value per share, 50,000,000 shares authorized, and 3,424,546 and 3,442,335 shares issued and outstanding at June 28, 2026 and December 28, 2025,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paid-in-capital</w:t>
            </w:r>
          </w:p>
        </w:tc>
        <w:tc>
          <w:tcPr>
            <w:tcW w:w="94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410,394 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404,603 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 attributable to Portillo's Inc.</w:t>
            </w:r>
          </w:p>
        </w:tc>
        <w:tc>
          <w:tcPr>
            <w:tcW w:w="9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480,135 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467,797 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29,476 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w:t>
            </w:r>
          </w:p>
        </w:tc>
        <w:tc>
          <w:tcPr>
            <w:tcW w:w="94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509,952 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497,273 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LIABILITIES AND STOCKHOLDERS' EQUITY</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1,624,516 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1,606,534 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2755"/>
                <wp:effectExtent l="0" t="0" r="0" b="0"/>
                <wp:wrapNone/>
                <wp:docPr id="13" name="Frame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10"/>
                                          <a:stretch>
                                            <a:fillRect/>
                                          </a:stretch>
                                        </pic:blipFill>
                                        <pic:spPr bwMode="auto">
                                          <a:xfrm>
                                            <a:off x="0" y="0"/>
                                            <a:ext cx="190500" cy="180975"/>
                                          </a:xfrm>
                                          <a:prstGeom prst="rect">
                                            <a:avLst/>
                                          </a:prstGeom>
                                        </pic:spPr>
                                      </pic:pic>
                                    </a:graphicData>
                                  </a:graphic>
                                </wp:inline>
                              </w:drawing>
                            </w:r>
                            <w:bookmarkStart w:id="8" w:name="i-7"/>
                            <w:bookmarkEnd w:id="8"/>
                            <w:r>
                              <w:rPr>
                                <w:color w:val="000000"/>
                              </w:rPr>
                              <w:t xml:space="preserve"> </w:t>
                            </w:r>
                            <w:r>
                              <w:rPr>
                                <w:rFonts w:ascii="Arial Narrow;sans-serif" w:hAnsi="Arial Narrow;sans-serif"/>
                                <w:b w:val="false"/>
                                <w:color w:val="000000"/>
                                <w:sz w:val="20"/>
                              </w:rPr>
                              <w:t>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190500" cy="180975"/>
                                    </a:xfrm>
                                    <a:prstGeom prst="rect">
                                      <a:avLst/>
                                    </a:prstGeom>
                                  </pic:spPr>
                                </pic:pic>
                              </a:graphicData>
                            </a:graphic>
                          </wp:inline>
                        </w:drawing>
                      </w:r>
                      <w:bookmarkStart w:id="9" w:name="i-7"/>
                      <w:bookmarkEnd w:id="9"/>
                      <w:r>
                        <w:rPr>
                          <w:color w:val="000000"/>
                        </w:rPr>
                        <w:t xml:space="preserve"> </w:t>
                      </w:r>
                      <w:r>
                        <w:rPr>
                          <w:rFonts w:ascii="Arial Narrow;sans-serif" w:hAnsi="Arial Narrow;sans-serif"/>
                          <w:b w:val="false"/>
                          <w:color w:val="000000"/>
                          <w:sz w:val="20"/>
                        </w:rPr>
                        <w:t>Form 10-Q | 3</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PORTILLO'S INC</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CONDENSED CONSOLIDATED STATEMENT OF OPERATIONS</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0" w:after="0"/>
        <w:jc w:val="left"/>
        <w:rPr>
          <w:rFonts w:ascii="Arial Narrow;sans-serif" w:hAnsi="Arial Narrow;sans-serif"/>
          <w:b w:val="false"/>
          <w:i/>
          <w:color w:val="000000"/>
          <w:sz w:val="18"/>
        </w:rPr>
      </w:pPr>
      <w:r>
        <w:rPr>
          <w:rFonts w:ascii="Arial Narrow;sans-serif" w:hAnsi="Arial Narrow;sans-serif"/>
          <w:b w:val="false"/>
          <w:i/>
          <w:color w:val="000000"/>
          <w:sz w:val="18"/>
        </w:rPr>
        <w:t>(In thousands, except share and per share data)</w:t>
      </w:r>
    </w:p>
    <w:p>
      <w:pPr>
        <w:pStyle w:val="TextBody"/>
        <w:bidi w:val="0"/>
        <w:spacing w:before="0" w:after="0"/>
        <w:jc w:val="left"/>
        <w:rPr/>
      </w:pPr>
      <w:r>
        <w:rPr/>
      </w:r>
    </w:p>
    <w:p>
      <w:pPr>
        <w:pStyle w:val="TextBody"/>
        <w:bidi w:val="0"/>
        <w:spacing w:before="0" w:after="0"/>
        <w:jc w:val="left"/>
        <w:rPr/>
      </w:pPr>
      <w:r>
        <w:rPr/>
      </w:r>
    </w:p>
    <w:tbl>
      <w:tblPr>
        <w:tblW w:w="9190" w:type="dxa"/>
        <w:jc w:val="left"/>
        <w:tblInd w:w="0" w:type="dxa"/>
        <w:tblLayout w:type="fixed"/>
        <w:tblCellMar>
          <w:top w:w="28" w:type="dxa"/>
          <w:left w:w="28" w:type="dxa"/>
          <w:bottom w:w="28" w:type="dxa"/>
          <w:right w:w="28" w:type="dxa"/>
        </w:tblCellMar>
      </w:tblPr>
      <w:tblGrid>
        <w:gridCol w:w="1401"/>
        <w:gridCol w:w="1230"/>
        <w:gridCol w:w="1239"/>
        <w:gridCol w:w="197"/>
        <w:gridCol w:w="704"/>
        <w:gridCol w:w="118"/>
        <w:gridCol w:w="109"/>
        <w:gridCol w:w="109"/>
        <w:gridCol w:w="109"/>
        <w:gridCol w:w="197"/>
        <w:gridCol w:w="704"/>
        <w:gridCol w:w="118"/>
        <w:gridCol w:w="109"/>
        <w:gridCol w:w="109"/>
        <w:gridCol w:w="109"/>
        <w:gridCol w:w="197"/>
        <w:gridCol w:w="704"/>
        <w:gridCol w:w="118"/>
        <w:gridCol w:w="109"/>
        <w:gridCol w:w="109"/>
        <w:gridCol w:w="109"/>
        <w:gridCol w:w="197"/>
        <w:gridCol w:w="704"/>
        <w:gridCol w:w="118"/>
        <w:gridCol w:w="109"/>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 NET</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188,456 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381,577 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364,893 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COST AND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 operating expenses:</w:t>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Food, beverage and packaging costs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69,580 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63,750 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132,865 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124,852 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51,094 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48,340 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100,289 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95,208 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9,966 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expenses</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23,341 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47,456 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43,709 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restaurant operating expenses</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155,707 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143,975 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303,486 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283,756 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1,697 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3,488 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(382)</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(610)</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(546)</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INCOME</w:t>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13,776 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17,531 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18,268 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27,912 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(110)</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(150)</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INCOME BEFORE INCOME TAXES</w:t>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8,924 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13,722 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8,251 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19,072 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w:t>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7,155 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non-controlling interests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 ATTRIBUTABLE TO PORTILLO'S INC.</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6,944 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6,542 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12,017 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common share attributable to Portillo's Inc.:</w:t>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197"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18"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0.12 </w:t>
            </w:r>
          </w:p>
        </w:tc>
        <w:tc>
          <w:tcPr>
            <w:tcW w:w="118"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18"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18"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common shares outstanding:</w:t>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72,380,068 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67,595,224 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72,228,233 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65,716,582 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901"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73,171,001 </w:t>
            </w:r>
          </w:p>
        </w:tc>
        <w:tc>
          <w:tcPr>
            <w:tcW w:w="118"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69,867,802 </w:t>
            </w:r>
          </w:p>
        </w:tc>
        <w:tc>
          <w:tcPr>
            <w:tcW w:w="118"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73,154,368 </w:t>
            </w:r>
          </w:p>
        </w:tc>
        <w:tc>
          <w:tcPr>
            <w:tcW w:w="118"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68,174,864 </w:t>
            </w:r>
          </w:p>
        </w:tc>
        <w:tc>
          <w:tcPr>
            <w:tcW w:w="118" w:type="dxa"/>
            <w:tcBorders>
              <w:top w:val="doub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2755"/>
                <wp:effectExtent l="0" t="0" r="0" b="0"/>
                <wp:wrapNone/>
                <wp:docPr id="16" name="Frame6"/>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12"/>
                                          <a:stretch>
                                            <a:fillRect/>
                                          </a:stretch>
                                        </pic:blipFill>
                                        <pic:spPr bwMode="auto">
                                          <a:xfrm>
                                            <a:off x="0" y="0"/>
                                            <a:ext cx="190500" cy="180975"/>
                                          </a:xfrm>
                                          <a:prstGeom prst="rect">
                                            <a:avLst/>
                                          </a:prstGeom>
                                        </pic:spPr>
                                      </pic:pic>
                                    </a:graphicData>
                                  </a:graphic>
                                </wp:inline>
                              </w:drawing>
                            </w:r>
                            <w:bookmarkStart w:id="10" w:name="i-8"/>
                            <w:bookmarkEnd w:id="10"/>
                            <w:r>
                              <w:rPr>
                                <w:color w:val="000000"/>
                              </w:rPr>
                              <w:t xml:space="preserve"> </w:t>
                            </w:r>
                            <w:r>
                              <w:rPr>
                                <w:rFonts w:ascii="Arial Narrow;sans-serif" w:hAnsi="Arial Narrow;sans-serif"/>
                                <w:b w:val="false"/>
                                <w:color w:val="000000"/>
                                <w:sz w:val="20"/>
                              </w:rPr>
                              <w:t>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190500" cy="180975"/>
                                    </a:xfrm>
                                    <a:prstGeom prst="rect">
                                      <a:avLst/>
                                    </a:prstGeom>
                                  </pic:spPr>
                                </pic:pic>
                              </a:graphicData>
                            </a:graphic>
                          </wp:inline>
                        </w:drawing>
                      </w:r>
                      <w:bookmarkStart w:id="11" w:name="i-8"/>
                      <w:bookmarkEnd w:id="11"/>
                      <w:r>
                        <w:rPr>
                          <w:color w:val="000000"/>
                        </w:rPr>
                        <w:t xml:space="preserve"> </w:t>
                      </w:r>
                      <w:r>
                        <w:rPr>
                          <w:rFonts w:ascii="Arial Narrow;sans-serif" w:hAnsi="Arial Narrow;sans-serif"/>
                          <w:b w:val="false"/>
                          <w:color w:val="000000"/>
                          <w:sz w:val="20"/>
                        </w:rPr>
                        <w:t>Form 10-Q | 4</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PORTILLO'S INC</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CONDENSED CONSOLIDATED STATEMENTS OF STOCKHOLDERS' EQUITY</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0" w:after="0"/>
        <w:jc w:val="left"/>
        <w:rPr>
          <w:rFonts w:ascii="Arial Narrow;sans-serif" w:hAnsi="Arial Narrow;sans-serif"/>
          <w:b w:val="false"/>
          <w:i/>
          <w:color w:val="000000"/>
          <w:sz w:val="18"/>
        </w:rPr>
      </w:pPr>
      <w:r>
        <w:rPr>
          <w:rFonts w:ascii="Arial Narrow;sans-serif" w:hAnsi="Arial Narrow;sans-serif"/>
          <w:b w:val="false"/>
          <w:i/>
          <w:color w:val="000000"/>
          <w:sz w:val="18"/>
        </w:rPr>
        <w:t>(In thousands, except share data)</w:t>
      </w:r>
    </w:p>
    <w:p>
      <w:pPr>
        <w:pStyle w:val="TextBody"/>
        <w:bidi w:val="0"/>
        <w:spacing w:before="0" w:after="0"/>
        <w:jc w:val="left"/>
        <w:rPr/>
      </w:pPr>
      <w:r>
        <w:rPr/>
      </w:r>
    </w:p>
    <w:p>
      <w:pPr>
        <w:pStyle w:val="TextBody"/>
        <w:bidi w:val="0"/>
        <w:spacing w:before="0" w:after="0"/>
        <w:ind w:left="0" w:right="0" w:firstLine="720"/>
        <w:jc w:val="center"/>
        <w:rPr/>
      </w:pPr>
      <w:r>
        <w:rPr/>
      </w:r>
    </w:p>
    <w:tbl>
      <w:tblPr>
        <w:tblW w:w="11918" w:type="dxa"/>
        <w:jc w:val="center"/>
        <w:tblInd w:w="0" w:type="dxa"/>
        <w:tblLayout w:type="fixed"/>
        <w:tblCellMar>
          <w:top w:w="28" w:type="dxa"/>
          <w:left w:w="28" w:type="dxa"/>
          <w:bottom w:w="28" w:type="dxa"/>
          <w:right w:w="28" w:type="dxa"/>
        </w:tblCellMar>
      </w:tblPr>
      <w:tblGrid>
        <w:gridCol w:w="629"/>
        <w:gridCol w:w="210"/>
        <w:gridCol w:w="212"/>
        <w:gridCol w:w="109"/>
        <w:gridCol w:w="109"/>
        <w:gridCol w:w="109"/>
        <w:gridCol w:w="109"/>
        <w:gridCol w:w="109"/>
        <w:gridCol w:w="150"/>
        <w:gridCol w:w="150"/>
        <w:gridCol w:w="551"/>
        <w:gridCol w:w="290"/>
        <w:gridCol w:w="151"/>
        <w:gridCol w:w="109"/>
        <w:gridCol w:w="109"/>
        <w:gridCol w:w="109"/>
        <w:gridCol w:w="181"/>
        <w:gridCol w:w="376"/>
        <w:gridCol w:w="109"/>
        <w:gridCol w:w="109"/>
        <w:gridCol w:w="109"/>
        <w:gridCol w:w="109"/>
        <w:gridCol w:w="420"/>
        <w:gridCol w:w="421"/>
        <w:gridCol w:w="196"/>
        <w:gridCol w:w="109"/>
        <w:gridCol w:w="109"/>
        <w:gridCol w:w="109"/>
        <w:gridCol w:w="181"/>
        <w:gridCol w:w="406"/>
        <w:gridCol w:w="109"/>
        <w:gridCol w:w="109"/>
        <w:gridCol w:w="109"/>
        <w:gridCol w:w="109"/>
        <w:gridCol w:w="181"/>
        <w:gridCol w:w="646"/>
        <w:gridCol w:w="109"/>
        <w:gridCol w:w="109"/>
        <w:gridCol w:w="109"/>
        <w:gridCol w:w="109"/>
        <w:gridCol w:w="181"/>
        <w:gridCol w:w="571"/>
        <w:gridCol w:w="109"/>
        <w:gridCol w:w="109"/>
        <w:gridCol w:w="109"/>
        <w:gridCol w:w="109"/>
        <w:gridCol w:w="258"/>
        <w:gridCol w:w="816"/>
        <w:gridCol w:w="157"/>
        <w:gridCol w:w="109"/>
        <w:gridCol w:w="109"/>
        <w:gridCol w:w="109"/>
        <w:gridCol w:w="203"/>
        <w:gridCol w:w="725"/>
        <w:gridCol w:w="123"/>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5" w:type="dxa"/>
            <w:gridSpan w:val="34"/>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18"/>
                <w:u w:val="single"/>
              </w:rPr>
            </w:pPr>
            <w:r>
              <w:rPr>
                <w:rFonts w:ascii="Arial Narrow;sans-serif" w:hAnsi="Arial Narrow;sans-serif"/>
                <w:b/>
                <w:color w:val="000000"/>
                <w:sz w:val="18"/>
                <w:u w:val="single"/>
              </w:rPr>
              <w:t>Quarter Ended June 28, 2026 and June 29, 2025</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0" w:type="dxa"/>
            <w:gridSpan w:val="17"/>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u w:val="single"/>
              </w:rPr>
            </w:pPr>
            <w:r>
              <w:rPr>
                <w:rFonts w:ascii="Arial Narrow;sans-serif" w:hAnsi="Arial Narrow;sans-serif"/>
                <w:b/>
                <w:color w:val="000000"/>
                <w:sz w:val="18"/>
                <w:u w:val="single"/>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u w:val="single"/>
              </w:rPr>
            </w:pPr>
            <w:r>
              <w:rPr>
                <w:rFonts w:ascii="Arial Narrow;sans-serif" w:hAnsi="Arial Narrow;sans-serif"/>
                <w:b/>
                <w:color w:val="000000"/>
                <w:sz w:val="18"/>
                <w:u w:val="single"/>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March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63,905,130 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10,732,800 </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359,798 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46,442 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88,527 </w:t>
            </w:r>
          </w:p>
        </w:tc>
        <w:tc>
          <w:tcPr>
            <w:tcW w:w="1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495,406 </w:t>
            </w:r>
          </w:p>
        </w:tc>
        <w:tc>
          <w:tcPr>
            <w:tcW w:w="1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2,658 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Activity under equity-based compensation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694,573 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Redemption of LLC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7,290,465 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(7,290,465)</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(61,281)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Distributions paid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 and related changes to deferred tax assets associated with increases in tax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71,890,168 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3,442,335 </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403,068 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55,146 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28,864 </w:t>
            </w:r>
          </w:p>
        </w:tc>
        <w:tc>
          <w:tcPr>
            <w:tcW w:w="1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487,797 </w:t>
            </w:r>
          </w:p>
        </w:tc>
        <w:tc>
          <w:tcPr>
            <w:tcW w:w="1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March 29,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72,159,742 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3,424,546 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408,161 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62,072 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29,300 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500,255 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Equity-based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2,604 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Activity under equity-based compensation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345,019 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Contributions from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June 28,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72,504,761 </w:t>
            </w:r>
          </w:p>
        </w:tc>
        <w:tc>
          <w:tcPr>
            <w:tcW w:w="15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725 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3,424,546 </w:t>
            </w:r>
          </w:p>
        </w:tc>
        <w:tc>
          <w:tcPr>
            <w:tcW w:w="1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410,394 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69,016 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29,817 </w:t>
            </w:r>
          </w:p>
        </w:tc>
        <w:tc>
          <w:tcPr>
            <w:tcW w:w="15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509,952 </w:t>
            </w:r>
          </w:p>
        </w:tc>
        <w:tc>
          <w:tcPr>
            <w:tcW w:w="1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2755"/>
                <wp:effectExtent l="0" t="0" r="0" b="0"/>
                <wp:wrapNone/>
                <wp:docPr id="19" name="Frame7"/>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4"/>
                                          <a:stretch>
                                            <a:fillRect/>
                                          </a:stretch>
                                        </pic:blipFill>
                                        <pic:spPr bwMode="auto">
                                          <a:xfrm>
                                            <a:off x="0" y="0"/>
                                            <a:ext cx="190500" cy="180975"/>
                                          </a:xfrm>
                                          <a:prstGeom prst="rect">
                                            <a:avLst/>
                                          </a:prstGeom>
                                        </pic:spPr>
                                      </pic:pic>
                                    </a:graphicData>
                                  </a:graphic>
                                </wp:inline>
                              </w:drawing>
                            </w:r>
                            <w:bookmarkStart w:id="12" w:name="i-9"/>
                            <w:bookmarkEnd w:id="12"/>
                            <w:r>
                              <w:rPr>
                                <w:color w:val="000000"/>
                              </w:rPr>
                              <w:t xml:space="preserve"> </w:t>
                            </w:r>
                            <w:r>
                              <w:rPr>
                                <w:rFonts w:ascii="Arial Narrow;sans-serif" w:hAnsi="Arial Narrow;sans-serif"/>
                                <w:b w:val="false"/>
                                <w:color w:val="000000"/>
                                <w:sz w:val="20"/>
                              </w:rPr>
                              <w:t>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190500" cy="180975"/>
                                    </a:xfrm>
                                    <a:prstGeom prst="rect">
                                      <a:avLst/>
                                    </a:prstGeom>
                                  </pic:spPr>
                                </pic:pic>
                              </a:graphicData>
                            </a:graphic>
                          </wp:inline>
                        </w:drawing>
                      </w:r>
                      <w:bookmarkStart w:id="13" w:name="i-9"/>
                      <w:bookmarkEnd w:id="13"/>
                      <w:r>
                        <w:rPr>
                          <w:color w:val="000000"/>
                        </w:rPr>
                        <w:t xml:space="preserve"> </w:t>
                      </w:r>
                      <w:r>
                        <w:rPr>
                          <w:rFonts w:ascii="Arial Narrow;sans-serif" w:hAnsi="Arial Narrow;sans-serif"/>
                          <w:b w:val="false"/>
                          <w:color w:val="000000"/>
                          <w:sz w:val="20"/>
                        </w:rPr>
                        <w:t>Form 10-Q | 5</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PORTILLO'S INC.</w: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CONDENSED CONSOLIDATED STATEMENTS OF STOCKHOLDERS' EQUITY</w: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lineRule="auto" w:line="288" w:before="0" w:after="0"/>
        <w:jc w:val="left"/>
        <w:rPr>
          <w:rFonts w:ascii="Arial Narrow;sans-serif" w:hAnsi="Arial Narrow;sans-serif"/>
          <w:b w:val="false"/>
          <w:i/>
          <w:color w:val="000000"/>
          <w:sz w:val="18"/>
        </w:rPr>
      </w:pPr>
      <w:r>
        <w:rPr>
          <w:rFonts w:ascii="Arial Narrow;sans-serif" w:hAnsi="Arial Narrow;sans-serif"/>
          <w:b w:val="false"/>
          <w:i/>
          <w:color w:val="000000"/>
          <w:sz w:val="18"/>
        </w:rPr>
        <w:t>(In thousands, except share data)</w:t>
      </w:r>
    </w:p>
    <w:tbl>
      <w:tblPr>
        <w:tblW w:w="11918" w:type="dxa"/>
        <w:jc w:val="center"/>
        <w:tblInd w:w="0" w:type="dxa"/>
        <w:tblLayout w:type="fixed"/>
        <w:tblCellMar>
          <w:top w:w="28" w:type="dxa"/>
          <w:left w:w="28" w:type="dxa"/>
          <w:bottom w:w="28" w:type="dxa"/>
          <w:right w:w="28" w:type="dxa"/>
        </w:tblCellMar>
      </w:tblPr>
      <w:tblGrid>
        <w:gridCol w:w="534"/>
        <w:gridCol w:w="258"/>
        <w:gridCol w:w="259"/>
        <w:gridCol w:w="109"/>
        <w:gridCol w:w="109"/>
        <w:gridCol w:w="109"/>
        <w:gridCol w:w="109"/>
        <w:gridCol w:w="109"/>
        <w:gridCol w:w="109"/>
        <w:gridCol w:w="109"/>
        <w:gridCol w:w="150"/>
        <w:gridCol w:w="150"/>
        <w:gridCol w:w="551"/>
        <w:gridCol w:w="290"/>
        <w:gridCol w:w="151"/>
        <w:gridCol w:w="109"/>
        <w:gridCol w:w="109"/>
        <w:gridCol w:w="109"/>
        <w:gridCol w:w="181"/>
        <w:gridCol w:w="376"/>
        <w:gridCol w:w="109"/>
        <w:gridCol w:w="109"/>
        <w:gridCol w:w="109"/>
        <w:gridCol w:w="109"/>
        <w:gridCol w:w="420"/>
        <w:gridCol w:w="421"/>
        <w:gridCol w:w="196"/>
        <w:gridCol w:w="109"/>
        <w:gridCol w:w="109"/>
        <w:gridCol w:w="109"/>
        <w:gridCol w:w="181"/>
        <w:gridCol w:w="406"/>
        <w:gridCol w:w="109"/>
        <w:gridCol w:w="109"/>
        <w:gridCol w:w="109"/>
        <w:gridCol w:w="109"/>
        <w:gridCol w:w="181"/>
        <w:gridCol w:w="646"/>
        <w:gridCol w:w="109"/>
        <w:gridCol w:w="109"/>
        <w:gridCol w:w="109"/>
        <w:gridCol w:w="109"/>
        <w:gridCol w:w="181"/>
        <w:gridCol w:w="571"/>
        <w:gridCol w:w="109"/>
        <w:gridCol w:w="109"/>
        <w:gridCol w:w="109"/>
        <w:gridCol w:w="109"/>
        <w:gridCol w:w="258"/>
        <w:gridCol w:w="816"/>
        <w:gridCol w:w="157"/>
        <w:gridCol w:w="109"/>
        <w:gridCol w:w="109"/>
        <w:gridCol w:w="109"/>
        <w:gridCol w:w="202"/>
        <w:gridCol w:w="721"/>
        <w:gridCol w:w="173"/>
      </w:tblGrid>
      <w:tr>
        <w:trPr/>
        <w:tc>
          <w:tcPr>
            <w:tcW w:w="5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749" w:type="dxa"/>
            <w:gridSpan w:val="39"/>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18"/>
                <w:u w:val="single"/>
              </w:rPr>
            </w:pPr>
            <w:r>
              <w:rPr>
                <w:rFonts w:ascii="Arial Narrow;sans-serif" w:hAnsi="Arial Narrow;sans-serif"/>
                <w:b/>
                <w:color w:val="000000"/>
                <w:sz w:val="18"/>
                <w:u w:val="single"/>
              </w:rPr>
              <w:t>Two Quarters Ended June 28, 2026 and June 29, 2025</w:t>
            </w:r>
          </w:p>
        </w:tc>
        <w:tc>
          <w:tcPr>
            <w:tcW w:w="4169" w:type="dxa"/>
            <w:gridSpan w:val="18"/>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u w:val="single"/>
              </w:rPr>
            </w:pPr>
            <w:r>
              <w:rPr>
                <w:rFonts w:ascii="Arial Narrow;sans-serif" w:hAnsi="Arial Narrow;sans-serif"/>
                <w:b/>
                <w:color w:val="000000"/>
                <w:sz w:val="18"/>
                <w:u w:val="single"/>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u w:val="single"/>
              </w:rPr>
            </w:pPr>
            <w:r>
              <w:rPr>
                <w:rFonts w:ascii="Arial Narrow;sans-serif" w:hAnsi="Arial Narrow;sans-serif"/>
                <w:b/>
                <w:color w:val="000000"/>
                <w:sz w:val="18"/>
                <w:u w:val="single"/>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6"/>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Total Stockholders' Equity</w:t>
            </w:r>
          </w:p>
        </w:tc>
      </w:tr>
      <w:tr>
        <w:trPr/>
        <w:tc>
          <w:tcPr>
            <w:tcW w:w="105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December 29, 2024</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63,674,579 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10,732,800 </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357,295 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43,129 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89,042 </w:t>
            </w:r>
          </w:p>
        </w:tc>
        <w:tc>
          <w:tcPr>
            <w:tcW w:w="1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490,103 </w:t>
            </w:r>
          </w:p>
        </w:tc>
        <w:tc>
          <w:tcPr>
            <w:tcW w:w="17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4,608 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Activity under equity-based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925,124 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Redemption of LLC Units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7,290,465 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(7,290,465)</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(61,463)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paid to non-controlling interest 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 and related changes to deferred tax assets associated with increases in tax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June 29, 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71,890,168 </w:t>
            </w:r>
          </w:p>
        </w:tc>
        <w:tc>
          <w:tcPr>
            <w:tcW w:w="15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3,442,335 </w:t>
            </w:r>
          </w:p>
        </w:tc>
        <w:tc>
          <w:tcPr>
            <w:tcW w:w="19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403,068 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55,146 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28,864 </w:t>
            </w:r>
          </w:p>
        </w:tc>
        <w:tc>
          <w:tcPr>
            <w:tcW w:w="15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487,797 </w:t>
            </w:r>
          </w:p>
        </w:tc>
        <w:tc>
          <w:tcPr>
            <w:tcW w:w="17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December 28, 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71,971,736 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3,442,335 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29,476 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497,273 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Equity-based compensation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Activity under equity-based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515,236 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Redemption of LLC Units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17,789 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(17,789)</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paid to non-controlling interest holders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(376)</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(376)</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 and related changes to deferred tax assets associated with increases in tax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Contributions from non-controlling interests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682 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682 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June 28, 2026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72,504,761 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3,424,546 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410,394 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69,016 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29,817 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509,952 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2755"/>
                <wp:effectExtent l="0" t="0" r="0" b="0"/>
                <wp:wrapNone/>
                <wp:docPr id="22" name="Frame8"/>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6"/>
                                          <a:stretch>
                                            <a:fillRect/>
                                          </a:stretch>
                                        </pic:blipFill>
                                        <pic:spPr bwMode="auto">
                                          <a:xfrm>
                                            <a:off x="0" y="0"/>
                                            <a:ext cx="190500" cy="180975"/>
                                          </a:xfrm>
                                          <a:prstGeom prst="rect">
                                            <a:avLst/>
                                          </a:prstGeom>
                                        </pic:spPr>
                                      </pic:pic>
                                    </a:graphicData>
                                  </a:graphic>
                                </wp:inline>
                              </w:drawing>
                            </w:r>
                            <w:bookmarkStart w:id="14" w:name="i-10"/>
                            <w:bookmarkEnd w:id="14"/>
                            <w:r>
                              <w:rPr>
                                <w:color w:val="000000"/>
                              </w:rPr>
                              <w:t xml:space="preserve"> </w:t>
                            </w:r>
                            <w:r>
                              <w:rPr>
                                <w:rFonts w:ascii="Arial Narrow;sans-serif" w:hAnsi="Arial Narrow;sans-serif"/>
                                <w:b w:val="false"/>
                                <w:color w:val="000000"/>
                                <w:sz w:val="20"/>
                              </w:rPr>
                              <w:t>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190500" cy="180975"/>
                                    </a:xfrm>
                                    <a:prstGeom prst="rect">
                                      <a:avLst/>
                                    </a:prstGeom>
                                  </pic:spPr>
                                </pic:pic>
                              </a:graphicData>
                            </a:graphic>
                          </wp:inline>
                        </w:drawing>
                      </w:r>
                      <w:bookmarkStart w:id="15" w:name="i-10"/>
                      <w:bookmarkEnd w:id="15"/>
                      <w:r>
                        <w:rPr>
                          <w:color w:val="000000"/>
                        </w:rPr>
                        <w:t xml:space="preserve"> </w:t>
                      </w:r>
                      <w:r>
                        <w:rPr>
                          <w:rFonts w:ascii="Arial Narrow;sans-serif" w:hAnsi="Arial Narrow;sans-serif"/>
                          <w:b w:val="false"/>
                          <w:color w:val="000000"/>
                          <w:sz w:val="20"/>
                        </w:rPr>
                        <w:t>Form 10-Q | 6</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PORTILLO'S INC.</w: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CONDENSED CONSOLIDATED STATEMENTS OF CASH FLOWS</w: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lineRule="auto" w:line="288" w:before="0" w:after="0"/>
        <w:jc w:val="left"/>
        <w:rPr>
          <w:rFonts w:ascii="Arial Narrow;sans-serif" w:hAnsi="Arial Narrow;sans-serif"/>
          <w:b w:val="false"/>
          <w:i/>
          <w:color w:val="000000"/>
          <w:sz w:val="18"/>
        </w:rPr>
      </w:pPr>
      <w:r>
        <w:rPr>
          <w:rFonts w:ascii="Arial Narrow;sans-serif" w:hAnsi="Arial Narrow;sans-serif"/>
          <w:b w:val="false"/>
          <w:i/>
          <w:color w:val="000000"/>
          <w:sz w:val="18"/>
        </w:rPr>
        <w:t>(In thousands)</w:t>
      </w:r>
    </w:p>
    <w:p>
      <w:pPr>
        <w:pStyle w:val="TextBody"/>
        <w:bidi w:val="0"/>
        <w:spacing w:before="0" w:after="0"/>
        <w:jc w:val="left"/>
        <w:rPr/>
      </w:pPr>
      <w:r>
        <w:rPr/>
      </w:r>
    </w:p>
    <w:tbl>
      <w:tblPr>
        <w:tblW w:w="9319" w:type="dxa"/>
        <w:jc w:val="left"/>
        <w:tblInd w:w="0" w:type="dxa"/>
        <w:tblLayout w:type="fixed"/>
        <w:tblCellMar>
          <w:top w:w="28" w:type="dxa"/>
          <w:left w:w="28" w:type="dxa"/>
          <w:bottom w:w="28" w:type="dxa"/>
          <w:right w:w="28" w:type="dxa"/>
        </w:tblCellMar>
      </w:tblPr>
      <w:tblGrid>
        <w:gridCol w:w="2424"/>
        <w:gridCol w:w="2129"/>
        <w:gridCol w:w="2136"/>
        <w:gridCol w:w="214"/>
        <w:gridCol w:w="677"/>
        <w:gridCol w:w="129"/>
        <w:gridCol w:w="109"/>
        <w:gridCol w:w="109"/>
        <w:gridCol w:w="109"/>
        <w:gridCol w:w="214"/>
        <w:gridCol w:w="677"/>
        <w:gridCol w:w="129"/>
        <w:gridCol w:w="109"/>
        <w:gridCol w:w="154"/>
      </w:tblGrid>
      <w:tr>
        <w:trPr/>
        <w:tc>
          <w:tcPr>
            <w:tcW w:w="242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issuance costs and discount</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sales of assets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4,608 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 expense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Gift card breakage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Receivables from related parties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assets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(7,439)</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 and other liabilities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(3,984)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(1,607)</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lease incentives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and liabilities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1,077 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CASH PROVIDED BY OPERATING ACTIVITIES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35,128 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28,693 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property and equipment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(30,153)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(33,081)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CASH USED IN INVESTING ACTIVITIES</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(29,981)</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(33,076)</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bookmarkStart w:id="16" w:name="i4e1de26a06de423787d4d90cb6ec7649_31-0-1"/>
            <w:bookmarkEnd w:id="16"/>
            <w:r>
              <w:rPr>
                <w:rFonts w:ascii="Arial Narrow;sans-serif" w:hAnsi="Arial Narrow;sans-serif"/>
                <w:b w:val="false"/>
                <w:color w:val="000000"/>
                <w:sz w:val="18"/>
              </w:rPr>
              <w:t>Proceeds from short-term debt,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long-term debt</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(3,125)</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(38,750)</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paid to non-controlling interest holders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stock option exercises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2,727 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Employee withholding taxes related to net settled equity awards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Employee Stock Purchase Plan purchases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Tax Receivable Agreement liability</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(7,686)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deferred financing costs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Contributions from non-controlling interests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CASH USED IN FINANCING ACTIVITIES</w:t>
            </w:r>
          </w:p>
        </w:tc>
        <w:tc>
          <w:tcPr>
            <w:tcW w:w="89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(3,857)</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NET INCREASE (DECREASE) IN CASH AND CASH EQUIVALENTS AND RESTRICTED CASH</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(6,255)</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AND RESTRICTED CASH AT BEGINNING OF THE PERIOD</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19,963 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AND RESTRICTED CASH AT END OF THE PERIOD</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21,253 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16,621 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2755"/>
                <wp:effectExtent l="0" t="0" r="0" b="0"/>
                <wp:wrapNone/>
                <wp:docPr id="25" name="Frame9"/>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8"/>
                                          <a:stretch>
                                            <a:fillRect/>
                                          </a:stretch>
                                        </pic:blipFill>
                                        <pic:spPr bwMode="auto">
                                          <a:xfrm>
                                            <a:off x="0" y="0"/>
                                            <a:ext cx="190500" cy="180975"/>
                                          </a:xfrm>
                                          <a:prstGeom prst="rect">
                                            <a:avLst/>
                                          </a:prstGeom>
                                        </pic:spPr>
                                      </pic:pic>
                                    </a:graphicData>
                                  </a:graphic>
                                </wp:inline>
                              </w:drawing>
                            </w:r>
                            <w:bookmarkStart w:id="17" w:name="i-11"/>
                            <w:bookmarkEnd w:id="17"/>
                            <w:r>
                              <w:rPr>
                                <w:color w:val="000000"/>
                              </w:rPr>
                              <w:t xml:space="preserve"> </w:t>
                            </w:r>
                            <w:r>
                              <w:rPr>
                                <w:rFonts w:ascii="Arial Narrow;sans-serif" w:hAnsi="Arial Narrow;sans-serif"/>
                                <w:b w:val="false"/>
                                <w:color w:val="000000"/>
                                <w:sz w:val="20"/>
                              </w:rPr>
                              <w:t>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190500" cy="180975"/>
                                    </a:xfrm>
                                    <a:prstGeom prst="rect">
                                      <a:avLst/>
                                    </a:prstGeom>
                                  </pic:spPr>
                                </pic:pic>
                              </a:graphicData>
                            </a:graphic>
                          </wp:inline>
                        </w:drawing>
                      </w:r>
                      <w:bookmarkStart w:id="18" w:name="i-11"/>
                      <w:bookmarkEnd w:id="18"/>
                      <w:r>
                        <w:rPr>
                          <w:color w:val="000000"/>
                        </w:rPr>
                        <w:t xml:space="preserve"> </w:t>
                      </w:r>
                      <w:r>
                        <w:rPr>
                          <w:rFonts w:ascii="Arial Narrow;sans-serif" w:hAnsi="Arial Narrow;sans-serif"/>
                          <w:b w:val="false"/>
                          <w:color w:val="000000"/>
                          <w:sz w:val="20"/>
                        </w:rPr>
                        <w:t>Form 10-Q | 7</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PORTILLO'S INC.</w: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CONDENSED CONSOLIDATED STATEMENTS OF CASH FLOWS</w: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lineRule="auto" w:line="288" w:before="0" w:after="0"/>
        <w:jc w:val="left"/>
        <w:rPr>
          <w:rFonts w:ascii="Arial Narrow;sans-serif" w:hAnsi="Arial Narrow;sans-serif"/>
          <w:b w:val="false"/>
          <w:i/>
          <w:color w:val="000000"/>
          <w:sz w:val="18"/>
        </w:rPr>
      </w:pPr>
      <w:r>
        <w:rPr>
          <w:rFonts w:ascii="Arial Narrow;sans-serif" w:hAnsi="Arial Narrow;sans-serif"/>
          <w:b w:val="false"/>
          <w:i/>
          <w:color w:val="000000"/>
          <w:sz w:val="18"/>
        </w:rPr>
        <w:t>(In thousands)</w:t>
      </w:r>
    </w:p>
    <w:p>
      <w:pPr>
        <w:pStyle w:val="TextBody"/>
        <w:bidi w:val="0"/>
        <w:spacing w:before="0" w:after="0"/>
        <w:jc w:val="left"/>
        <w:rPr/>
      </w:pPr>
      <w:r>
        <w:rPr/>
      </w:r>
    </w:p>
    <w:tbl>
      <w:tblPr>
        <w:tblW w:w="6574" w:type="dxa"/>
        <w:jc w:val="left"/>
        <w:tblInd w:w="0" w:type="dxa"/>
        <w:tblLayout w:type="fixed"/>
        <w:tblCellMar>
          <w:top w:w="28" w:type="dxa"/>
          <w:left w:w="28" w:type="dxa"/>
          <w:bottom w:w="28" w:type="dxa"/>
          <w:right w:w="28" w:type="dxa"/>
        </w:tblCellMar>
      </w:tblPr>
      <w:tblGrid>
        <w:gridCol w:w="1428"/>
        <w:gridCol w:w="1255"/>
        <w:gridCol w:w="1261"/>
        <w:gridCol w:w="214"/>
        <w:gridCol w:w="677"/>
        <w:gridCol w:w="129"/>
        <w:gridCol w:w="109"/>
        <w:gridCol w:w="109"/>
        <w:gridCol w:w="109"/>
        <w:gridCol w:w="214"/>
        <w:gridCol w:w="677"/>
        <w:gridCol w:w="12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SUPPLEMENTAL CASH FLOW INFORMATION</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paid</w:t>
            </w:r>
          </w:p>
        </w:tc>
        <w:tc>
          <w:tcPr>
            <w:tcW w:w="21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11,800 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paid</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NON-CASH INVESTING AND FINANCING ACTIVITIES: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capital expenditures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19,264 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38,485 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2755"/>
                <wp:effectExtent l="0" t="0" r="0" b="0"/>
                <wp:wrapNone/>
                <wp:docPr id="28" name="Frame10"/>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20"/>
                                          <a:stretch>
                                            <a:fillRect/>
                                          </a:stretch>
                                        </pic:blipFill>
                                        <pic:spPr bwMode="auto">
                                          <a:xfrm>
                                            <a:off x="0" y="0"/>
                                            <a:ext cx="190500" cy="180975"/>
                                          </a:xfrm>
                                          <a:prstGeom prst="rect">
                                            <a:avLst/>
                                          </a:prstGeom>
                                        </pic:spPr>
                                      </pic:pic>
                                    </a:graphicData>
                                  </a:graphic>
                                </wp:inline>
                              </w:drawing>
                            </w:r>
                            <w:bookmarkStart w:id="19" w:name="i-12"/>
                            <w:bookmarkEnd w:id="19"/>
                            <w:r>
                              <w:rPr>
                                <w:color w:val="000000"/>
                              </w:rPr>
                              <w:t xml:space="preserve"> </w:t>
                            </w:r>
                            <w:r>
                              <w:rPr>
                                <w:rFonts w:ascii="Arial Narrow;sans-serif" w:hAnsi="Arial Narrow;sans-serif"/>
                                <w:b w:val="false"/>
                                <w:color w:val="000000"/>
                                <w:sz w:val="20"/>
                              </w:rPr>
                              <w:t>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190500" cy="180975"/>
                                    </a:xfrm>
                                    <a:prstGeom prst="rect">
                                      <a:avLst/>
                                    </a:prstGeom>
                                  </pic:spPr>
                                </pic:pic>
                              </a:graphicData>
                            </a:graphic>
                          </wp:inline>
                        </w:drawing>
                      </w:r>
                      <w:bookmarkStart w:id="20" w:name="i-12"/>
                      <w:bookmarkEnd w:id="20"/>
                      <w:r>
                        <w:rPr>
                          <w:color w:val="000000"/>
                        </w:rPr>
                        <w:t xml:space="preserve"> </w:t>
                      </w:r>
                      <w:r>
                        <w:rPr>
                          <w:rFonts w:ascii="Arial Narrow;sans-serif" w:hAnsi="Arial Narrow;sans-serif"/>
                          <w:b w:val="false"/>
                          <w:color w:val="000000"/>
                          <w:sz w:val="20"/>
                        </w:rPr>
                        <w:t>Form 10-Q | 8</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 xml:space="preserve">NOTE 1.    DESCRIPTION OF BUSINESS </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 xml:space="preserve">Portillo’s Inc. ("Inc.") was incorporated as a Delaware corporation on June 8, 2021, for the purpose of completing an initial public offering ("IPO") and related reorganization transactions in order to carry on the business of PHD Group Holdings LLC and its subsidiaries ("Portillo's OpCo"). </w:t>
      </w:r>
      <w:r>
        <w:rPr>
          <w:rFonts w:ascii="Arial Narrow;sans-serif" w:hAnsi="Arial Narrow;sans-serif"/>
          <w:b w:val="false"/>
          <w:color w:val="000000"/>
          <w:sz w:val="20"/>
          <w:shd w:fill="FFFFFF" w:val="clear"/>
        </w:rPr>
        <w:t>Portillo's Inc. is the sole managing member of Portillo’s OpCo, and a</w:t>
      </w:r>
      <w:r>
        <w:rPr>
          <w:rFonts w:ascii="Arial Narrow;sans-serif" w:hAnsi="Arial Narrow;sans-serif"/>
          <w:b w:val="false"/>
          <w:color w:val="000000"/>
          <w:sz w:val="20"/>
        </w:rPr>
        <w:t>s sole managing member, Inc. operates and controls all of the business and affairs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operates restaurants in 11 states that serve Chicago-style hot dogs and sausages, Italian beef sandwiches, char-grilled burgers, chopped salads, crinkle-cut fries, homemade chocolate cake and more, along with two food production commissaries in Illinois. As of June 28, 2026, the Company had 108 restaurants in operation. The Company also had one non-traditional location in operation, a food truck.</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holds a 65% ownership interest in AP Dogs, LLC ("AP Dogs"), which operates a restaurant at Dallas-Fort Worth International Airport ("DFW Airport"). The Company has day-to-day operational and managerial control over the business and affairs of AP Dogs, and accordingly, consolidates the joint venture and reports a noncontrolling interest representing the economic interest held by the other partner.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addition, the Company has a 50% interest in C&amp;O Chicago, L.L.C. ("C&amp;O"), which operates a single restaurant. This restaurant is excluded from the restaurant count above.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Company’s principal executive offices are located in Oak Brook, Illinois.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 xml:space="preserve">NOTE 2.    SUMMARY OF SIGNIFICANT ACCOUNTING POLICIES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 xml:space="preserve">Basis of Presentation </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The Company has prepared the accompanying unaudited condensed consolidated financial statements in accordance with accounting principles generally accepted in the United States of America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w:t>
      </w:r>
      <w:r>
        <w:rPr>
          <w:rFonts w:ascii="Arial Narrow;sans-serif" w:hAnsi="Arial Narrow;sans-serif"/>
          <w:b w:val="false"/>
          <w:color w:val="000000"/>
          <w:sz w:val="20"/>
          <w:shd w:fill="FFFFFF" w:val="clear"/>
        </w:rPr>
        <w:t xml:space="preserve">inancial statements and notes included in our Annual Report on Form 10-K for the fiscal year ended </w:t>
      </w:r>
      <w:r>
        <w:rPr>
          <w:rFonts w:ascii="Arial Narrow;sans-serif" w:hAnsi="Arial Narrow;sans-serif"/>
          <w:b w:val="false"/>
          <w:color w:val="000000"/>
          <w:sz w:val="20"/>
        </w:rPr>
        <w:t>December 28, 2025</w:t>
      </w:r>
      <w:r>
        <w:rPr>
          <w:rFonts w:ascii="Arial Narrow;sans-serif" w:hAnsi="Arial Narrow;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All intercompany balances and transactions have been eliminated in consolidation.</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does not have any components of other comprehensive income recorded within its condensed consolidated financial statements, and therefore, does not separately present a statement of comprehensive income.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 xml:space="preserve">Fiscal Year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uses a 52- or 53-week fiscal year ending on the Sunday prior to or on December 31. In a 52-week fiscal year, each quarterly period is comprised of 13 weeks. An additional week in a 53-week fiscal year is added to the fourth quarter. Fiscal 2026 and 2025 consist of 52 weeks. The fiscal periods presented in this report are the quarters and two quarters ended June 28, 2026 and June 29, 2025.</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Use of Estimates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2755"/>
                <wp:effectExtent l="0" t="0" r="0" b="0"/>
                <wp:wrapNone/>
                <wp:docPr id="31" name="Frame11"/>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22"/>
                                          <a:stretch>
                                            <a:fillRect/>
                                          </a:stretch>
                                        </pic:blipFill>
                                        <pic:spPr bwMode="auto">
                                          <a:xfrm>
                                            <a:off x="0" y="0"/>
                                            <a:ext cx="190500" cy="180975"/>
                                          </a:xfrm>
                                          <a:prstGeom prst="rect">
                                            <a:avLst/>
                                          </a:prstGeom>
                                        </pic:spPr>
                                      </pic:pic>
                                    </a:graphicData>
                                  </a:graphic>
                                </wp:inline>
                              </w:drawing>
                            </w:r>
                            <w:bookmarkStart w:id="21" w:name="i-13"/>
                            <w:bookmarkEnd w:id="21"/>
                            <w:r>
                              <w:rPr>
                                <w:color w:val="000000"/>
                              </w:rPr>
                              <w:t xml:space="preserve"> </w:t>
                            </w:r>
                            <w:r>
                              <w:rPr>
                                <w:rFonts w:ascii="Arial Narrow;sans-serif" w:hAnsi="Arial Narrow;sans-serif"/>
                                <w:b w:val="false"/>
                                <w:color w:val="000000"/>
                                <w:sz w:val="20"/>
                              </w:rPr>
                              <w:t>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190500" cy="180975"/>
                                    </a:xfrm>
                                    <a:prstGeom prst="rect">
                                      <a:avLst/>
                                    </a:prstGeom>
                                  </pic:spPr>
                                </pic:pic>
                              </a:graphicData>
                            </a:graphic>
                          </wp:inline>
                        </w:drawing>
                      </w:r>
                      <w:bookmarkStart w:id="22" w:name="i-13"/>
                      <w:bookmarkEnd w:id="22"/>
                      <w:r>
                        <w:rPr>
                          <w:color w:val="000000"/>
                        </w:rPr>
                        <w:t xml:space="preserve"> </w:t>
                      </w:r>
                      <w:r>
                        <w:rPr>
                          <w:rFonts w:ascii="Arial Narrow;sans-serif" w:hAnsi="Arial Narrow;sans-serif"/>
                          <w:b w:val="false"/>
                          <w:color w:val="000000"/>
                          <w:sz w:val="20"/>
                        </w:rPr>
                        <w:t>Form 10-Q | 9</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Recently Issued Accounting Standards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2024, the Financial Accounting Standards Board ("FASB") issued Accounting Standard Update ("ASU") 2024-03, Income Statement - Reporting Comprehensive Income - Expense Disaggregation Disclosures (Subtopic 220-40): Disaggregation of Income Statement Expenses, which requires disaggregation of certain expense captions into specified categories in disclosures within the footnotes to the financial statements. In January 2025, the FASB issued ASU 2025-01 "Income Statement-Reporting Comprehensive Income-Expense Disaggregation Disclosures-Clarifying the Effective Date", which amends the effective date of ASU 2024-03 to clarify that all public business entities are required to adopt the guidance in annual reporting periods beginning after December 15, 2026, and interim periods within annual reporting periods beginning after December 15, 2027. Early adoption is permitted. The Company is currently evaluating the effect of adopting this ASU.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September 2025, the FASB issued ASU 2025-06, Intangibles - Goodwill and Other - Internal-Use Software (Subtopic 350-40): Targeted Improvements to the Accounting for Internal-Use Software, which updates the cost capitalization threshold for internal-use software development costs by removing all references to software project development stages and providing new guidance on how to evaluate whether the probable-to-complete recognition threshold has been met. ASU 2025-06 is effective for fiscal years beginning after December 15, 2027, with early adoption permitted. The Company is currently evaluating the effect of adopting this ASU.</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December 2025, the FASB issued ASU 2025-11, Interim Reporting (Topic 270), which clarifies existing interim reporting guidance under U.S. GAAP. The ASU clarifies the scope and application of interim reporting requirements, the form and content of interim financial statements and disclosures, and consolidates required interim disclosures within Topic 270. The ASU also introduces a principle requiring disclosure of material events occurring after the annual reporting period but before the issuance of interim financial statements. The amendments do not change underlying interim reporting requirements but improve clarity and consistency. ASU 2025-11 is effective for fiscal years beginning after December 15, 2028, with early adoption permitted. The Company is currently evaluating the effect of adopting this ASU.</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December 2025, the FASB issued ASU 2025-12, Codification Improvements, which makes technical corrections and clarifications for a broad range of topics within the FASB Accounting Standards Codification to improve clarity and consistency in the application of existing guidance. The improvements are not expected to have a significant effect on current accounting practice or result in significant costs to most entities. ASU 2025-12 is effective for fiscal years beginning after December 15, 2026, with early adoption permitted. The Company is currently evaluating the effect of adopting this ASU.</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D22630"/>
          <w:sz w:val="22"/>
        </w:rPr>
        <w:t>Recently Adopted Accounting Standards</w:t>
      </w:r>
      <w:r>
        <w:rPr>
          <w:color w:val="D2263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December 2023, the FASB issued ASU 2023-09, Income Taxes (Topic 740) Improvements to Income Tax Disclosures, which requires public entities to disclose specific categories in the rate reconciliation and provide additional information for reconciling items that meet a quantitative threshold on an annual basis. ASU 2023-09 is effective for fiscal years beginning after December 15, 2024, with early adoption permitted. The Company adopted this standard during the fiscal year ended December 28, 2025.</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reviewed all other recently issued accounting pronouncements and concluded that they were either not applicable or not expected to have a significant impact to its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2755"/>
                <wp:effectExtent l="0" t="0" r="0" b="0"/>
                <wp:wrapNone/>
                <wp:docPr id="34" name="Frame12"/>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24"/>
                                          <a:stretch>
                                            <a:fillRect/>
                                          </a:stretch>
                                        </pic:blipFill>
                                        <pic:spPr bwMode="auto">
                                          <a:xfrm>
                                            <a:off x="0" y="0"/>
                                            <a:ext cx="190500" cy="180975"/>
                                          </a:xfrm>
                                          <a:prstGeom prst="rect">
                                            <a:avLst/>
                                          </a:prstGeom>
                                        </pic:spPr>
                                      </pic:pic>
                                    </a:graphicData>
                                  </a:graphic>
                                </wp:inline>
                              </w:drawing>
                            </w:r>
                            <w:bookmarkStart w:id="23" w:name="i-14"/>
                            <w:bookmarkEnd w:id="23"/>
                            <w:r>
                              <w:rPr>
                                <w:color w:val="000000"/>
                              </w:rPr>
                              <w:t xml:space="preserve"> </w:t>
                            </w:r>
                            <w:r>
                              <w:rPr>
                                <w:rFonts w:ascii="Arial Narrow;sans-serif" w:hAnsi="Arial Narrow;sans-serif"/>
                                <w:b w:val="false"/>
                                <w:color w:val="000000"/>
                                <w:sz w:val="20"/>
                              </w:rPr>
                              <w:t>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190500" cy="180975"/>
                                    </a:xfrm>
                                    <a:prstGeom prst="rect">
                                      <a:avLst/>
                                    </a:prstGeom>
                                  </pic:spPr>
                                </pic:pic>
                              </a:graphicData>
                            </a:graphic>
                          </wp:inline>
                        </w:drawing>
                      </w:r>
                      <w:bookmarkStart w:id="24" w:name="i-14"/>
                      <w:bookmarkEnd w:id="24"/>
                      <w:r>
                        <w:rPr>
                          <w:color w:val="000000"/>
                        </w:rPr>
                        <w:t xml:space="preserve"> </w:t>
                      </w:r>
                      <w:r>
                        <w:rPr>
                          <w:rFonts w:ascii="Arial Narrow;sans-serif" w:hAnsi="Arial Narrow;sans-serif"/>
                          <w:b w:val="false"/>
                          <w:color w:val="000000"/>
                          <w:sz w:val="20"/>
                        </w:rPr>
                        <w:t>Form 10-Q | 10</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3.    REVENUE RECOGNITION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 The Company also offers delivery services to customers which are generally classified as either Dispatch Sales or Marketplace Sales. </w:t>
      </w:r>
    </w:p>
    <w:p>
      <w:pPr>
        <w:pStyle w:val="TextBody"/>
        <w:bidi w:val="0"/>
        <w:spacing w:before="0" w:after="0"/>
        <w:jc w:val="left"/>
        <w:rPr/>
      </w:pPr>
      <w:r>
        <w:rPr/>
      </w:r>
    </w:p>
    <w:p>
      <w:pPr>
        <w:pStyle w:val="TextBody"/>
        <w:bidi w:val="0"/>
        <w:spacing w:lineRule="auto" w:line="268" w:before="0" w:after="0"/>
        <w:jc w:val="left"/>
        <w:rPr/>
      </w:pPr>
      <w:r>
        <w:rPr>
          <w:rFonts w:ascii="Arial Narrow;sans-serif" w:hAnsi="Arial Narrow;sans-serif"/>
          <w:b w:val="false"/>
          <w:color w:val="000000"/>
          <w:sz w:val="20"/>
        </w:rPr>
        <w:t xml:space="preserve">The Company sells gift cards which do not have expiration dates. </w:t>
      </w:r>
      <w:r>
        <w:rPr>
          <w:rFonts w:ascii="Arial Narrow;sans-serif" w:hAnsi="Arial Narrow;sans-serif"/>
          <w:b w:val="false"/>
          <w:color w:val="000000"/>
          <w:sz w:val="20"/>
          <w:shd w:fill="FFFFFF" w:val="clear"/>
        </w:rPr>
        <w:t xml:space="preserve">The Company recognized gift card breakage of $0.3 million and $0.6 million for the quarter and </w:t>
      </w:r>
      <w:r>
        <w:rPr>
          <w:rFonts w:ascii="Arial Narrow;sans-serif" w:hAnsi="Arial Narrow;sans-serif"/>
          <w:b w:val="false"/>
          <w:color w:val="000000"/>
          <w:sz w:val="20"/>
        </w:rPr>
        <w:t>two quarters ended</w:t>
      </w:r>
      <w:r>
        <w:rPr>
          <w:color w:val="000000"/>
          <w:shd w:fill="FFFFFF" w:val="clear"/>
        </w:rPr>
        <w:t xml:space="preserve"> </w:t>
      </w:r>
      <w:r>
        <w:rPr>
          <w:rFonts w:ascii="Arial Narrow;sans-serif" w:hAnsi="Arial Narrow;sans-serif"/>
          <w:b w:val="false"/>
          <w:color w:val="000000"/>
          <w:sz w:val="20"/>
        </w:rPr>
        <w:t>June 28, 2026</w:t>
      </w:r>
      <w:r>
        <w:rPr>
          <w:rFonts w:ascii="Arial Narrow;sans-serif" w:hAnsi="Arial Narrow;sans-serif"/>
          <w:b w:val="false"/>
          <w:color w:val="000000"/>
          <w:sz w:val="20"/>
          <w:shd w:fill="FFFFFF" w:val="clear"/>
        </w:rPr>
        <w:t xml:space="preserve">, respectively, and $0.2 million and $0.5 million for the quarter and </w:t>
      </w:r>
      <w:r>
        <w:rPr>
          <w:rFonts w:ascii="Arial Narrow;sans-serif" w:hAnsi="Arial Narrow;sans-serif"/>
          <w:b w:val="false"/>
          <w:color w:val="000000"/>
          <w:sz w:val="20"/>
        </w:rPr>
        <w:t>two quarters ended</w:t>
      </w:r>
      <w:r>
        <w:rPr>
          <w:color w:val="000000"/>
          <w:shd w:fill="FFFFFF" w:val="clear"/>
        </w:rPr>
        <w:t xml:space="preserve"> </w:t>
      </w:r>
      <w:r>
        <w:rPr>
          <w:rFonts w:ascii="Arial Narrow;sans-serif" w:hAnsi="Arial Narrow;sans-serif"/>
          <w:b w:val="false"/>
          <w:color w:val="000000"/>
          <w:sz w:val="20"/>
        </w:rPr>
        <w:t>June 29, 2025</w:t>
      </w:r>
      <w:r>
        <w:rPr>
          <w:rFonts w:ascii="Arial Narrow;sans-serif" w:hAnsi="Arial Narrow;sans-serif"/>
          <w:b w:val="false"/>
          <w:color w:val="000000"/>
          <w:sz w:val="20"/>
          <w:shd w:fill="FFFFFF" w:val="clear"/>
        </w:rPr>
        <w:t>, respectively.</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gift card liability included in deferred revenue on the condensed consolidated balance sheets is as follows (in thousands):</w:t>
      </w:r>
    </w:p>
    <w:p>
      <w:pPr>
        <w:pStyle w:val="TextBody"/>
        <w:bidi w:val="0"/>
        <w:spacing w:before="0" w:after="0"/>
        <w:jc w:val="left"/>
        <w:rPr/>
      </w:pPr>
      <w:r>
        <w:rPr/>
      </w:r>
    </w:p>
    <w:tbl>
      <w:tblPr>
        <w:tblW w:w="4128" w:type="dxa"/>
        <w:jc w:val="center"/>
        <w:tblInd w:w="0" w:type="dxa"/>
        <w:tblLayout w:type="fixed"/>
        <w:tblCellMar>
          <w:top w:w="28" w:type="dxa"/>
          <w:left w:w="28" w:type="dxa"/>
          <w:bottom w:w="28" w:type="dxa"/>
          <w:right w:w="28" w:type="dxa"/>
        </w:tblCellMar>
      </w:tblPr>
      <w:tblGrid>
        <w:gridCol w:w="413"/>
        <w:gridCol w:w="362"/>
        <w:gridCol w:w="364"/>
        <w:gridCol w:w="235"/>
        <w:gridCol w:w="644"/>
        <w:gridCol w:w="141"/>
        <w:gridCol w:w="109"/>
        <w:gridCol w:w="109"/>
        <w:gridCol w:w="109"/>
        <w:gridCol w:w="317"/>
        <w:gridCol w:w="870"/>
        <w:gridCol w:w="192"/>
        <w:gridCol w:w="109"/>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Gift card liability</w:t>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4,484 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6,965 </w:t>
            </w:r>
          </w:p>
        </w:tc>
        <w:tc>
          <w:tcPr>
            <w:tcW w:w="1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 recognized in the condensed consolidated statement of operations for the redemption of gift cards that were included in their respective gift card liability balances at the beginning of the year is as follows (in thousands):</w:t>
      </w:r>
    </w:p>
    <w:tbl>
      <w:tblPr>
        <w:tblW w:w="10131" w:type="dxa"/>
        <w:jc w:val="center"/>
        <w:tblInd w:w="0" w:type="dxa"/>
        <w:tblLayout w:type="fixed"/>
        <w:tblCellMar>
          <w:top w:w="28" w:type="dxa"/>
          <w:left w:w="28" w:type="dxa"/>
          <w:bottom w:w="28" w:type="dxa"/>
          <w:right w:w="28" w:type="dxa"/>
        </w:tblCellMar>
      </w:tblPr>
      <w:tblGrid>
        <w:gridCol w:w="1818"/>
        <w:gridCol w:w="1597"/>
        <w:gridCol w:w="1610"/>
        <w:gridCol w:w="277"/>
        <w:gridCol w:w="576"/>
        <w:gridCol w:w="167"/>
        <w:gridCol w:w="109"/>
        <w:gridCol w:w="109"/>
        <w:gridCol w:w="109"/>
        <w:gridCol w:w="277"/>
        <w:gridCol w:w="576"/>
        <w:gridCol w:w="167"/>
        <w:gridCol w:w="109"/>
        <w:gridCol w:w="109"/>
        <w:gridCol w:w="109"/>
        <w:gridCol w:w="235"/>
        <w:gridCol w:w="644"/>
        <w:gridCol w:w="141"/>
        <w:gridCol w:w="109"/>
        <w:gridCol w:w="109"/>
        <w:gridCol w:w="109"/>
        <w:gridCol w:w="232"/>
        <w:gridCol w:w="636"/>
        <w:gridCol w:w="197"/>
      </w:tblGrid>
      <w:tr>
        <w:trPr/>
        <w:tc>
          <w:tcPr>
            <w:tcW w:w="181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50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 recognized from gift card liability balance at the beginning of the year</w:t>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948 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961 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2,970 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2,982 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 xml:space="preserve">Portillo's Perks™ ("Perks") is a visit-based loyalty program under which guests earn rewards based on qualified visits. The liability associated with Perks was </w:t>
      </w:r>
      <w:r>
        <w:rPr>
          <w:rFonts w:ascii="Arial Narrow;sans-serif" w:hAnsi="Arial Narrow;sans-serif"/>
          <w:b w:val="false"/>
          <w:color w:val="000000"/>
          <w:sz w:val="20"/>
          <w:shd w:fill="FFFFFF" w:val="clear"/>
        </w:rPr>
        <w:t xml:space="preserve">$0.2 million as </w:t>
      </w:r>
      <w:r>
        <w:rPr>
          <w:rFonts w:ascii="Arial Narrow;sans-serif" w:hAnsi="Arial Narrow;sans-serif"/>
          <w:b w:val="false"/>
          <w:color w:val="000000"/>
          <w:sz w:val="20"/>
        </w:rPr>
        <w:t>of both June 28, 2026 and December 28, 2025 and is included in deferred revenue on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4.    INVENTORIES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Inventories consisted of the following (in thousands):</w:t>
      </w:r>
    </w:p>
    <w:tbl>
      <w:tblPr>
        <w:tblW w:w="4494" w:type="dxa"/>
        <w:jc w:val="left"/>
        <w:tblInd w:w="0" w:type="dxa"/>
        <w:tblLayout w:type="fixed"/>
        <w:tblCellMar>
          <w:top w:w="28" w:type="dxa"/>
          <w:left w:w="28" w:type="dxa"/>
          <w:bottom w:w="28" w:type="dxa"/>
          <w:right w:w="28" w:type="dxa"/>
        </w:tblCellMar>
      </w:tblPr>
      <w:tblGrid>
        <w:gridCol w:w="505"/>
        <w:gridCol w:w="444"/>
        <w:gridCol w:w="446"/>
        <w:gridCol w:w="109"/>
        <w:gridCol w:w="109"/>
        <w:gridCol w:w="109"/>
        <w:gridCol w:w="214"/>
        <w:gridCol w:w="677"/>
        <w:gridCol w:w="129"/>
        <w:gridCol w:w="109"/>
        <w:gridCol w:w="109"/>
        <w:gridCol w:w="109"/>
        <w:gridCol w:w="310"/>
        <w:gridCol w:w="849"/>
        <w:gridCol w:w="26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r>
      <w:tr>
        <w:trPr/>
        <w:tc>
          <w:tcPr>
            <w:tcW w:w="13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Raw materials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8,244 </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5,408 </w:t>
            </w:r>
          </w:p>
        </w:tc>
        <w:tc>
          <w:tcPr>
            <w:tcW w:w="2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Finished goods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1,827 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Consigned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11,133 </w:t>
            </w:r>
          </w:p>
        </w:tc>
        <w:tc>
          <w:tcPr>
            <w:tcW w:w="12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8,207 </w:t>
            </w:r>
          </w:p>
        </w:tc>
        <w:tc>
          <w:tcPr>
            <w:tcW w:w="2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2755"/>
                <wp:effectExtent l="0" t="0" r="0" b="0"/>
                <wp:wrapNone/>
                <wp:docPr id="37" name="Frame13"/>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3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 descr=""/>
                                          <pic:cNvPicPr>
                                            <a:picLocks noChangeAspect="1" noChangeArrowheads="1"/>
                                          </pic:cNvPicPr>
                                        </pic:nvPicPr>
                                        <pic:blipFill>
                                          <a:blip r:embed="rId26"/>
                                          <a:stretch>
                                            <a:fillRect/>
                                          </a:stretch>
                                        </pic:blipFill>
                                        <pic:spPr bwMode="auto">
                                          <a:xfrm>
                                            <a:off x="0" y="0"/>
                                            <a:ext cx="190500" cy="180975"/>
                                          </a:xfrm>
                                          <a:prstGeom prst="rect">
                                            <a:avLst/>
                                          </a:prstGeom>
                                        </pic:spPr>
                                      </pic:pic>
                                    </a:graphicData>
                                  </a:graphic>
                                </wp:inline>
                              </w:drawing>
                            </w:r>
                            <w:bookmarkStart w:id="25" w:name="i-15"/>
                            <w:bookmarkEnd w:id="25"/>
                            <w:r>
                              <w:rPr>
                                <w:color w:val="000000"/>
                              </w:rPr>
                              <w:t xml:space="preserve"> </w:t>
                            </w:r>
                            <w:r>
                              <w:rPr>
                                <w:rFonts w:ascii="Arial Narrow;sans-serif" w:hAnsi="Arial Narrow;sans-serif"/>
                                <w:b w:val="false"/>
                                <w:color w:val="000000"/>
                                <w:sz w:val="20"/>
                              </w:rPr>
                              <w:t>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190500" cy="180975"/>
                                    </a:xfrm>
                                    <a:prstGeom prst="rect">
                                      <a:avLst/>
                                    </a:prstGeom>
                                  </pic:spPr>
                                </pic:pic>
                              </a:graphicData>
                            </a:graphic>
                          </wp:inline>
                        </w:drawing>
                      </w:r>
                      <w:bookmarkStart w:id="26" w:name="i-15"/>
                      <w:bookmarkEnd w:id="26"/>
                      <w:r>
                        <w:rPr>
                          <w:color w:val="000000"/>
                        </w:rPr>
                        <w:t xml:space="preserve"> </w:t>
                      </w:r>
                      <w:r>
                        <w:rPr>
                          <w:rFonts w:ascii="Arial Narrow;sans-serif" w:hAnsi="Arial Narrow;sans-serif"/>
                          <w:b w:val="false"/>
                          <w:color w:val="000000"/>
                          <w:sz w:val="20"/>
                        </w:rPr>
                        <w:t>Form 10-Q | 11</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 xml:space="preserve">NOTE 5.    PROPERTY &amp; EQUIPMENT, NET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 consisted of the following (in thousands):</w:t>
      </w:r>
    </w:p>
    <w:tbl>
      <w:tblPr>
        <w:tblW w:w="5006" w:type="dxa"/>
        <w:jc w:val="left"/>
        <w:tblInd w:w="0" w:type="dxa"/>
        <w:tblLayout w:type="fixed"/>
        <w:tblCellMar>
          <w:top w:w="28" w:type="dxa"/>
          <w:left w:w="28" w:type="dxa"/>
          <w:bottom w:w="28" w:type="dxa"/>
          <w:right w:w="28" w:type="dxa"/>
        </w:tblCellMar>
      </w:tblPr>
      <w:tblGrid>
        <w:gridCol w:w="809"/>
        <w:gridCol w:w="711"/>
        <w:gridCol w:w="715"/>
        <w:gridCol w:w="197"/>
        <w:gridCol w:w="704"/>
        <w:gridCol w:w="118"/>
        <w:gridCol w:w="109"/>
        <w:gridCol w:w="109"/>
        <w:gridCol w:w="109"/>
        <w:gridCol w:w="263"/>
        <w:gridCol w:w="939"/>
        <w:gridCol w:w="223"/>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r>
      <w:tr>
        <w:trPr/>
        <w:tc>
          <w:tcPr>
            <w:tcW w:w="223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Land and land improvements</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28,173 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26,944 </w:t>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Buildings and improvements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5,790 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Furniture, fixtures, and equipment</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209,145 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195,341 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Leasehold improvements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366,745 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327,138 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Transportation equipment</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Construction-in-progress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615,518 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591,553 </w:t>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Less accumulated depreciation </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(185,271)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(171,290)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430,247 </w:t>
            </w:r>
          </w:p>
        </w:tc>
        <w:tc>
          <w:tcPr>
            <w:tcW w:w="1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420,263 </w:t>
            </w:r>
          </w:p>
        </w:tc>
        <w:tc>
          <w:tcPr>
            <w:tcW w:w="2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Depreciation expense was $7.6 million and $14.8 million for the quarter and two quarters ended June 28, 2026, respectively, and $6.4 million and $12.8 million for the quarter and two quarters ended June 29, 2025</w:t>
      </w:r>
      <w:r>
        <w:rPr>
          <w:rFonts w:ascii="Arial Narrow;sans-serif" w:hAnsi="Arial Narrow;sans-serif"/>
          <w:b w:val="false"/>
          <w:color w:val="000000"/>
          <w:sz w:val="20"/>
          <w:shd w:fill="FFFFFF" w:val="clear"/>
        </w:rPr>
        <w:t xml:space="preserve">, respectively, </w:t>
      </w:r>
      <w:r>
        <w:rPr>
          <w:rFonts w:ascii="Arial Narrow;sans-serif" w:hAnsi="Arial Narrow;sans-serif"/>
          <w:b w:val="false"/>
          <w:color w:val="000000"/>
          <w:sz w:val="20"/>
        </w:rPr>
        <w:t>and is included in depreciation and amortization in the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6.    GOODWILL &amp; INTANGIBLE ASSETS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has one reporting unit for goodwill which is evaluated for impairment annually in the fourth quarter of each fiscal year, along with indefinite-lived intangibles, or more frequently when impairment indicators are present. There were no impairment indicators during the quarter and two quarters ended June 28, 2026.</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Intangible assets, net consisted of the following (in thousands):</w:t>
      </w:r>
    </w:p>
    <w:tbl>
      <w:tblPr>
        <w:tblW w:w="8446" w:type="dxa"/>
        <w:jc w:val="left"/>
        <w:tblInd w:w="0" w:type="dxa"/>
        <w:tblLayout w:type="fixed"/>
        <w:tblCellMar>
          <w:top w:w="28" w:type="dxa"/>
          <w:left w:w="28" w:type="dxa"/>
          <w:bottom w:w="28" w:type="dxa"/>
          <w:right w:w="28" w:type="dxa"/>
        </w:tblCellMar>
      </w:tblPr>
      <w:tblGrid>
        <w:gridCol w:w="810"/>
        <w:gridCol w:w="711"/>
        <w:gridCol w:w="713"/>
        <w:gridCol w:w="342"/>
        <w:gridCol w:w="1222"/>
        <w:gridCol w:w="206"/>
        <w:gridCol w:w="109"/>
        <w:gridCol w:w="109"/>
        <w:gridCol w:w="109"/>
        <w:gridCol w:w="409"/>
        <w:gridCol w:w="1293"/>
        <w:gridCol w:w="248"/>
        <w:gridCol w:w="109"/>
        <w:gridCol w:w="109"/>
        <w:gridCol w:w="109"/>
        <w:gridCol w:w="109"/>
        <w:gridCol w:w="109"/>
        <w:gridCol w:w="299"/>
        <w:gridCol w:w="1067"/>
        <w:gridCol w:w="2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As of June 28, 2026</w:t>
            </w:r>
          </w:p>
        </w:tc>
        <w:tc>
          <w:tcPr>
            <w:tcW w:w="1729" w:type="dxa"/>
            <w:gridSpan w:val="4"/>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Net Carrying Amount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Indefinite-lived intangible assets:</w:t>
            </w:r>
          </w:p>
        </w:tc>
        <w:tc>
          <w:tcPr>
            <w:tcW w:w="17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names</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Intangible subject to amortization:</w:t>
            </w:r>
          </w:p>
        </w:tc>
        <w:tc>
          <w:tcPr>
            <w:tcW w:w="17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Recipes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56,117 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(34,080)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22,037 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277,842 </w:t>
            </w:r>
          </w:p>
        </w:tc>
        <w:tc>
          <w:tcPr>
            <w:tcW w:w="2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(34,080)</w:t>
            </w:r>
          </w:p>
        </w:tc>
        <w:tc>
          <w:tcPr>
            <w:tcW w:w="24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243,762 </w:t>
            </w:r>
          </w:p>
        </w:tc>
        <w:tc>
          <w:tcPr>
            <w:tcW w:w="2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46" w:type="dxa"/>
        <w:jc w:val="left"/>
        <w:tblInd w:w="0" w:type="dxa"/>
        <w:tblLayout w:type="fixed"/>
        <w:tblCellMar>
          <w:top w:w="28" w:type="dxa"/>
          <w:left w:w="28" w:type="dxa"/>
          <w:bottom w:w="28" w:type="dxa"/>
          <w:right w:w="28" w:type="dxa"/>
        </w:tblCellMar>
      </w:tblPr>
      <w:tblGrid>
        <w:gridCol w:w="810"/>
        <w:gridCol w:w="711"/>
        <w:gridCol w:w="713"/>
        <w:gridCol w:w="342"/>
        <w:gridCol w:w="1222"/>
        <w:gridCol w:w="206"/>
        <w:gridCol w:w="109"/>
        <w:gridCol w:w="109"/>
        <w:gridCol w:w="109"/>
        <w:gridCol w:w="409"/>
        <w:gridCol w:w="1293"/>
        <w:gridCol w:w="248"/>
        <w:gridCol w:w="109"/>
        <w:gridCol w:w="109"/>
        <w:gridCol w:w="109"/>
        <w:gridCol w:w="109"/>
        <w:gridCol w:w="109"/>
        <w:gridCol w:w="299"/>
        <w:gridCol w:w="1067"/>
        <w:gridCol w:w="2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As of December 28, 2025</w:t>
            </w:r>
          </w:p>
        </w:tc>
        <w:tc>
          <w:tcPr>
            <w:tcW w:w="1729" w:type="dxa"/>
            <w:gridSpan w:val="4"/>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Net Carrying Amount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Indefinite-lived intangible assets:</w:t>
            </w:r>
          </w:p>
        </w:tc>
        <w:tc>
          <w:tcPr>
            <w:tcW w:w="17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names</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221,725 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Intangible subject to amortization:</w:t>
            </w:r>
          </w:p>
        </w:tc>
        <w:tc>
          <w:tcPr>
            <w:tcW w:w="177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Recipes</w:t>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56,117 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(32,726)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23,391 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277,842 </w:t>
            </w:r>
          </w:p>
        </w:tc>
        <w:tc>
          <w:tcPr>
            <w:tcW w:w="2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(32,726)</w:t>
            </w:r>
          </w:p>
        </w:tc>
        <w:tc>
          <w:tcPr>
            <w:tcW w:w="24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245,116 </w:t>
            </w:r>
          </w:p>
        </w:tc>
        <w:tc>
          <w:tcPr>
            <w:tcW w:w="2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Amortization expense was $0.7 million for both the quarters ended June 28, 2026 and June 29, 2025 and $1.4 million for both the two quarters ended June 28, 2026 and June 29, 2025</w:t>
      </w:r>
      <w:r>
        <w:rPr>
          <w:rFonts w:ascii="Arial Narrow;sans-serif" w:hAnsi="Arial Narrow;sans-serif"/>
          <w:b w:val="false"/>
          <w:color w:val="000000"/>
          <w:sz w:val="20"/>
          <w:shd w:fill="FFFFFF" w:val="clear"/>
        </w:rPr>
        <w:t xml:space="preserve">, </w:t>
      </w:r>
      <w:r>
        <w:rPr>
          <w:rFonts w:ascii="Arial Narrow;sans-serif" w:hAnsi="Arial Narrow;sans-serif"/>
          <w:b w:val="false"/>
          <w:color w:val="000000"/>
          <w:sz w:val="20"/>
        </w:rPr>
        <w:t>and is included in depreciation and amortization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2755"/>
                <wp:effectExtent l="0" t="0" r="0" b="0"/>
                <wp:wrapNone/>
                <wp:docPr id="40" name="Frame1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4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6" descr=""/>
                                          <pic:cNvPicPr>
                                            <a:picLocks noChangeAspect="1" noChangeArrowheads="1"/>
                                          </pic:cNvPicPr>
                                        </pic:nvPicPr>
                                        <pic:blipFill>
                                          <a:blip r:embed="rId28"/>
                                          <a:stretch>
                                            <a:fillRect/>
                                          </a:stretch>
                                        </pic:blipFill>
                                        <pic:spPr bwMode="auto">
                                          <a:xfrm>
                                            <a:off x="0" y="0"/>
                                            <a:ext cx="190500" cy="180975"/>
                                          </a:xfrm>
                                          <a:prstGeom prst="rect">
                                            <a:avLst/>
                                          </a:prstGeom>
                                        </pic:spPr>
                                      </pic:pic>
                                    </a:graphicData>
                                  </a:graphic>
                                </wp:inline>
                              </w:drawing>
                            </w:r>
                            <w:bookmarkStart w:id="27" w:name="i-16"/>
                            <w:bookmarkEnd w:id="27"/>
                            <w:r>
                              <w:rPr>
                                <w:color w:val="000000"/>
                              </w:rPr>
                              <w:t xml:space="preserve"> </w:t>
                            </w:r>
                            <w:r>
                              <w:rPr>
                                <w:rFonts w:ascii="Arial Narrow;sans-serif" w:hAnsi="Arial Narrow;sans-serif"/>
                                <w:b w:val="false"/>
                                <w:color w:val="000000"/>
                                <w:sz w:val="20"/>
                              </w:rPr>
                              <w:t>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190500" cy="180975"/>
                                    </a:xfrm>
                                    <a:prstGeom prst="rect">
                                      <a:avLst/>
                                    </a:prstGeom>
                                  </pic:spPr>
                                </pic:pic>
                              </a:graphicData>
                            </a:graphic>
                          </wp:inline>
                        </w:drawing>
                      </w:r>
                      <w:bookmarkStart w:id="28" w:name="i-16"/>
                      <w:bookmarkEnd w:id="28"/>
                      <w:r>
                        <w:rPr>
                          <w:color w:val="000000"/>
                        </w:rPr>
                        <w:t xml:space="preserve"> </w:t>
                      </w:r>
                      <w:r>
                        <w:rPr>
                          <w:rFonts w:ascii="Arial Narrow;sans-serif" w:hAnsi="Arial Narrow;sans-serif"/>
                          <w:b w:val="false"/>
                          <w:color w:val="000000"/>
                          <w:sz w:val="20"/>
                        </w:rPr>
                        <w:t>Form 10-Q | 12</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The estimated aggregate amortization expense related to intangible assets held at June 28, 2026</w:t>
      </w:r>
      <w:r>
        <w:rPr>
          <w:color w:val="000000"/>
          <w:shd w:fill="FFFFFF" w:val="clear"/>
        </w:rPr>
        <w:t xml:space="preserve"> </w:t>
      </w:r>
      <w:r>
        <w:rPr>
          <w:rFonts w:ascii="Arial Narrow;sans-serif" w:hAnsi="Arial Narrow;sans-serif"/>
          <w:b w:val="false"/>
          <w:color w:val="000000"/>
          <w:sz w:val="20"/>
          <w:shd w:fill="FFFFFF" w:val="clear"/>
        </w:rPr>
        <w:t xml:space="preserve">for the remainder of this year and the succeeding </w:t>
      </w:r>
      <w:r>
        <w:rPr>
          <w:rFonts w:ascii="Arial Narrow;sans-serif" w:hAnsi="Arial Narrow;sans-serif"/>
          <w:b w:val="false"/>
          <w:color w:val="000000"/>
          <w:sz w:val="20"/>
        </w:rPr>
        <w:t>five years</w:t>
      </w:r>
      <w:r>
        <w:rPr>
          <w:color w:val="000000"/>
          <w:shd w:fill="FFFFFF" w:val="clear"/>
        </w:rPr>
        <w:t xml:space="preserve"> </w:t>
      </w:r>
      <w:r>
        <w:rPr>
          <w:rFonts w:ascii="Arial Narrow;sans-serif" w:hAnsi="Arial Narrow;sans-serif"/>
          <w:b w:val="false"/>
          <w:color w:val="000000"/>
          <w:sz w:val="20"/>
          <w:shd w:fill="FFFFFF" w:val="clear"/>
        </w:rPr>
        <w:t>and thereafter is as follows (in thousands):</w:t>
      </w:r>
    </w:p>
    <w:tbl>
      <w:tblPr>
        <w:tblW w:w="5338" w:type="dxa"/>
        <w:jc w:val="left"/>
        <w:tblInd w:w="0" w:type="dxa"/>
        <w:tblLayout w:type="fixed"/>
        <w:tblCellMar>
          <w:top w:w="28" w:type="dxa"/>
          <w:left w:w="28" w:type="dxa"/>
          <w:bottom w:w="28" w:type="dxa"/>
          <w:right w:w="28" w:type="dxa"/>
        </w:tblCellMar>
      </w:tblPr>
      <w:tblGrid>
        <w:gridCol w:w="1287"/>
        <w:gridCol w:w="1131"/>
        <w:gridCol w:w="1136"/>
        <w:gridCol w:w="355"/>
        <w:gridCol w:w="1124"/>
        <w:gridCol w:w="305"/>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Estimated Amortization</w:t>
            </w:r>
          </w:p>
        </w:tc>
      </w:tr>
      <w:tr>
        <w:trPr/>
        <w:tc>
          <w:tcPr>
            <w:tcW w:w="355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2026 (excluding the two quarters ended June 28, 2026)</w:t>
            </w:r>
          </w:p>
        </w:tc>
        <w:tc>
          <w:tcPr>
            <w:tcW w:w="35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2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1,354 </w:t>
            </w:r>
          </w:p>
        </w:tc>
        <w:tc>
          <w:tcPr>
            <w:tcW w:w="30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2,707 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14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2,707 </w:t>
            </w:r>
          </w:p>
        </w:tc>
        <w:tc>
          <w:tcPr>
            <w:tcW w:w="3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2029</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2,150 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2030</w:t>
            </w:r>
          </w:p>
        </w:tc>
        <w:tc>
          <w:tcPr>
            <w:tcW w:w="14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1,369 </w:t>
            </w:r>
          </w:p>
        </w:tc>
        <w:tc>
          <w:tcPr>
            <w:tcW w:w="3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2031</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1,369 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2032 and thereafter</w:t>
            </w:r>
          </w:p>
        </w:tc>
        <w:tc>
          <w:tcPr>
            <w:tcW w:w="14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3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22,037 </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7.    FAIR VALUE OF FINANCIAL INSTRUMENTS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Assets and Liabilities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carrying value of the Company's cash and cash equivalents and restricted cash, accounts and tenant improvement receivables, accounts payable and all other current assets and liabilities, approximate fair values due to the short-term nature of these financial instruments.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assets consist of long-term prepaid expenses and a deferred compensation plan with related assets held in a rabbi trust. Other long-term liabilities consist of a deferred gain on a supplier arrangement. Long-term prepaid expenses and other long-term liabilities approximate fair values due to the nature of these financial instruments.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414042"/>
          <w:sz w:val="20"/>
        </w:rPr>
        <w:t xml:space="preserve">Deferred Compensation Plan - </w:t>
      </w:r>
      <w:r>
        <w:rPr>
          <w:rFonts w:ascii="Arial Narrow;sans-serif" w:hAnsi="Arial Narrow;sans-serif"/>
          <w:b w:val="false"/>
          <w:color w:val="000000"/>
          <w:sz w:val="20"/>
        </w:rPr>
        <w:t xml:space="preserve">The Company maintains a rabbi trust to fund obligations under a deferred compensation plan. Amounts in the rabbi trust are invested in mutual funds, which are designated as trading securities carried at fair value. The fair value measurement of these trading securities is considered Level 1 of the fair value hierarchy as they are measured using quoted market prices.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June 28, 2026 and December 28, 2025, the fair value of the mutual fund investments and deferred compensation obligations were as follows (in thousands):</w:t>
      </w:r>
    </w:p>
    <w:tbl>
      <w:tblPr>
        <w:tblW w:w="8507" w:type="dxa"/>
        <w:jc w:val="left"/>
        <w:tblInd w:w="0" w:type="dxa"/>
        <w:tblLayout w:type="fixed"/>
        <w:tblCellMar>
          <w:top w:w="28" w:type="dxa"/>
          <w:left w:w="28" w:type="dxa"/>
          <w:bottom w:w="28" w:type="dxa"/>
          <w:right w:w="28" w:type="dxa"/>
        </w:tblCellMar>
      </w:tblPr>
      <w:tblGrid>
        <w:gridCol w:w="1516"/>
        <w:gridCol w:w="1330"/>
        <w:gridCol w:w="1339"/>
        <w:gridCol w:w="235"/>
        <w:gridCol w:w="644"/>
        <w:gridCol w:w="141"/>
        <w:gridCol w:w="109"/>
        <w:gridCol w:w="1381"/>
        <w:gridCol w:w="109"/>
        <w:gridCol w:w="109"/>
        <w:gridCol w:w="109"/>
        <w:gridCol w:w="109"/>
        <w:gridCol w:w="109"/>
        <w:gridCol w:w="181"/>
        <w:gridCol w:w="496"/>
        <w:gridCol w:w="109"/>
        <w:gridCol w:w="109"/>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c>
          <w:tcPr>
            <w:tcW w:w="1812" w:type="dxa"/>
            <w:gridSpan w:val="12"/>
            <w:tcBorders/>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18"/>
              </w:rPr>
              <w:t xml:space="preserve">Assets </w:t>
            </w:r>
            <w:r>
              <w:rPr>
                <w:rFonts w:ascii="Arial Narrow;sans-serif" w:hAnsi="Arial Narrow;sans-serif"/>
                <w:b w:val="false"/>
                <w:color w:val="000000"/>
                <w:sz w:val="18"/>
              </w:rPr>
              <w:t>- Investments designated for deferred compensation plan</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Cash accounts</w:t>
            </w:r>
          </w:p>
        </w:tc>
        <w:tc>
          <w:tcPr>
            <w:tcW w:w="23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813 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Mutual funds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2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3,114 </w:t>
            </w:r>
          </w:p>
        </w:tc>
        <w:tc>
          <w:tcPr>
            <w:tcW w:w="1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3,100 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 Narrow;sans-serif" w:hAnsi="Arial Narrow;sans-serif"/>
          <w:b w:val="false"/>
          <w:color w:val="000000"/>
          <w:sz w:val="20"/>
        </w:rPr>
      </w:pPr>
      <w:r>
        <w:rPr>
          <w:rFonts w:ascii="Arial Narrow;sans-serif" w:hAnsi="Arial Narrow;sans-serif"/>
          <w:b w:val="false"/>
          <w:color w:val="000000"/>
          <w:sz w:val="20"/>
        </w:rPr>
        <w:t>As of June 28, 2026 and December 28, 2025, we had no Level 2 or Level 3 assets.</w:t>
      </w:r>
    </w:p>
    <w:p>
      <w:pPr>
        <w:pStyle w:val="TextBody"/>
        <w:bidi w:val="0"/>
        <w:spacing w:lineRule="auto" w:line="288" w:before="0" w:after="160"/>
        <w:jc w:val="left"/>
        <w:rPr>
          <w:rFonts w:ascii="Arial Narrow;sans-serif" w:hAnsi="Arial Narrow;sans-serif"/>
          <w:b w:val="false"/>
          <w:color w:val="000000"/>
          <w:sz w:val="20"/>
        </w:rPr>
      </w:pPr>
      <w:r>
        <w:rPr>
          <w:rFonts w:ascii="Arial Narrow;sans-serif" w:hAnsi="Arial Narrow;sans-serif"/>
          <w:b w:val="false"/>
          <w:color w:val="000000"/>
          <w:sz w:val="20"/>
        </w:rPr>
        <w:t>The deferred compensation investments and obligations are included in other assets, accrued expenses and other long-term liabilities in the condensed consolidated balance sheets. Changes in the fair value of securities held in the rabbi trust are recognized as trading gains and losses and included in other income in the condensed consolidated statements of operations and offsetting increases or decreases in the deferred compensation obligation are recorded in accrued expenses and other long-term liabilities in the condensed consolidated balance sheets.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Refer to Note 8. Debt for additional information relating to the fair value of the Company's outstanding debt instruments.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Assets and Liabilities Measured at Fair Value on a Non-Recurring Basis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Assets and liabilities that are measured at fair value on a non-recurring basis include property and equipment, net, operating lease assets, equity-method investment, goodwill and indefinite-lived intangible assets. These assets are measured at fair value whenever events or changes in circumstances indicate that the carrying amount of an asset may not be recoverable.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2755"/>
                <wp:effectExtent l="0" t="0" r="0" b="0"/>
                <wp:wrapNone/>
                <wp:docPr id="43" name="Frame1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30"/>
                                          <a:stretch>
                                            <a:fillRect/>
                                          </a:stretch>
                                        </pic:blipFill>
                                        <pic:spPr bwMode="auto">
                                          <a:xfrm>
                                            <a:off x="0" y="0"/>
                                            <a:ext cx="190500" cy="180975"/>
                                          </a:xfrm>
                                          <a:prstGeom prst="rect">
                                            <a:avLst/>
                                          </a:prstGeom>
                                        </pic:spPr>
                                      </pic:pic>
                                    </a:graphicData>
                                  </a:graphic>
                                </wp:inline>
                              </w:drawing>
                            </w:r>
                            <w:bookmarkStart w:id="29" w:name="i-17"/>
                            <w:bookmarkEnd w:id="29"/>
                            <w:r>
                              <w:rPr>
                                <w:color w:val="000000"/>
                              </w:rPr>
                              <w:t xml:space="preserve"> </w:t>
                            </w:r>
                            <w:r>
                              <w:rPr>
                                <w:rFonts w:ascii="Arial Narrow;sans-serif" w:hAnsi="Arial Narrow;sans-serif"/>
                                <w:b w:val="false"/>
                                <w:color w:val="000000"/>
                                <w:sz w:val="20"/>
                              </w:rPr>
                              <w:t>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190500" cy="180975"/>
                                    </a:xfrm>
                                    <a:prstGeom prst="rect">
                                      <a:avLst/>
                                    </a:prstGeom>
                                  </pic:spPr>
                                </pic:pic>
                              </a:graphicData>
                            </a:graphic>
                          </wp:inline>
                        </w:drawing>
                      </w:r>
                      <w:bookmarkStart w:id="30" w:name="i-17"/>
                      <w:bookmarkEnd w:id="30"/>
                      <w:r>
                        <w:rPr>
                          <w:color w:val="000000"/>
                        </w:rPr>
                        <w:t xml:space="preserve"> </w:t>
                      </w:r>
                      <w:r>
                        <w:rPr>
                          <w:rFonts w:ascii="Arial Narrow;sans-serif" w:hAnsi="Arial Narrow;sans-serif"/>
                          <w:b w:val="false"/>
                          <w:color w:val="000000"/>
                          <w:sz w:val="20"/>
                        </w:rPr>
                        <w:t>Form 10-Q | 13</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 xml:space="preserve">NOTE 8.     DEBT </w:t>
      </w:r>
    </w:p>
    <w:p>
      <w:pPr>
        <w:pStyle w:val="TextBody"/>
        <w:bidi w:val="0"/>
        <w:spacing w:before="0" w:after="0"/>
        <w:jc w:val="left"/>
        <w:rPr/>
      </w:pPr>
      <w:r>
        <w:rPr/>
      </w:r>
    </w:p>
    <w:p>
      <w:pPr>
        <w:pStyle w:val="TextBody"/>
        <w:bidi w:val="0"/>
        <w:spacing w:lineRule="auto" w:line="288" w:before="0" w:after="240"/>
        <w:jc w:val="left"/>
        <w:rPr>
          <w:rFonts w:ascii="Arial Narrow;sans-serif" w:hAnsi="Arial Narrow;sans-serif"/>
          <w:b w:val="false"/>
          <w:color w:val="000000"/>
          <w:sz w:val="20"/>
        </w:rPr>
      </w:pPr>
      <w:r>
        <w:rPr>
          <w:rFonts w:ascii="Arial Narrow;sans-serif" w:hAnsi="Arial Narrow;sans-serif"/>
          <w:b w:val="false"/>
          <w:color w:val="000000"/>
          <w:sz w:val="20"/>
        </w:rPr>
        <w:t>Debt consisted of the following (in thousands):</w:t>
      </w:r>
    </w:p>
    <w:tbl>
      <w:tblPr>
        <w:tblW w:w="5830" w:type="dxa"/>
        <w:jc w:val="left"/>
        <w:tblInd w:w="0" w:type="dxa"/>
        <w:tblLayout w:type="fixed"/>
        <w:tblCellMar>
          <w:top w:w="28" w:type="dxa"/>
          <w:left w:w="28" w:type="dxa"/>
          <w:bottom w:w="28" w:type="dxa"/>
          <w:right w:w="28" w:type="dxa"/>
        </w:tblCellMar>
      </w:tblPr>
      <w:tblGrid>
        <w:gridCol w:w="1106"/>
        <w:gridCol w:w="970"/>
        <w:gridCol w:w="983"/>
        <w:gridCol w:w="197"/>
        <w:gridCol w:w="704"/>
        <w:gridCol w:w="118"/>
        <w:gridCol w:w="109"/>
        <w:gridCol w:w="109"/>
        <w:gridCol w:w="109"/>
        <w:gridCol w:w="263"/>
        <w:gridCol w:w="939"/>
        <w:gridCol w:w="223"/>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Term Loan</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243,750 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246,875 </w:t>
            </w:r>
          </w:p>
        </w:tc>
        <w:tc>
          <w:tcPr>
            <w:tcW w:w="22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Revolver Facility</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Unamortized discount and debt issuance costs</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(2,648)</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debt, net</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338,442 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334,227 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Short-term debt</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(97,000)</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(90,000)</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 of long-term debt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(6,250)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1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235,192 </w:t>
            </w:r>
          </w:p>
        </w:tc>
        <w:tc>
          <w:tcPr>
            <w:tcW w:w="11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237,977 </w:t>
            </w:r>
          </w:p>
        </w:tc>
        <w:tc>
          <w:tcPr>
            <w:tcW w:w="22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2025 Credit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January 27, 2025 (the “2025 Credit Agreement Closing Date”), PHD Intermediate LLC ("Holdings"), Portillo’s Holdings LLC (the "Borrower"), the other Guarantors party thereto, the Lenders from time to time party thereto and Fifth Third Bank, National Association, as Administrative Agent (in such capacities, the "Administrative Agent"), the L/C Issuer and the Swing Line Lender entered into an amendment (the “Amendment”) to the credit agreement, dated as of February 2, 2023 (the "Existing Credit Agreement" and the Existing Credit Agreement as amended by the Amendment and as may be amended, restated, supplemented or otherwise modified from time to time thereafter, the "2025 Credit Agreement"), by and among Holdings, the Borrower, the other Guarantors from time to time party thereto, the Lenders from time to time party thereto and the Administrative Agent. The arrangement was accounted for as a debt modification.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Existing Credit Agreement provided for a term A loan (the "2023 Term Loan Facility") in an initial aggregate principal amount of $300.0 million and revolving credit commitments in an initial aggregate principal amount of $100.0 million (the "2023 Revolver Facility"). The Amendment provides for, among other things, (i) a $250 million term loan A facility (the "2025 Term Loan Facility") and (ii) revolving credit commitments in an initial aggregate principal amount of $150 million (the "2025 Revolver Facility" and, together with the 2025 Term Loan Facility, the "2025 Facilities"). The loans under each of the 2025 Facilities mature on January 27, 2030. The proceeds of the 2025 Term Loan Facility were used to pay off in full amounts outstanding under the 2023 Term Loan Facility outstanding on the 2025 Credit Agreement Closing Date.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2023 Term Loan Facility and 2023 Revolver Facility accrued, and the 2025 Term Loan and 2025 Revolver Facility accrue interest at the forward-looking secured overnight financing rate ("SOFR") plus an applicable rate determined upon the consolidated total net rent adjusted leverage ratio, in each case subject to a 0.00% floor.</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June 28, 2026, the interest rate on the 2025 Term Loan Facility and 2025 Revolver Facility was 6.20% and 6.12%, respectively. Pursuant to the 2025 Credit Agreement, as of June 28, 2026, the commitment fees to maintain the 2025 Revolver Facility were 0.20%, and letter of credit fees were 2.50%. Commitment fees and letter of credit fees are recorded as interest expense in the condensed consolidated statements of operations. As of June 28, 2026, the effective interest rate was 6.47%.</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29, 2025, the interest rate on the 2025 Term Loan and 2025 Revolver Facility was 6.55% and 6.58%, respectively. Pursuant to the 2025 Credit Agreement as of June 29, 2025, the commitment fees to maintain the 2025 Revolver Facility were 0.20% and letter of credit fees were 2.25%. As of June 29, 2025, the effective interest rate was 6.90%.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2025 Term Loan Facility amortizes in quarterly installments, which commenced on the last day of the first full fiscal quarter ended after the 2025 Credit Agreement Closing Date, equaling an aggregate amount of $6.3 million for the first 2 years following the 2025 Credit Agreement Closing Date, (ii) $12.5 million for the third and fourth years following the 2025 Credit Agreement Closing Date and (iii) $25.0 million for the fifth year following the 2025 Credit Agreement Closing Date, with the balance payable on the final maturity date.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June 28, 2026, outstanding borrowings under the 2025 Credit Agreement totaled $340.8 million, comprised of $243.8 million under the 2025 Term Loan Facility, and $97.0 million under the 2025 Revolver Facility. Letters of credit issued under the 2025 Revolver Facility totaled $4.2 million. As a result, as of June 28, 2026, the Company had $48.8 million available under the 2025 Revolver Facility.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28, 2025, outstanding borrowings under the 2025 Credit Agreement totaled $336.9 million, comprised of $246.9 million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2755"/>
                <wp:effectExtent l="0" t="0" r="0" b="0"/>
                <wp:wrapNone/>
                <wp:docPr id="46" name="Frame16"/>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32"/>
                                          <a:stretch>
                                            <a:fillRect/>
                                          </a:stretch>
                                        </pic:blipFill>
                                        <pic:spPr bwMode="auto">
                                          <a:xfrm>
                                            <a:off x="0" y="0"/>
                                            <a:ext cx="190500" cy="180975"/>
                                          </a:xfrm>
                                          <a:prstGeom prst="rect">
                                            <a:avLst/>
                                          </a:prstGeom>
                                        </pic:spPr>
                                      </pic:pic>
                                    </a:graphicData>
                                  </a:graphic>
                                </wp:inline>
                              </w:drawing>
                            </w:r>
                            <w:bookmarkStart w:id="31" w:name="i-18"/>
                            <w:bookmarkEnd w:id="31"/>
                            <w:r>
                              <w:rPr>
                                <w:color w:val="000000"/>
                              </w:rPr>
                              <w:t xml:space="preserve"> </w:t>
                            </w:r>
                            <w:r>
                              <w:rPr>
                                <w:rFonts w:ascii="Arial Narrow;sans-serif" w:hAnsi="Arial Narrow;sans-serif"/>
                                <w:b w:val="false"/>
                                <w:color w:val="000000"/>
                                <w:sz w:val="20"/>
                              </w:rPr>
                              <w:t>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190500" cy="180975"/>
                                    </a:xfrm>
                                    <a:prstGeom prst="rect">
                                      <a:avLst/>
                                    </a:prstGeom>
                                  </pic:spPr>
                                </pic:pic>
                              </a:graphicData>
                            </a:graphic>
                          </wp:inline>
                        </w:drawing>
                      </w:r>
                      <w:bookmarkStart w:id="32" w:name="i-18"/>
                      <w:bookmarkEnd w:id="32"/>
                      <w:r>
                        <w:rPr>
                          <w:color w:val="000000"/>
                        </w:rPr>
                        <w:t xml:space="preserve"> </w:t>
                      </w:r>
                      <w:r>
                        <w:rPr>
                          <w:rFonts w:ascii="Arial Narrow;sans-serif" w:hAnsi="Arial Narrow;sans-serif"/>
                          <w:b w:val="false"/>
                          <w:color w:val="000000"/>
                          <w:sz w:val="20"/>
                        </w:rPr>
                        <w:t>Form 10-Q | 14</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2025 Term Loan Facility, and $90.0 million under the 2025 Revolver Facility. Letters of credit issued under the 2025 Revolver Facility totaled $4.4 million. As a result, as of December 28, 2025, the Company had $55.6 million available under the 2025 Revolver Facility.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Discount, Debt Issuance Costs and Interest Expense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2025 Credit Agreement, the Company capitalized deferred financing costs and issuance discounts of $1.3 million. The remaining unamortized costs under the 2023 Credit Agreement were $2.0 million. The total deferred financing costs and issuance discounts of $3.3 million are amortized over the term of the 2025 Credit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amortized an immaterial amount of deferred financing costs during both the quarters ended June 28, 2026 and June 29, 2025, and an immaterial amount and $0.1 million for the two quarters ended June 28, 2026 and June 29, 2025, respectively, which is included in interest expense in the condensed consolidated statements of operations. In addition, the Company amortized $0.1 million and $0.2 million in original issue discount related to the long-term debt during the quarters ended June 28, 2026 and June 29, 2025, respectively, and $0.3 million during both the two quarters ended June 28, 2026 and June 29, 2025, which is included in interest expense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Total interest expense was $5.7 million and $11.3 million for the quarter and two quarters ended June 28, 2026, respectively, and $5.7 million and $11.5 million for the quarter and two quarters ended June 29, 2025, respectively.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Fair Value of Debt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June 28, 2026 and December 28, 2025,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Guarantees and Covenants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2025 Credit Agreement contains customary representations and warranties, events of default, reporting and other affirmative covenants and negative covenants, including limitations on indebtedness, liens, investments, negative pledges, dividends, junior financings and other fundamental changes. The 2025 Facilities are guaranteed, subject to customary exceptions, by all of the Borrower’s wholly-owned domestic restricted subsidiaries and Holdings, and are secured by a lien on substantially all of the Borrower’s assets, including fixed assets and intangibles, and the assets of the Guarantors, in each case, subject to customary exceptions. Failure to comply with these covenants and restrictions could result in an event of default under the 2025 Credit Agreement. In such an event, all amounts outstanding under the 2025 Credit Agreement, together with any accrued interest, could then be declared immediately due and payable.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28, 2026, the Company was in compliance with the financial covenants in the 2025 Credit Agreement.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9.     NON-CONTROLLING INTERESTS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We are the sole managing member of Portillo's OpCo, and as a result, consolidate the financial results of Portillo's OpCo. We report a non-controlling interest to reflect the entitlement of the pre-IPO LLC Members who retained their equity ownership in Portillo's OpCo (the "pre-IPO LLC Members")</w:t>
      </w:r>
      <w:r>
        <w:rPr>
          <w:rFonts w:ascii="Arial Narrow;sans-serif" w:hAnsi="Arial Narrow;sans-serif"/>
          <w:b w:val="false"/>
          <w:color w:val="000000"/>
          <w:sz w:val="20"/>
          <w:shd w:fill="FFFFFF" w:val="clear"/>
        </w:rPr>
        <w:t xml:space="preserve">. Changes in our ownership interest in Portillo's OpCo while we retain our controlling interest in Portillo's OpCo will be accounted for as equity transactions. As such, future redemptions or direct exchanges of LLC Units in Portillo's OpCo by the pre-IPO LLC members will result in a change in ownership and reduce the amount recorded as non-controlling interest and increase additional paid-in capital.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summarizes the LLC interest ownership by Portillo's Inc. and pre-IPO LLC members:</w:t>
      </w:r>
    </w:p>
    <w:tbl>
      <w:tblPr>
        <w:tblW w:w="6998" w:type="dxa"/>
        <w:jc w:val="left"/>
        <w:tblInd w:w="0" w:type="dxa"/>
        <w:tblLayout w:type="fixed"/>
        <w:tblCellMar>
          <w:top w:w="28" w:type="dxa"/>
          <w:left w:w="28" w:type="dxa"/>
          <w:bottom w:w="28" w:type="dxa"/>
          <w:right w:w="28" w:type="dxa"/>
        </w:tblCellMar>
      </w:tblPr>
      <w:tblGrid>
        <w:gridCol w:w="564"/>
        <w:gridCol w:w="495"/>
        <w:gridCol w:w="500"/>
        <w:gridCol w:w="420"/>
        <w:gridCol w:w="421"/>
        <w:gridCol w:w="266"/>
        <w:gridCol w:w="109"/>
        <w:gridCol w:w="109"/>
        <w:gridCol w:w="109"/>
        <w:gridCol w:w="248"/>
        <w:gridCol w:w="248"/>
        <w:gridCol w:w="553"/>
        <w:gridCol w:w="109"/>
        <w:gridCol w:w="109"/>
        <w:gridCol w:w="109"/>
        <w:gridCol w:w="420"/>
        <w:gridCol w:w="421"/>
        <w:gridCol w:w="266"/>
        <w:gridCol w:w="134"/>
        <w:gridCol w:w="134"/>
        <w:gridCol w:w="134"/>
        <w:gridCol w:w="262"/>
        <w:gridCol w:w="236"/>
        <w:gridCol w:w="622"/>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LLC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LLC Units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Ownership %</w:t>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Portillo's Inc.</w:t>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72,504,761 </w:t>
            </w:r>
          </w:p>
        </w:tc>
        <w:tc>
          <w:tcPr>
            <w:tcW w:w="2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95.5 </w:t>
            </w:r>
          </w:p>
        </w:tc>
        <w:tc>
          <w:tcPr>
            <w:tcW w:w="55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71,971,736 </w:t>
            </w:r>
          </w:p>
        </w:tc>
        <w:tc>
          <w:tcPr>
            <w:tcW w:w="2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95.4 </w:t>
            </w:r>
          </w:p>
        </w:tc>
        <w:tc>
          <w:tcPr>
            <w:tcW w:w="62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pre-IPO LLC Members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3,424,546 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4.5 </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3,442,335 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5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84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75,929,307 </w:t>
            </w:r>
          </w:p>
        </w:tc>
        <w:tc>
          <w:tcPr>
            <w:tcW w:w="2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55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75,414,071 </w:t>
            </w:r>
          </w:p>
        </w:tc>
        <w:tc>
          <w:tcPr>
            <w:tcW w:w="26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62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2755"/>
                <wp:effectExtent l="0" t="0" r="0" b="0"/>
                <wp:wrapNone/>
                <wp:docPr id="49" name="Frame17"/>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34"/>
                                          <a:stretch>
                                            <a:fillRect/>
                                          </a:stretch>
                                        </pic:blipFill>
                                        <pic:spPr bwMode="auto">
                                          <a:xfrm>
                                            <a:off x="0" y="0"/>
                                            <a:ext cx="190500" cy="180975"/>
                                          </a:xfrm>
                                          <a:prstGeom prst="rect">
                                            <a:avLst/>
                                          </a:prstGeom>
                                        </pic:spPr>
                                      </pic:pic>
                                    </a:graphicData>
                                  </a:graphic>
                                </wp:inline>
                              </w:drawing>
                            </w:r>
                            <w:bookmarkStart w:id="33" w:name="i-19"/>
                            <w:bookmarkEnd w:id="33"/>
                            <w:r>
                              <w:rPr>
                                <w:color w:val="000000"/>
                              </w:rPr>
                              <w:t xml:space="preserve"> </w:t>
                            </w:r>
                            <w:r>
                              <w:rPr>
                                <w:rFonts w:ascii="Arial Narrow;sans-serif" w:hAnsi="Arial Narrow;sans-serif"/>
                                <w:b w:val="false"/>
                                <w:color w:val="000000"/>
                                <w:sz w:val="20"/>
                              </w:rPr>
                              <w:t>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190500" cy="180975"/>
                                    </a:xfrm>
                                    <a:prstGeom prst="rect">
                                      <a:avLst/>
                                    </a:prstGeom>
                                  </pic:spPr>
                                </pic:pic>
                              </a:graphicData>
                            </a:graphic>
                          </wp:inline>
                        </w:drawing>
                      </w:r>
                      <w:bookmarkStart w:id="34" w:name="i-19"/>
                      <w:bookmarkEnd w:id="34"/>
                      <w:r>
                        <w:rPr>
                          <w:color w:val="000000"/>
                        </w:rPr>
                        <w:t xml:space="preserve"> </w:t>
                      </w:r>
                      <w:r>
                        <w:rPr>
                          <w:rFonts w:ascii="Arial Narrow;sans-serif" w:hAnsi="Arial Narrow;sans-serif"/>
                          <w:b w:val="false"/>
                          <w:color w:val="000000"/>
                          <w:sz w:val="20"/>
                        </w:rPr>
                        <w:t>Form 10-Q | 15</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weighted average ownership percentages for the applicable reporting periods are used to attribute net income to Portillo's Inc. and the pre-IPO LLC Members. The pre-IPO LLC Members' weighted average ownership percentage for both the quarter and two quarters ended June 28, 2026 was 4.5%. The pre-IPO LLC Members' weighted average ownership percentage for the quarter and two quarters ended June 29, 2025 was 9.9% and 12.2%, respectively.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the effects of changes in ownership in Portillo's OpCo on the Company’s equity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5"/>
        <w:gridCol w:w="1699"/>
        <w:gridCol w:w="1708"/>
        <w:gridCol w:w="210"/>
        <w:gridCol w:w="577"/>
        <w:gridCol w:w="126"/>
        <w:gridCol w:w="109"/>
        <w:gridCol w:w="109"/>
        <w:gridCol w:w="109"/>
        <w:gridCol w:w="199"/>
        <w:gridCol w:w="629"/>
        <w:gridCol w:w="119"/>
        <w:gridCol w:w="109"/>
        <w:gridCol w:w="109"/>
        <w:gridCol w:w="109"/>
        <w:gridCol w:w="210"/>
        <w:gridCol w:w="577"/>
        <w:gridCol w:w="126"/>
        <w:gridCol w:w="109"/>
        <w:gridCol w:w="109"/>
        <w:gridCol w:w="109"/>
        <w:gridCol w:w="198"/>
        <w:gridCol w:w="625"/>
        <w:gridCol w:w="176"/>
      </w:tblGrid>
      <w:tr>
        <w:trPr/>
        <w:tc>
          <w:tcPr>
            <w:tcW w:w="204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5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545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attributable to Portillo's Inc.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6,944 </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8,704 </w:t>
            </w:r>
          </w:p>
        </w:tc>
        <w:tc>
          <w:tcPr>
            <w:tcW w:w="11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6,542 </w:t>
            </w:r>
          </w:p>
        </w:tc>
        <w:tc>
          <w:tcPr>
            <w:tcW w:w="12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12,017 </w:t>
            </w:r>
          </w:p>
        </w:tc>
        <w:tc>
          <w:tcPr>
            <w:tcW w:w="17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Activity under equity-based compensation plans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adjustment</w:t>
            </w:r>
          </w:p>
        </w:tc>
        <w:tc>
          <w:tcPr>
            <w:tcW w:w="7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61,281 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333 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61,463 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Redemption of LLC Units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 and related changes to deferred tax assets associated with increases in tax basis</w:t>
            </w:r>
          </w:p>
        </w:tc>
        <w:tc>
          <w:tcPr>
            <w:tcW w:w="7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(21,805)</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(21,805)</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effect of changes in ownership interest on equity attributable to Portillo's Inc.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6,690 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49,595 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6,763 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53,742 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the Company holds a 65% ownership interest in AP Dogs, which operates a restaurant in DFW Airport. During the quarter and two quarters ended June 28, 2026, $0.3 million and $0.7 million of contributions from non-controlling interests were received. There were no contributions from non-controlling interests during the quarter and two quarters ended June 29,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 xml:space="preserve">NOTE 10.    EQUITY-BASED COMPENSATION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Equity-based compensation expense is calculated based on equity awards ultimately expected to vest and is reduced for estimated forfeitures. Forfeitures are revised, if necessary, in subsequent periods if actual forfeitures differ from those estimates and an adjustment to equity-based compensation expense will be recognized at that time. </w:t>
      </w:r>
    </w:p>
    <w:p>
      <w:pPr>
        <w:pStyle w:val="TextBody"/>
        <w:bidi w:val="0"/>
        <w:spacing w:before="0" w:after="0"/>
        <w:jc w:val="left"/>
        <w:rPr/>
      </w:pPr>
      <w:r>
        <w:rPr/>
      </w:r>
    </w:p>
    <w:p>
      <w:pPr>
        <w:pStyle w:val="TextBody"/>
        <w:bidi w:val="0"/>
        <w:spacing w:lineRule="auto" w:line="288" w:before="0" w:after="120"/>
        <w:jc w:val="left"/>
        <w:rPr>
          <w:rFonts w:ascii="Arial Narrow;sans-serif" w:hAnsi="Arial Narrow;sans-serif"/>
          <w:b w:val="false"/>
          <w:color w:val="000000"/>
          <w:sz w:val="20"/>
        </w:rPr>
      </w:pPr>
      <w:r>
        <w:rPr>
          <w:rFonts w:ascii="Arial Narrow;sans-serif" w:hAnsi="Arial Narrow;sans-serif"/>
          <w:b w:val="false"/>
          <w:color w:val="000000"/>
          <w:sz w:val="20"/>
        </w:rPr>
        <w:t xml:space="preserve">Equity-based compensation expense included in the Company’s condensed consolidated statements of operations is as follows (in thousands): </w:t>
      </w:r>
    </w:p>
    <w:tbl>
      <w:tblPr>
        <w:tblW w:w="7865" w:type="dxa"/>
        <w:jc w:val="left"/>
        <w:tblInd w:w="0" w:type="dxa"/>
        <w:tblLayout w:type="fixed"/>
        <w:tblCellMar>
          <w:top w:w="28" w:type="dxa"/>
          <w:left w:w="28" w:type="dxa"/>
          <w:bottom w:w="28" w:type="dxa"/>
          <w:right w:w="28" w:type="dxa"/>
        </w:tblCellMar>
      </w:tblPr>
      <w:tblGrid>
        <w:gridCol w:w="994"/>
        <w:gridCol w:w="874"/>
        <w:gridCol w:w="891"/>
        <w:gridCol w:w="235"/>
        <w:gridCol w:w="644"/>
        <w:gridCol w:w="141"/>
        <w:gridCol w:w="109"/>
        <w:gridCol w:w="109"/>
        <w:gridCol w:w="109"/>
        <w:gridCol w:w="235"/>
        <w:gridCol w:w="644"/>
        <w:gridCol w:w="141"/>
        <w:gridCol w:w="109"/>
        <w:gridCol w:w="109"/>
        <w:gridCol w:w="109"/>
        <w:gridCol w:w="235"/>
        <w:gridCol w:w="644"/>
        <w:gridCol w:w="141"/>
        <w:gridCol w:w="109"/>
        <w:gridCol w:w="109"/>
        <w:gridCol w:w="109"/>
        <w:gridCol w:w="232"/>
        <w:gridCol w:w="636"/>
        <w:gridCol w:w="19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275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w:t>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534 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505 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937 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858 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Total equity-based compensation expense</w:t>
            </w:r>
          </w:p>
        </w:tc>
        <w:tc>
          <w:tcPr>
            <w:tcW w:w="2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2,604 </w:t>
            </w:r>
          </w:p>
        </w:tc>
        <w:tc>
          <w:tcPr>
            <w:tcW w:w="1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2,658 </w:t>
            </w:r>
          </w:p>
        </w:tc>
        <w:tc>
          <w:tcPr>
            <w:tcW w:w="1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5,834 </w:t>
            </w:r>
          </w:p>
        </w:tc>
        <w:tc>
          <w:tcPr>
            <w:tcW w:w="1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4,608 </w:t>
            </w:r>
          </w:p>
        </w:tc>
        <w:tc>
          <w:tcPr>
            <w:tcW w:w="1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 xml:space="preserve">Restricted Stock Units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two quarters ended June 28, 2026, the Company granted 1,907,822 RSUs, under the Portillo's Inc. 2021 Equity Incentive Plan (the "2021 Plan") to certain employees. During the two quarters ended June 28, 2026, we also granted 303,688 RSUs to non-employee directors. The weighted average fair value of these awards was determined using the Company's closing stock price on the applicable grant dates, which was $5.38. The RSUs granted to employees will generally vest equally over periods ranging from one to three years on each of the anniversaries of the date of grant subject to continued service on such date. The RSUs granted to non-employee directors will vest at the end of this year.</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two quarters ended June 28, 2026, the Company recognized accelerated and incremental equity-based compensation expense related to the modification of outstanding equity awards in connection with the announced retirement of our former Interim Chief Executive Officer and Director.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2755"/>
                <wp:effectExtent l="0" t="0" r="0" b="0"/>
                <wp:wrapNone/>
                <wp:docPr id="52" name="Frame18"/>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36"/>
                                          <a:stretch>
                                            <a:fillRect/>
                                          </a:stretch>
                                        </pic:blipFill>
                                        <pic:spPr bwMode="auto">
                                          <a:xfrm>
                                            <a:off x="0" y="0"/>
                                            <a:ext cx="190500" cy="180975"/>
                                          </a:xfrm>
                                          <a:prstGeom prst="rect">
                                            <a:avLst/>
                                          </a:prstGeom>
                                        </pic:spPr>
                                      </pic:pic>
                                    </a:graphicData>
                                  </a:graphic>
                                </wp:inline>
                              </w:drawing>
                            </w:r>
                            <w:bookmarkStart w:id="35" w:name="i-20"/>
                            <w:bookmarkEnd w:id="35"/>
                            <w:r>
                              <w:rPr>
                                <w:color w:val="000000"/>
                              </w:rPr>
                              <w:t xml:space="preserve"> </w:t>
                            </w:r>
                            <w:r>
                              <w:rPr>
                                <w:rFonts w:ascii="Arial Narrow;sans-serif" w:hAnsi="Arial Narrow;sans-serif"/>
                                <w:b w:val="false"/>
                                <w:color w:val="000000"/>
                                <w:sz w:val="20"/>
                              </w:rPr>
                              <w:t>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190500" cy="180975"/>
                                    </a:xfrm>
                                    <a:prstGeom prst="rect">
                                      <a:avLst/>
                                    </a:prstGeom>
                                  </pic:spPr>
                                </pic:pic>
                              </a:graphicData>
                            </a:graphic>
                          </wp:inline>
                        </w:drawing>
                      </w:r>
                      <w:bookmarkStart w:id="36" w:name="i-20"/>
                      <w:bookmarkEnd w:id="36"/>
                      <w:r>
                        <w:rPr>
                          <w:color w:val="000000"/>
                        </w:rPr>
                        <w:t xml:space="preserve"> </w:t>
                      </w:r>
                      <w:r>
                        <w:rPr>
                          <w:rFonts w:ascii="Arial Narrow;sans-serif" w:hAnsi="Arial Narrow;sans-serif"/>
                          <w:b w:val="false"/>
                          <w:color w:val="000000"/>
                          <w:sz w:val="20"/>
                        </w:rPr>
                        <w:t>Form 10-Q | 16</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Performance Stock Units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two quarters ended June 28, 2026, the Company granted 611,407 performance stock units ("PSUs") to its executive officers under the 2021 Plan. The PSUs are subject to continued service and are earned based on the achievement of predetermined performance goals related to Adjusted EBITDA growth and total revenue growth over a three-year performance period beginning on December 29, 2025 and ending on December 31, 2028. Performance is measured based on a combination of annual and cumulative performance results, with final achievement determined at the end of the performance period. The number of shares ultimately earned may range from 0% to 200% of the target award based on performance achieved. The grant date fair value of the PSUs was $5.52, based on the Company's closing stock price on April 15, 2026, the date of grant. The Company reassesses its estimate of performance achievement each reporting period, and the cumulative effect of any change in estimated attainment is recognized in general and administrative expenses in the condensed consolidated statements of operations in the period of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11.    INCOME TAXES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the sole managing member of Portillo's OpCo, and as a result, consolidate the financial results of Portillo's OpCo. Portillo's OpCo is treated as a partnership for U.S. federal and most applicable state and local income tax purposes. As a partnership, Portillo's OpCo is generally not subject to U.S. federal and state and local income taxes. Any taxable income or loss generated by Portillo's OpCo is passed through to and included in the taxable income or loss of its members, including us, based upon the respective member's ownership percentage in Portillo's OpCo. We are subject to U.S. federal income taxes, in addition to state and local income taxes with respect to our allocable share of any taxable income or loss of Portillo's OpCo, as well as any stand-alone income or loss generated by Portillo's Inc.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Income Tax Expense</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shd w:fill="FFFFFF" w:val="clear"/>
        </w:rPr>
        <w:t>The effective income tax rate for the quarter and two quarters ended</w:t>
      </w:r>
      <w:r>
        <w:rPr>
          <w:color w:val="000000"/>
        </w:rPr>
        <w:t xml:space="preserve"> </w:t>
      </w:r>
      <w:r>
        <w:rPr>
          <w:rFonts w:ascii="Arial Narrow;sans-serif" w:hAnsi="Arial Narrow;sans-serif"/>
          <w:b w:val="false"/>
          <w:color w:val="000000"/>
          <w:sz w:val="20"/>
        </w:rPr>
        <w:t xml:space="preserve">June 28, 2026 was 19.8% and 19.5%, respectively, and 26.8% and 26.4%, respectively, for the </w:t>
      </w:r>
      <w:r>
        <w:rPr>
          <w:rFonts w:ascii="Arial Narrow;sans-serif" w:hAnsi="Arial Narrow;sans-serif"/>
          <w:b w:val="false"/>
          <w:color w:val="000000"/>
          <w:sz w:val="20"/>
          <w:shd w:fill="FFFFFF" w:val="clear"/>
        </w:rPr>
        <w:t>quarter and two quarters ended</w:t>
      </w:r>
      <w:r>
        <w:rPr>
          <w:color w:val="000000"/>
        </w:rPr>
        <w:t xml:space="preserve"> </w:t>
      </w:r>
      <w:r>
        <w:rPr>
          <w:rFonts w:ascii="Arial Narrow;sans-serif" w:hAnsi="Arial Narrow;sans-serif"/>
          <w:b w:val="false"/>
          <w:color w:val="000000"/>
          <w:sz w:val="20"/>
        </w:rPr>
        <w:t>and June 29, 2025. The decrease in our effective income tax rate for the quarter and two quarters ended June 28, 2026 compared to the quarter and two quarters ended June 29, 2025</w:t>
      </w:r>
      <w:r>
        <w:rPr>
          <w:color w:val="000000"/>
          <w:shd w:fill="FFFFFF" w:val="clear"/>
        </w:rPr>
        <w:t xml:space="preserve"> </w:t>
      </w:r>
      <w:r>
        <w:rPr>
          <w:rFonts w:ascii="Arial Narrow;sans-serif" w:hAnsi="Arial Narrow;sans-serif"/>
          <w:b w:val="false"/>
          <w:color w:val="000000"/>
          <w:sz w:val="20"/>
        </w:rPr>
        <w:t>was primarily driven by a decrease in the valuation allowance related to equity-based compensation expense related to certain executive officers. This decrease is partially offset by an increase in the Company's ownership interest in Portillo's OpCo, which increases its share of taxable income of Portillo's OpCo.</w:t>
      </w:r>
      <w:r>
        <w:rPr>
          <w:color w:val="000000"/>
          <w:shd w:fill="FFFFFF" w:val="clear"/>
        </w:rPr>
        <w:t xml:space="preserve"> </w:t>
      </w:r>
      <w:r>
        <w:rPr>
          <w:rFonts w:ascii="Arial Narrow;sans-serif" w:hAnsi="Arial Narrow;sans-serif"/>
          <w:b w:val="false"/>
          <w:color w:val="000000"/>
          <w:sz w:val="20"/>
          <w:shd w:fill="FFFFFF" w:val="clear"/>
        </w:rPr>
        <w:t>The Company’s annual effective tax rate differs from the statutory rate of 21% primarily because of state and local taxes, deferred tax adjustments and impacts from equity-based award activity partially offset by the portion of Portillo's OpCo earnings that are attributable to non-controlling interest that the Company is not liable for federal or state income taxes.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evaluate the realizability of our deferred tax assets on a quarterly basis and establish valuation allowances when it is more likely than not that all or a portion of a deferred tax asset may not be realized. As of June 28, 2026, the Company concluded, based on the weight of all available positive and negative evidence, that all of its deferred tax assets (except for those deferred tax assets relating to the basis difference in its investment in Portillo's OpCo that will never be realizable or only reverse upon the eventual sale of its interest in Portillo's OpCo, which we expect would result in a capital loss which we do not expect to be able to utilize) are more likely than not to be realized.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Tax Receivable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28, 2026, we estimated that our obligation for future payments under the TRA liability totaled $343.4 million. During the two quarters ended June 28, 2026 and June 29, 2025, the Company made TRA payments of $7.9 million relating to tax year 2024 and $7.7 million relating to tax year 2023, respectively. We expect a payment of $1.3 million relating to tax year 2025 to be paid within the next 12 months.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2755"/>
                <wp:effectExtent l="0" t="0" r="0" b="0"/>
                <wp:wrapNone/>
                <wp:docPr id="55" name="Frame19"/>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38"/>
                                          <a:stretch>
                                            <a:fillRect/>
                                          </a:stretch>
                                        </pic:blipFill>
                                        <pic:spPr bwMode="auto">
                                          <a:xfrm>
                                            <a:off x="0" y="0"/>
                                            <a:ext cx="190500" cy="180975"/>
                                          </a:xfrm>
                                          <a:prstGeom prst="rect">
                                            <a:avLst/>
                                          </a:prstGeom>
                                        </pic:spPr>
                                      </pic:pic>
                                    </a:graphicData>
                                  </a:graphic>
                                </wp:inline>
                              </w:drawing>
                            </w:r>
                            <w:bookmarkStart w:id="37" w:name="i-21"/>
                            <w:bookmarkEnd w:id="37"/>
                            <w:r>
                              <w:rPr>
                                <w:color w:val="000000"/>
                              </w:rPr>
                              <w:t xml:space="preserve"> </w:t>
                            </w:r>
                            <w:r>
                              <w:rPr>
                                <w:rFonts w:ascii="Arial Narrow;sans-serif" w:hAnsi="Arial Narrow;sans-serif"/>
                                <w:b w:val="false"/>
                                <w:color w:val="000000"/>
                                <w:sz w:val="20"/>
                              </w:rPr>
                              <w:t>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190500" cy="180975"/>
                                    </a:xfrm>
                                    <a:prstGeom prst="rect">
                                      <a:avLst/>
                                    </a:prstGeom>
                                  </pic:spPr>
                                </pic:pic>
                              </a:graphicData>
                            </a:graphic>
                          </wp:inline>
                        </w:drawing>
                      </w:r>
                      <w:bookmarkStart w:id="38" w:name="i-21"/>
                      <w:bookmarkEnd w:id="38"/>
                      <w:r>
                        <w:rPr>
                          <w:color w:val="000000"/>
                        </w:rPr>
                        <w:t xml:space="preserve"> </w:t>
                      </w:r>
                      <w:r>
                        <w:rPr>
                          <w:rFonts w:ascii="Arial Narrow;sans-serif" w:hAnsi="Arial Narrow;sans-serif"/>
                          <w:b w:val="false"/>
                          <w:color w:val="000000"/>
                          <w:sz w:val="20"/>
                        </w:rPr>
                        <w:t>Form 10-Q | 17</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 xml:space="preserve">NOTE 12.    EARNINGS PER SHARE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Basic net earnings per share of Class A common stock is computed by dividing net income attributable to Portillo's Inc. by the weighted-average number of Class A common stock outstanding.</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Diluted net earnings per share is computed by dividing net income attributable to Portillo's Inc. by the weighted-average number of dilutive securities, using the treasury stock method.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computations of basic and diluted earnings per share for the quarter and two quarters ended June 28, 2026 and June 29, 2025 are as follows (in thousands):</w:t>
      </w:r>
    </w:p>
    <w:tbl>
      <w:tblPr>
        <w:tblW w:w="9290" w:type="dxa"/>
        <w:jc w:val="left"/>
        <w:tblInd w:w="0" w:type="dxa"/>
        <w:tblLayout w:type="fixed"/>
        <w:tblCellMar>
          <w:top w:w="28" w:type="dxa"/>
          <w:left w:w="28" w:type="dxa"/>
          <w:bottom w:w="28" w:type="dxa"/>
          <w:right w:w="28" w:type="dxa"/>
        </w:tblCellMar>
      </w:tblPr>
      <w:tblGrid>
        <w:gridCol w:w="1517"/>
        <w:gridCol w:w="1324"/>
        <w:gridCol w:w="1344"/>
        <w:gridCol w:w="235"/>
        <w:gridCol w:w="644"/>
        <w:gridCol w:w="141"/>
        <w:gridCol w:w="109"/>
        <w:gridCol w:w="109"/>
        <w:gridCol w:w="109"/>
        <w:gridCol w:w="214"/>
        <w:gridCol w:w="677"/>
        <w:gridCol w:w="129"/>
        <w:gridCol w:w="109"/>
        <w:gridCol w:w="109"/>
        <w:gridCol w:w="109"/>
        <w:gridCol w:w="235"/>
        <w:gridCol w:w="644"/>
        <w:gridCol w:w="141"/>
        <w:gridCol w:w="109"/>
        <w:gridCol w:w="109"/>
        <w:gridCol w:w="109"/>
        <w:gridCol w:w="212"/>
        <w:gridCol w:w="671"/>
        <w:gridCol w:w="181"/>
      </w:tblGrid>
      <w:tr>
        <w:trPr/>
        <w:tc>
          <w:tcPr>
            <w:tcW w:w="15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7,155 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10,043 </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non-controlling interests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Portillo's Inc.</w:t>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6,944 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8,704 </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6,542 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12,017 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number of common shares outstanding-basic</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72,380 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67,595 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72,228 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65,717 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share awards</w:t>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2,273 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926 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2,458 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number of common shares outstanding-diluted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73,171 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69,868 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73,154 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68,175 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net income per share</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net income per share</w:t>
            </w:r>
          </w:p>
        </w:tc>
        <w:tc>
          <w:tcPr>
            <w:tcW w:w="23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0.12 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0.09 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0.18 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Shares of the Company’s Class B Common Stock do not participate in the earnings or losses of Portillo's Inc. and are therefore not participating securities. As such, separate presentation of basic and diluted earnings per share of Class B Common Stock under the two-class method has not been presented.</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shd w:fill="FFFFFF" w:val="clear"/>
        </w:rPr>
        <w:t>The following shares were excluded from the calculation of diluted earnings per share because they would be antidilutive</w:t>
      </w:r>
      <w:r>
        <w:rPr>
          <w:color w:val="000000"/>
        </w:rPr>
        <w:t xml:space="preserve"> </w:t>
      </w:r>
      <w:r>
        <w:rPr>
          <w:rFonts w:ascii="Arial Narrow;sans-serif" w:hAnsi="Arial Narrow;sans-serif"/>
          <w:b w:val="false"/>
          <w:color w:val="000000"/>
          <w:sz w:val="20"/>
        </w:rPr>
        <w:t>or subject to performance conditions which have not been satisfied by the end of the reporting period (in thousands)</w:t>
      </w:r>
      <w:r>
        <w:rPr>
          <w:rFonts w:ascii="Arial Narrow;sans-serif" w:hAnsi="Arial Narrow;sans-serif"/>
          <w:b w:val="false"/>
          <w:color w:val="000000"/>
          <w:sz w:val="20"/>
          <w:shd w:fill="FFFFFF" w:val="clear"/>
        </w:rPr>
        <w:t>:</w:t>
      </w:r>
    </w:p>
    <w:tbl>
      <w:tblPr>
        <w:tblW w:w="8975" w:type="dxa"/>
        <w:jc w:val="left"/>
        <w:tblInd w:w="0" w:type="dxa"/>
        <w:tblLayout w:type="fixed"/>
        <w:tblCellMar>
          <w:top w:w="28" w:type="dxa"/>
          <w:left w:w="28" w:type="dxa"/>
          <w:bottom w:w="28" w:type="dxa"/>
          <w:right w:w="28" w:type="dxa"/>
        </w:tblCellMar>
      </w:tblPr>
      <w:tblGrid>
        <w:gridCol w:w="1319"/>
        <w:gridCol w:w="1159"/>
        <w:gridCol w:w="1166"/>
        <w:gridCol w:w="339"/>
        <w:gridCol w:w="339"/>
        <w:gridCol w:w="341"/>
        <w:gridCol w:w="125"/>
        <w:gridCol w:w="125"/>
        <w:gridCol w:w="125"/>
        <w:gridCol w:w="339"/>
        <w:gridCol w:w="339"/>
        <w:gridCol w:w="341"/>
        <w:gridCol w:w="109"/>
        <w:gridCol w:w="109"/>
        <w:gridCol w:w="109"/>
        <w:gridCol w:w="340"/>
        <w:gridCol w:w="340"/>
        <w:gridCol w:w="340"/>
        <w:gridCol w:w="169"/>
        <w:gridCol w:w="169"/>
        <w:gridCol w:w="169"/>
        <w:gridCol w:w="312"/>
        <w:gridCol w:w="312"/>
        <w:gridCol w:w="440"/>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Performance Stock Options </w:t>
            </w:r>
          </w:p>
        </w:tc>
        <w:tc>
          <w:tcPr>
            <w:tcW w:w="6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3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1,377 </w:t>
            </w:r>
          </w:p>
        </w:tc>
        <w:tc>
          <w:tcPr>
            <w:tcW w:w="3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256 </w:t>
            </w:r>
          </w:p>
        </w:tc>
        <w:tc>
          <w:tcPr>
            <w:tcW w:w="34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1,377 </w:t>
            </w:r>
          </w:p>
        </w:tc>
        <w:tc>
          <w:tcPr>
            <w:tcW w:w="44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Performance Stock Units </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Restricted Stock Units</w:t>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1,999 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606 </w:t>
            </w:r>
          </w:p>
        </w:tc>
        <w:tc>
          <w:tcPr>
            <w:tcW w:w="3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1,951 </w:t>
            </w:r>
          </w:p>
        </w:tc>
        <w:tc>
          <w:tcPr>
            <w:tcW w:w="3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Stock Options</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2,942 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619 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shares excluded from diluted net income per share</w:t>
            </w:r>
          </w:p>
        </w:tc>
        <w:tc>
          <w:tcPr>
            <w:tcW w:w="678"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5,858 </w:t>
            </w:r>
          </w:p>
        </w:tc>
        <w:tc>
          <w:tcPr>
            <w:tcW w:w="3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3,194 </w:t>
            </w:r>
          </w:p>
        </w:tc>
        <w:tc>
          <w:tcPr>
            <w:tcW w:w="3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3,159 </w:t>
            </w:r>
          </w:p>
        </w:tc>
        <w:tc>
          <w:tcPr>
            <w:tcW w:w="34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2,588 </w:t>
            </w:r>
          </w:p>
        </w:tc>
        <w:tc>
          <w:tcPr>
            <w:tcW w:w="44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2755"/>
                <wp:effectExtent l="0" t="0" r="0" b="0"/>
                <wp:wrapNone/>
                <wp:docPr id="58" name="Frame20"/>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5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2" descr=""/>
                                          <pic:cNvPicPr>
                                            <a:picLocks noChangeAspect="1" noChangeArrowheads="1"/>
                                          </pic:cNvPicPr>
                                        </pic:nvPicPr>
                                        <pic:blipFill>
                                          <a:blip r:embed="rId40"/>
                                          <a:stretch>
                                            <a:fillRect/>
                                          </a:stretch>
                                        </pic:blipFill>
                                        <pic:spPr bwMode="auto">
                                          <a:xfrm>
                                            <a:off x="0" y="0"/>
                                            <a:ext cx="190500" cy="180975"/>
                                          </a:xfrm>
                                          <a:prstGeom prst="rect">
                                            <a:avLst/>
                                          </a:prstGeom>
                                        </pic:spPr>
                                      </pic:pic>
                                    </a:graphicData>
                                  </a:graphic>
                                </wp:inline>
                              </w:drawing>
                            </w:r>
                            <w:bookmarkStart w:id="39" w:name="i-22"/>
                            <w:bookmarkEnd w:id="39"/>
                            <w:r>
                              <w:rPr>
                                <w:color w:val="000000"/>
                              </w:rPr>
                              <w:t xml:space="preserve"> </w:t>
                            </w:r>
                            <w:r>
                              <w:rPr>
                                <w:rFonts w:ascii="Arial Narrow;sans-serif" w:hAnsi="Arial Narrow;sans-serif"/>
                                <w:b w:val="false"/>
                                <w:color w:val="000000"/>
                                <w:sz w:val="20"/>
                              </w:rPr>
                              <w:t>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190500" cy="180975"/>
                                    </a:xfrm>
                                    <a:prstGeom prst="rect">
                                      <a:avLst/>
                                    </a:prstGeom>
                                  </pic:spPr>
                                </pic:pic>
                              </a:graphicData>
                            </a:graphic>
                          </wp:inline>
                        </w:drawing>
                      </w:r>
                      <w:bookmarkStart w:id="40" w:name="i-22"/>
                      <w:bookmarkEnd w:id="40"/>
                      <w:r>
                        <w:rPr>
                          <w:color w:val="000000"/>
                        </w:rPr>
                        <w:t xml:space="preserve"> </w:t>
                      </w:r>
                      <w:r>
                        <w:rPr>
                          <w:rFonts w:ascii="Arial Narrow;sans-serif" w:hAnsi="Arial Narrow;sans-serif"/>
                          <w:b w:val="false"/>
                          <w:color w:val="000000"/>
                          <w:sz w:val="20"/>
                        </w:rPr>
                        <w:t>Form 10-Q | 18</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13.    CONTINGENCIES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including as a result of the matter described below, if any, will not have a material effect on the Company’s condensed consolidated financial statements.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2024, a former team member from one of the Company's two California restaurants filed a class action lawsuit alleging wage and hour violations and unfair competition, as well as claims under the California Private Attorneys General Act (“PAGA”). In November 2025, the parties agreed to settlement terms, subject to court approval. During the quarter ended June 28, 2026, the Company paid $0.05 million toward the settlement. As of June 28, 2026, the related litigation reserve was $0.75 million and was included in accounts payable in the Company's condensed consolidated balance sheet.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2025, plaintiffs filed a wrongful death and survival action in Cook County, Illinois, arising out of a vehicle accident that occurred at a Portillo’s location in Oswego, Illinois. Discovery is expected to continue in the coming months. At this time a loss is reasonably possible but not reasonably estimable; accordingly, no litigation reserve has been recorded in the Company's condensed consolidated balance sheet as of June 28, 2026.</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January 19, 2024, Maverick BJK, LLC ("Maverick"), which owns a 50% interest in C&amp;O, initiated arbitration against the Company. Maverick asserts claims for breach of contract, alleging that the sales of the Company's “Ghost Kitchen” location should have been included in C&amp;O’s financials under the terms of the operating agreement. At this time, a loss is probable and reasonably estimable; accordingly, the Company has recorded a litigation reserve of $1.7 million in accounts payable in the Company's condensed consolidated balance sheet as of June 28, 2026 that is included in other loss (income), net in the condensed consolidated statement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14.    SEGMENT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Company's chief operating decision maker (the "CODM") is its Chief Executive Officer. As the CODM reviews financial performance and allocates resources at a consolidated level on a recurring basis, the Company has one operating segment and one reportable segment.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CODM allocates resources and assesses performance of the Company based on net income, as reported on the condensed consolidated statement of operations, which as the segment measure of profit and loss that is closest to GAAP, is the required segment measure. Net income was $7.2 million and $6.6 million for the quarter and two quarters ended June 28, 2026, respectively, and $10.0 million and $14.0 million for the quarter and two quarters ended June 29, 2025, respectively. In addition to net income, the CODM also reviews revenue, operating income, restaurant-level adjusted EBITDA, and adjusted EBITDA.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CODM reviews these measures (i) to evaluate the Company's operating results and the effectiveness of business strategies, (ii) internally as benchmarks to compare the Company's performance to its competitors and (iii) as factors in evaluating management's performance when determining incentive compensation. Additionally, the Company believes these measures are important to evaluate the performance and profitability of our restaurants, individually and in the aggregate.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CODM does not review segment assets and segment expenses at a level different than what is reported in the Company's condensed consolidated balance sheet and condensed consolidated statement of operations. Additionally, the CODM regularly receives information about the Company's capital expenditures which are reported in the Company's condensed consolidated statement of cash flows as purchase of property and equipment under investing activities.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No guest accounts for 10% or more of our revenues.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NOTE 15.    RELATED PARTY TRANSACTIONS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28, 2026 and December 28, 2025 the related parties’ receivables balance consisted of $0.4 million and $0.3 million, respectively, due from C&amp;O, which is included in accounts and tenant improvement receivables in the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2755"/>
                <wp:effectExtent l="0" t="0" r="0" b="0"/>
                <wp:wrapNone/>
                <wp:docPr id="61" name="Frame21"/>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6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3" descr=""/>
                                          <pic:cNvPicPr>
                                            <a:picLocks noChangeAspect="1" noChangeArrowheads="1"/>
                                          </pic:cNvPicPr>
                                        </pic:nvPicPr>
                                        <pic:blipFill>
                                          <a:blip r:embed="rId42"/>
                                          <a:stretch>
                                            <a:fillRect/>
                                          </a:stretch>
                                        </pic:blipFill>
                                        <pic:spPr bwMode="auto">
                                          <a:xfrm>
                                            <a:off x="0" y="0"/>
                                            <a:ext cx="190500" cy="180975"/>
                                          </a:xfrm>
                                          <a:prstGeom prst="rect">
                                            <a:avLst/>
                                          </a:prstGeom>
                                        </pic:spPr>
                                      </pic:pic>
                                    </a:graphicData>
                                  </a:graphic>
                                </wp:inline>
                              </w:drawing>
                            </w:r>
                            <w:bookmarkStart w:id="41" w:name="i-23"/>
                            <w:bookmarkEnd w:id="41"/>
                            <w:r>
                              <w:rPr>
                                <w:color w:val="000000"/>
                              </w:rPr>
                              <w:t xml:space="preserve"> </w:t>
                            </w:r>
                            <w:r>
                              <w:rPr>
                                <w:rFonts w:ascii="Arial Narrow;sans-serif" w:hAnsi="Arial Narrow;sans-serif"/>
                                <w:b w:val="false"/>
                                <w:color w:val="000000"/>
                                <w:sz w:val="20"/>
                              </w:rPr>
                              <w:t>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190500" cy="180975"/>
                                    </a:xfrm>
                                    <a:prstGeom prst="rect">
                                      <a:avLst/>
                                    </a:prstGeom>
                                  </pic:spPr>
                                </pic:pic>
                              </a:graphicData>
                            </a:graphic>
                          </wp:inline>
                        </w:drawing>
                      </w:r>
                      <w:bookmarkStart w:id="42" w:name="i-23"/>
                      <w:bookmarkEnd w:id="42"/>
                      <w:r>
                        <w:rPr>
                          <w:color w:val="000000"/>
                        </w:rPr>
                        <w:t xml:space="preserve"> </w:t>
                      </w:r>
                      <w:r>
                        <w:rPr>
                          <w:rFonts w:ascii="Arial Narrow;sans-serif" w:hAnsi="Arial Narrow;sans-serif"/>
                          <w:b w:val="false"/>
                          <w:color w:val="000000"/>
                          <w:sz w:val="20"/>
                        </w:rPr>
                        <w:t>Form 10-Q | 19</w:t>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PORTILLO'S INC.</w:t>
      </w:r>
    </w:p>
    <w:p>
      <w:pPr>
        <w:pStyle w:val="TextBody"/>
        <w:bidi w:val="0"/>
        <w:spacing w:lineRule="auto" w:line="288" w:before="0" w:after="0"/>
        <w:jc w:val="left"/>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Olo, Inc.</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Noah Glass, a member of the Company's Board, is the founder and CEO of Olo, Inc. ("Olo"), a platform the Company uses in connection with our mobile ordering application and delivery.</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The Company incurred the following Olo-related costs for th</w:t>
      </w:r>
      <w:r>
        <w:rPr>
          <w:rFonts w:ascii="Arial Narrow;sans-serif" w:hAnsi="Arial Narrow;sans-serif"/>
          <w:b w:val="false"/>
          <w:color w:val="000000"/>
          <w:sz w:val="20"/>
          <w:shd w:fill="FFFFFF" w:val="clear"/>
        </w:rPr>
        <w:t xml:space="preserve">e quarter and </w:t>
      </w:r>
      <w:r>
        <w:rPr>
          <w:rFonts w:ascii="Arial Narrow;sans-serif" w:hAnsi="Arial Narrow;sans-serif"/>
          <w:b w:val="false"/>
          <w:color w:val="000000"/>
          <w:sz w:val="20"/>
        </w:rPr>
        <w:t>two quarters ended</w:t>
      </w:r>
      <w:r>
        <w:rPr>
          <w:color w:val="000000"/>
          <w:shd w:fill="FFFFFF" w:val="clear"/>
        </w:rPr>
        <w:t xml:space="preserve"> </w:t>
      </w:r>
      <w:r>
        <w:rPr>
          <w:rFonts w:ascii="Arial Narrow;sans-serif" w:hAnsi="Arial Narrow;sans-serif"/>
          <w:b w:val="false"/>
          <w:color w:val="000000"/>
          <w:sz w:val="20"/>
        </w:rPr>
        <w:t>June 28, 2026</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June 29, 2025</w:t>
      </w:r>
      <w:r>
        <w:rPr>
          <w:color w:val="000000"/>
          <w:shd w:fill="FFFFFF" w:val="clear"/>
        </w:rPr>
        <w:t xml:space="preserve"> </w:t>
      </w:r>
      <w:r>
        <w:rPr>
          <w:rFonts w:ascii="Arial Narrow;sans-serif" w:hAnsi="Arial Narrow;sans-serif"/>
          <w:b w:val="false"/>
          <w:color w:val="000000"/>
          <w:sz w:val="20"/>
          <w:shd w:fill="FFFFFF" w:val="clear"/>
        </w:rPr>
        <w:t>(in thousands):</w:t>
      </w:r>
    </w:p>
    <w:p>
      <w:pPr>
        <w:pStyle w:val="TextBody"/>
        <w:bidi w:val="0"/>
        <w:spacing w:before="0" w:after="0"/>
        <w:jc w:val="left"/>
        <w:rPr/>
      </w:pPr>
      <w:r>
        <w:rPr/>
      </w:r>
    </w:p>
    <w:tbl>
      <w:tblPr>
        <w:tblW w:w="7535" w:type="dxa"/>
        <w:jc w:val="left"/>
        <w:tblInd w:w="0" w:type="dxa"/>
        <w:tblLayout w:type="fixed"/>
        <w:tblCellMar>
          <w:top w:w="28" w:type="dxa"/>
          <w:left w:w="28" w:type="dxa"/>
          <w:bottom w:w="28" w:type="dxa"/>
          <w:right w:w="28" w:type="dxa"/>
        </w:tblCellMar>
      </w:tblPr>
      <w:tblGrid>
        <w:gridCol w:w="880"/>
        <w:gridCol w:w="773"/>
        <w:gridCol w:w="776"/>
        <w:gridCol w:w="277"/>
        <w:gridCol w:w="576"/>
        <w:gridCol w:w="167"/>
        <w:gridCol w:w="109"/>
        <w:gridCol w:w="109"/>
        <w:gridCol w:w="109"/>
        <w:gridCol w:w="277"/>
        <w:gridCol w:w="576"/>
        <w:gridCol w:w="167"/>
        <w:gridCol w:w="109"/>
        <w:gridCol w:w="109"/>
        <w:gridCol w:w="109"/>
        <w:gridCol w:w="235"/>
        <w:gridCol w:w="644"/>
        <w:gridCol w:w="141"/>
        <w:gridCol w:w="109"/>
        <w:gridCol w:w="109"/>
        <w:gridCol w:w="109"/>
        <w:gridCol w:w="232"/>
        <w:gridCol w:w="636"/>
        <w:gridCol w:w="197"/>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242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Food, beverage and packaging costs</w:t>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479 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497 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1,028 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984 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expenses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Total Olo-related costs</w:t>
            </w:r>
          </w:p>
        </w:tc>
        <w:tc>
          <w:tcPr>
            <w:tcW w:w="27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645 </w:t>
            </w:r>
          </w:p>
        </w:tc>
        <w:tc>
          <w:tcPr>
            <w:tcW w:w="1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639 </w:t>
            </w:r>
          </w:p>
        </w:tc>
        <w:tc>
          <w:tcPr>
            <w:tcW w:w="16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1,346 </w:t>
            </w:r>
          </w:p>
        </w:tc>
        <w:tc>
          <w:tcPr>
            <w:tcW w:w="1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1,277 </w:t>
            </w:r>
          </w:p>
        </w:tc>
        <w:tc>
          <w:tcPr>
            <w:tcW w:w="19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28, 2026 and December 28, 2025, $0.3 million, were payable to Olo and were included in accounts payable in the condensed consolidated balance sheets.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Tax Receivable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party to a TRA with certain members of Portillo's OpCo that provides for the payment by us of 85% of the amount of tax benefits, if any, that Portillo's Inc. actually realizes or in some cases is deemed to realize as a result of certain transactions. During the two quarters ended June 28, 2026 and June 29, 2025, the Company made TRA payments of $7.9 million relating to tax year 2024 and $7.7 million relating to tax year 2023, respectively. We expect a payment of $1.3 million relating to tax year 2025 to be paid within the next 12 months. </w:t>
      </w:r>
    </w:p>
    <w:p>
      <w:pPr>
        <w:pStyle w:val="TextBody"/>
        <w:bidi w:val="0"/>
        <w:spacing w:before="0" w:after="0"/>
        <w:jc w:val="left"/>
        <w:rPr/>
      </w:pPr>
      <w:r>
        <w:rPr/>
      </w:r>
    </w:p>
    <w:tbl>
      <w:tblPr>
        <w:tblW w:w="6316" w:type="dxa"/>
        <w:jc w:val="left"/>
        <w:tblInd w:w="0" w:type="dxa"/>
        <w:tblLayout w:type="fixed"/>
        <w:tblCellMar>
          <w:top w:w="28" w:type="dxa"/>
          <w:left w:w="28" w:type="dxa"/>
          <w:bottom w:w="28" w:type="dxa"/>
          <w:right w:w="28" w:type="dxa"/>
        </w:tblCellMar>
      </w:tblPr>
      <w:tblGrid>
        <w:gridCol w:w="1242"/>
        <w:gridCol w:w="1095"/>
        <w:gridCol w:w="1098"/>
        <w:gridCol w:w="109"/>
        <w:gridCol w:w="235"/>
        <w:gridCol w:w="644"/>
        <w:gridCol w:w="141"/>
        <w:gridCol w:w="109"/>
        <w:gridCol w:w="109"/>
        <w:gridCol w:w="109"/>
        <w:gridCol w:w="310"/>
        <w:gridCol w:w="849"/>
        <w:gridCol w:w="266"/>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28, 2025</w:t>
            </w:r>
          </w:p>
        </w:tc>
      </w:tr>
      <w:tr>
        <w:trPr/>
        <w:tc>
          <w:tcPr>
            <w:tcW w:w="343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Tax Receivable Agreement liability</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9"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7,910 </w:t>
            </w:r>
          </w:p>
        </w:tc>
        <w:tc>
          <w:tcPr>
            <w:tcW w:w="26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w:t>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342,060 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344,524 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Transactions with Non-Controlling Interest Holders</w:t>
      </w:r>
    </w:p>
    <w:tbl>
      <w:tblPr>
        <w:tblW w:w="8419" w:type="dxa"/>
        <w:jc w:val="left"/>
        <w:tblInd w:w="0" w:type="dxa"/>
        <w:tblLayout w:type="fixed"/>
        <w:tblCellMar>
          <w:top w:w="28" w:type="dxa"/>
          <w:left w:w="28" w:type="dxa"/>
          <w:bottom w:w="28" w:type="dxa"/>
          <w:right w:w="28" w:type="dxa"/>
        </w:tblCellMar>
      </w:tblPr>
      <w:tblGrid>
        <w:gridCol w:w="1198"/>
        <w:gridCol w:w="1055"/>
        <w:gridCol w:w="1062"/>
        <w:gridCol w:w="265"/>
        <w:gridCol w:w="595"/>
        <w:gridCol w:w="159"/>
        <w:gridCol w:w="109"/>
        <w:gridCol w:w="109"/>
        <w:gridCol w:w="109"/>
        <w:gridCol w:w="265"/>
        <w:gridCol w:w="595"/>
        <w:gridCol w:w="159"/>
        <w:gridCol w:w="109"/>
        <w:gridCol w:w="109"/>
        <w:gridCol w:w="109"/>
        <w:gridCol w:w="277"/>
        <w:gridCol w:w="576"/>
        <w:gridCol w:w="167"/>
        <w:gridCol w:w="109"/>
        <w:gridCol w:w="109"/>
        <w:gridCol w:w="109"/>
        <w:gridCol w:w="232"/>
        <w:gridCol w:w="636"/>
        <w:gridCol w:w="197"/>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331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Distributions paid to non-controlling interest holders</w:t>
            </w:r>
          </w:p>
        </w:tc>
        <w:tc>
          <w:tcPr>
            <w:tcW w:w="2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376 </w:t>
            </w:r>
          </w:p>
        </w:tc>
        <w:tc>
          <w:tcPr>
            <w:tcW w:w="16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1,291 </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Contributions from non-controlling interest holders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8"/>
        </w:rPr>
      </w:pPr>
      <w:r>
        <w:rPr>
          <w:rFonts w:ascii="Arial Narrow;sans-serif" w:hAnsi="Arial Narrow;sans-serif"/>
          <w:b/>
          <w:color w:val="414042"/>
          <w:sz w:val="28"/>
        </w:rPr>
        <w:t xml:space="preserve">NOTE 16.    SUBSEQUENT EVENTS </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On July 31, 2026, subsequent to the end of the second quarter, Portillo's implemented a reduction in force affecting employees at its corporate headquarters and a limited number of field management roles. No restaurant-level team members were impacted. The reduction in force is estimated to result in approximately $1.1 million in restructuring charges.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On August 4, 2026, the Company announced that Kevin Kalicak, 53, who most recently served as an Officer of Darden Restaurants and Senior Vice President of Finance for Olive Garden, will join the Company and serve as the Company’s Chief Financial Officer and Treasurer (Principal Financial Officer and Principal Accounting Officer), effective September 7, 2026. Mr. Kalicak will succeed Ms. Pamela Smith, who has served as the Company’s Interim Chief Financial Officer since May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2755"/>
                <wp:effectExtent l="0" t="0" r="0" b="0"/>
                <wp:wrapNone/>
                <wp:docPr id="64" name="Frame22"/>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6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4" descr=""/>
                                          <pic:cNvPicPr>
                                            <a:picLocks noChangeAspect="1" noChangeArrowheads="1"/>
                                          </pic:cNvPicPr>
                                        </pic:nvPicPr>
                                        <pic:blipFill>
                                          <a:blip r:embed="rId44"/>
                                          <a:stretch>
                                            <a:fillRect/>
                                          </a:stretch>
                                        </pic:blipFill>
                                        <pic:spPr bwMode="auto">
                                          <a:xfrm>
                                            <a:off x="0" y="0"/>
                                            <a:ext cx="190500" cy="180975"/>
                                          </a:xfrm>
                                          <a:prstGeom prst="rect">
                                            <a:avLst/>
                                          </a:prstGeom>
                                        </pic:spPr>
                                      </pic:pic>
                                    </a:graphicData>
                                  </a:graphic>
                                </wp:inline>
                              </w:drawing>
                            </w:r>
                            <w:bookmarkStart w:id="43" w:name="i-24"/>
                            <w:bookmarkEnd w:id="43"/>
                            <w:r>
                              <w:rPr>
                                <w:color w:val="000000"/>
                              </w:rPr>
                              <w:t xml:space="preserve"> </w:t>
                            </w:r>
                            <w:r>
                              <w:rPr>
                                <w:rFonts w:ascii="Arial Narrow;sans-serif" w:hAnsi="Arial Narrow;sans-serif"/>
                                <w:b w:val="false"/>
                                <w:color w:val="000000"/>
                                <w:sz w:val="20"/>
                              </w:rPr>
                              <w:t>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45"/>
                                    <a:stretch>
                                      <a:fillRect/>
                                    </a:stretch>
                                  </pic:blipFill>
                                  <pic:spPr bwMode="auto">
                                    <a:xfrm>
                                      <a:off x="0" y="0"/>
                                      <a:ext cx="190500" cy="180975"/>
                                    </a:xfrm>
                                    <a:prstGeom prst="rect">
                                      <a:avLst/>
                                    </a:prstGeom>
                                  </pic:spPr>
                                </pic:pic>
                              </a:graphicData>
                            </a:graphic>
                          </wp:inline>
                        </w:drawing>
                      </w:r>
                      <w:bookmarkStart w:id="44" w:name="i-24"/>
                      <w:bookmarkEnd w:id="44"/>
                      <w:r>
                        <w:rPr>
                          <w:color w:val="000000"/>
                        </w:rPr>
                        <w:t xml:space="preserve"> </w:t>
                      </w:r>
                      <w:r>
                        <w:rPr>
                          <w:rFonts w:ascii="Arial Narrow;sans-serif" w:hAnsi="Arial Narrow;sans-serif"/>
                          <w:b w:val="false"/>
                          <w:color w:val="000000"/>
                          <w:sz w:val="20"/>
                        </w:rPr>
                        <w:t>Form 10-Q | 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Item 2. Management's Discussion and Analysis of Financial Condition and Results of Operations.</w:t>
      </w:r>
    </w:p>
    <w:p>
      <w:pPr>
        <w:pStyle w:val="TextBody"/>
        <w:bidi w:val="0"/>
        <w:spacing w:before="0" w:after="0"/>
        <w:jc w:val="center"/>
        <w:rPr/>
      </w:pPr>
      <w:r>
        <w:rPr/>
        <w:drawing>
          <wp:inline distT="0" distB="0" distL="0" distR="0">
            <wp:extent cx="6629400" cy="361950"/>
            <wp:effectExtent l="0" t="0" r="0" b="0"/>
            <wp:docPr id="6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5" descr=""/>
                    <pic:cNvPicPr>
                      <a:picLocks noChangeAspect="1" noChangeArrowheads="1"/>
                    </pic:cNvPicPr>
                  </pic:nvPicPr>
                  <pic:blipFill>
                    <a:blip r:embed="rId46"/>
                    <a:stretch>
                      <a:fillRect/>
                    </a:stretch>
                  </pic:blipFill>
                  <pic:spPr bwMode="auto">
                    <a:xfrm>
                      <a:off x="0" y="0"/>
                      <a:ext cx="6629400" cy="361950"/>
                    </a:xfrm>
                    <a:prstGeom prst="rect">
                      <a:avLst/>
                    </a:prstGeom>
                  </pic:spPr>
                </pic:pic>
              </a:graphicData>
            </a:graphic>
          </wp:inline>
        </w:drawing>
      </w:r>
      <w:bookmarkStart w:id="45" w:name="i-25"/>
      <w:bookmarkEnd w:id="45"/>
    </w:p>
    <w:p>
      <w:pPr>
        <w:pStyle w:val="TextBody"/>
        <w:bidi w:val="0"/>
        <w:spacing w:lineRule="auto" w:line="288" w:before="0" w:after="0"/>
        <w:jc w:val="left"/>
        <w:rPr/>
      </w:pPr>
      <w:r>
        <w:rPr>
          <w:rFonts w:ascii="Arial Narrow;sans-serif" w:hAnsi="Arial Narrow;sans-serif"/>
          <w:b w:val="false"/>
          <w:color w:val="000000"/>
          <w:sz w:val="20"/>
        </w:rPr>
        <w:t xml:space="preserve">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w:t>
      </w:r>
      <w:r>
        <w:rPr>
          <w:rFonts w:ascii="Arial Narrow;sans-serif" w:hAnsi="Arial Narrow;sans-serif"/>
          <w:b w:val="false"/>
          <w:color w:val="000000"/>
          <w:sz w:val="20"/>
          <w:shd w:fill="FFFFFF" w:val="clear"/>
        </w:rPr>
        <w:t xml:space="preserve">heading “Cautionary Statements Concerning Forward-Looking Statements” in this report and under the heading “Risk Factors” in Part I, Item IA of our Annual Report on Form 10-K for the fiscal year ended </w:t>
      </w:r>
      <w:r>
        <w:rPr>
          <w:rFonts w:ascii="Arial Narrow;sans-serif" w:hAnsi="Arial Narrow;sans-serif"/>
          <w:b w:val="false"/>
          <w:color w:val="000000"/>
          <w:sz w:val="20"/>
        </w:rPr>
        <w:t>December 28, 2025</w:t>
      </w:r>
      <w:r>
        <w:rPr>
          <w:color w:val="000000"/>
          <w:shd w:fill="FFFFFF" w:val="clear"/>
        </w:rPr>
        <w:t xml:space="preserve"> </w:t>
      </w:r>
      <w:r>
        <w:rPr>
          <w:rFonts w:ascii="Arial Narrow;sans-serif" w:hAnsi="Arial Narrow;sans-serif"/>
          <w:b w:val="false"/>
          <w:color w:val="000000"/>
          <w:sz w:val="20"/>
          <w:shd w:fill="FFFFFF" w:val="clear"/>
        </w:rPr>
        <w:t xml:space="preserve">and Part II, Item 1A of this Form 10-Q. </w:t>
      </w:r>
      <w:r>
        <w:rPr>
          <w:rFonts w:ascii="Arial Narrow;sans-serif" w:hAnsi="Arial Narrow;sans-serif"/>
          <w:b w:val="false"/>
          <w:color w:val="000000"/>
          <w:sz w:val="20"/>
        </w:rPr>
        <w:t xml:space="preserve">The following discussion should be read in conjunction with our Annual Report on Form 10-K for the fiscal year ended December 28, 2025 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discussion summarizes the significant factors affecting the condensed consolidated operating results, financial condition, liquidity and cash flows of our Company as of and for the periods presented below.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prepared the unaudited condensed consolidated financial statements in accordance with accounting principles generally accepted in the United States of America ("GAAP") for interim financial statements and pursuant to the rules and regulations of the Securities and Exchange Commission (the "SEC").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Overview</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shd w:fill="FFFFFF" w:val="clear"/>
        </w:rPr>
        <w:t xml:space="preserve">Portillo’s serves iconic Chicago street food in high-energy, multichannel restaurants designed to ignite the senses and create memorable dining experiences. Since our founding in 1963 in a small trailer that Dick Portillo called “The Dog House,” we have grown to become a treasured brand with a passionate (some might say obsessed) nationwide following. Our diverse menu features all-American favorites such as Chicago-style hot dogs and sausages, Italian beef sandwiches, char-broiled burgers, fresh chopped salads, crinkle-cut fries, homemade chocolate cake and our signature chocolate cake shake. We create a consumer experience like no other by combining the best attributes of fast-casual and quick-service concepts with an exciting energy-filled atmosphere in a restaurant model capable of generating tremendous volumes. Nearly all of our restaurants were built with double lane drive-thrus and have been thoughtfully designed with a layout that accommodates a variety of access modes including dine-in, carryout, delivery and catering to quickly and efficiently serve our guests. </w:t>
      </w:r>
      <w:r>
        <w:rPr>
          <w:rFonts w:ascii="Arial Narrow;sans-serif" w:hAnsi="Arial Narrow;sans-serif"/>
          <w:b w:val="false"/>
          <w:color w:val="000000"/>
          <w:sz w:val="20"/>
        </w:rPr>
        <w:t>We believe the combination of our craveable food, multichannel sales model, dedication to operational excellence, and distinctive team member-driven culture gives us a competitive advantage.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28, 2026, we owned and operated 109 Portillo’s restaurants across 11 states, including a restaurant owned by C&amp;O Chicago, L.L.C. ("C&amp;O") of which Portillo’s owns 50% of the equity.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2755"/>
                <wp:effectExtent l="0" t="0" r="0" b="0"/>
                <wp:wrapNone/>
                <wp:docPr id="68" name="Frame23"/>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6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6" descr=""/>
                                          <pic:cNvPicPr>
                                            <a:picLocks noChangeAspect="1" noChangeArrowheads="1"/>
                                          </pic:cNvPicPr>
                                        </pic:nvPicPr>
                                        <pic:blipFill>
                                          <a:blip r:embed="rId47"/>
                                          <a:stretch>
                                            <a:fillRect/>
                                          </a:stretch>
                                        </pic:blipFill>
                                        <pic:spPr bwMode="auto">
                                          <a:xfrm>
                                            <a:off x="0" y="0"/>
                                            <a:ext cx="190500" cy="180975"/>
                                          </a:xfrm>
                                          <a:prstGeom prst="rect">
                                            <a:avLst/>
                                          </a:prstGeom>
                                        </pic:spPr>
                                      </pic:pic>
                                    </a:graphicData>
                                  </a:graphic>
                                </wp:inline>
                              </w:drawing>
                            </w:r>
                            <w:bookmarkStart w:id="46" w:name="i-26"/>
                            <w:bookmarkEnd w:id="46"/>
                            <w:r>
                              <w:rPr>
                                <w:color w:val="000000"/>
                              </w:rPr>
                              <w:t xml:space="preserve"> </w:t>
                            </w:r>
                            <w:r>
                              <w:rPr>
                                <w:rFonts w:ascii="Arial Narrow;sans-serif" w:hAnsi="Arial Narrow;sans-serif"/>
                                <w:b w:val="false"/>
                                <w:color w:val="000000"/>
                                <w:sz w:val="20"/>
                              </w:rPr>
                              <w:t>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6" descr=""/>
                                    <pic:cNvPicPr>
                                      <a:picLocks noChangeAspect="1" noChangeArrowheads="1"/>
                                    </pic:cNvPicPr>
                                  </pic:nvPicPr>
                                  <pic:blipFill>
                                    <a:blip r:embed="rId48"/>
                                    <a:stretch>
                                      <a:fillRect/>
                                    </a:stretch>
                                  </pic:blipFill>
                                  <pic:spPr bwMode="auto">
                                    <a:xfrm>
                                      <a:off x="0" y="0"/>
                                      <a:ext cx="190500" cy="180975"/>
                                    </a:xfrm>
                                    <a:prstGeom prst="rect">
                                      <a:avLst/>
                                    </a:prstGeom>
                                  </pic:spPr>
                                </pic:pic>
                              </a:graphicData>
                            </a:graphic>
                          </wp:inline>
                        </w:drawing>
                      </w:r>
                      <w:bookmarkStart w:id="47" w:name="i-26"/>
                      <w:bookmarkEnd w:id="47"/>
                      <w:r>
                        <w:rPr>
                          <w:color w:val="000000"/>
                        </w:rPr>
                        <w:t xml:space="preserve"> </w:t>
                      </w:r>
                      <w:r>
                        <w:rPr>
                          <w:rFonts w:ascii="Arial Narrow;sans-serif" w:hAnsi="Arial Narrow;sans-serif"/>
                          <w:b w:val="false"/>
                          <w:color w:val="000000"/>
                          <w:sz w:val="20"/>
                        </w:rPr>
                        <w:t>Form 10-Q | 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Financial Highlights for the Quarter Ended June 28, 2026 vs. Quarter Ended June 29,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Total revenue of $199.0 million, an increase of 5.6% or $10.5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Same-restaurant sales decrease of 1.2%</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Operating income of $13.8 million, a decrease of $3.8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Net income of $7.2 million, a decrease of $2.9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Restaurant-Level Adjusted EBITDA* of $43.2 million, a decrease of $1.2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Adjusted EBITDA* of $29.8 million, a decrease of $0.2 million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Financial Highlights for the Two Quarters Ended June 28, 2026 vs. Two Quarters Ended June 29,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Total revenue of $381.6 million, an increase of 4.6% or $16.7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Same-restaurant sales decrease of 0.7%</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Operating income of $18.3 million, a decrease of $9.6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Net income of $6.6 million, a decrease of $7.4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Restaurant-Level Adjusted EBITDA* of $78.1 million, a decrease of $3.0 million</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Adjusted EBITDA* of $48.3 million, a decrease of $3.0 million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Restaurant-Level Adjusted EBITDA and Adjusted EBITDA are non-GAAP measures. Definitions and reconciliations of Adjusted EBITDA to net income and Restaurant-Level Adjusted EBITDA to operating income, the most directly comparable financial measures presented in accordance with GAAP, are set forth under the section "Key Performance Indicators and Non-GAAP Financial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Recent Developments and Trends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second quarter of 2026, Michelle Hook departed from her role as Chief Financial Officer, effective May 5, 2026. The Board of Directors engaged a leading executive search firm to assist in the identification and recruitment of a permanent Chief Financial Officer. The Company appointed Pamela Smith to serve as Interim Chief Financial Officer, effective May 20, 2026. On August 4, 2026, the Company announced that Kevin Kalicak, 53, who most recently served as an Officer of Darden Restaurants and Senior Vice President of Finance for Olive Garden, will join the Company and serve as the Company’s Chief Financial Officer and Treasurer (Principal Financial Officer and Principal Accounting Officer), effective September 7, 2026.</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From a development perspective, the Company opened its first airport location in Dallas-Fort Worth International Airport (DFW) during the quarter, utilizing a smaller-format kitchen and equipment enhancements. The Company also announced plans to expand within its home market of Chicago, including the opening of its first in-line restaurant in downtown Chicago later in 2026 and its first Wrigleyville location in 2027.</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addition, the Company commenced a project-based spend optimization initiative. Also, our previously announced assessment of our brand strategy and market positioning remains ongoing. The Company expects the results of these initiatives to help inform future operational and investment decisions. Subsequent to the quarter-end, the Company implemented a reduction in force affecting employees at its corporate headquarters and a limited number of field management roles. See "Restructuring Plan" in Part II Item 5. Other Information.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the quarter and two quarters ended June 28, 2026, total revenue grew 5.6% or $10.5 million and 4.6% or $16.7 million, respectively, primarily due to new restaurant openings in 2025 and 2026, partially offset by a decline in same-restaurant sales. Same-restaurant sales declined 1.2% during the quarter ended June 28, 2026, compared to a 0.7% increase during the quarter ended June 29, 2025. Same-restaurant sales declined 0.7% during the two quarters ended June 28, 2026, compared to a 1.2% increase during the two quarters ended June 29, 2025. Refer to "Selected Operating Data" section below for definition of Same-Restaurant Sales.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the quarter and two quarters ended June 28, 2026, commodity inflation was 7.0% and 4.5%, respectively, compared to 1.9% and 2.6% for the quarter and two quarters ended June 29, 2025. Labor, as a percentage of revenue, net, remained flat and increased 0.2% during the quarter and two quarters ended June 28, 2026, respectively, compared to the quarter and two quarters ended June 29, 2025. The increase in labor as a percentage of revenue for the two quarters ended June 28, 2026 was primarily driven by revenue deleverage from new restaurants and incremental wage rate increases, partially offset by labor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2755"/>
                <wp:effectExtent l="0" t="0" r="0" b="0"/>
                <wp:wrapNone/>
                <wp:docPr id="71" name="Frame2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49"/>
                                          <a:stretch>
                                            <a:fillRect/>
                                          </a:stretch>
                                        </pic:blipFill>
                                        <pic:spPr bwMode="auto">
                                          <a:xfrm>
                                            <a:off x="0" y="0"/>
                                            <a:ext cx="190500" cy="180975"/>
                                          </a:xfrm>
                                          <a:prstGeom prst="rect">
                                            <a:avLst/>
                                          </a:prstGeom>
                                        </pic:spPr>
                                      </pic:pic>
                                    </a:graphicData>
                                  </a:graphic>
                                </wp:inline>
                              </w:drawing>
                            </w:r>
                            <w:bookmarkStart w:id="48" w:name="i-27"/>
                            <w:bookmarkEnd w:id="48"/>
                            <w:r>
                              <w:rPr>
                                <w:color w:val="000000"/>
                              </w:rPr>
                              <w:t xml:space="preserve"> </w:t>
                            </w:r>
                            <w:r>
                              <w:rPr>
                                <w:rFonts w:ascii="Arial Narrow;sans-serif" w:hAnsi="Arial Narrow;sans-serif"/>
                                <w:b w:val="false"/>
                                <w:color w:val="000000"/>
                                <w:sz w:val="20"/>
                              </w:rPr>
                              <w:t>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7" descr=""/>
                                    <pic:cNvPicPr>
                                      <a:picLocks noChangeAspect="1" noChangeArrowheads="1"/>
                                    </pic:cNvPicPr>
                                  </pic:nvPicPr>
                                  <pic:blipFill>
                                    <a:blip r:embed="rId50"/>
                                    <a:stretch>
                                      <a:fillRect/>
                                    </a:stretch>
                                  </pic:blipFill>
                                  <pic:spPr bwMode="auto">
                                    <a:xfrm>
                                      <a:off x="0" y="0"/>
                                      <a:ext cx="190500" cy="180975"/>
                                    </a:xfrm>
                                    <a:prstGeom prst="rect">
                                      <a:avLst/>
                                    </a:prstGeom>
                                  </pic:spPr>
                                </pic:pic>
                              </a:graphicData>
                            </a:graphic>
                          </wp:inline>
                        </w:drawing>
                      </w:r>
                      <w:bookmarkStart w:id="49" w:name="i-27"/>
                      <w:bookmarkEnd w:id="49"/>
                      <w:r>
                        <w:rPr>
                          <w:color w:val="000000"/>
                        </w:rPr>
                        <w:t xml:space="preserve"> </w:t>
                      </w:r>
                      <w:r>
                        <w:rPr>
                          <w:rFonts w:ascii="Arial Narrow;sans-serif" w:hAnsi="Arial Narrow;sans-serif"/>
                          <w:b w:val="false"/>
                          <w:color w:val="000000"/>
                          <w:sz w:val="20"/>
                        </w:rPr>
                        <w:t>Form 10-Q | 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Development Highlights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quarter ended June 28, 2026, we opened three restaurants for a total of 109 restaurants, including a restaurant owned by C&amp;O, of which Portillo’s owns 50% of the equity. We plan to open one additional restaurant in the fourth quarter of 2026, which will be our second in-line location and will be located in Chicago, Illinois.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Below are the restaurants opened thus far in fiscal 2026:</w:t>
      </w:r>
    </w:p>
    <w:p>
      <w:pPr>
        <w:pStyle w:val="TextBody"/>
        <w:bidi w:val="0"/>
        <w:spacing w:before="0" w:after="0"/>
        <w:jc w:val="left"/>
        <w:rPr/>
      </w:pPr>
      <w:r>
        <w:rPr/>
      </w:r>
    </w:p>
    <w:tbl>
      <w:tblPr>
        <w:tblW w:w="5398" w:type="dxa"/>
        <w:jc w:val="left"/>
        <w:tblInd w:w="0" w:type="dxa"/>
        <w:tblLayout w:type="fixed"/>
        <w:tblCellMar>
          <w:top w:w="28" w:type="dxa"/>
          <w:left w:w="28" w:type="dxa"/>
          <w:bottom w:w="28" w:type="dxa"/>
          <w:right w:w="28" w:type="dxa"/>
        </w:tblCellMar>
      </w:tblPr>
      <w:tblGrid>
        <w:gridCol w:w="906"/>
        <w:gridCol w:w="796"/>
        <w:gridCol w:w="802"/>
        <w:gridCol w:w="394"/>
        <w:gridCol w:w="394"/>
        <w:gridCol w:w="396"/>
        <w:gridCol w:w="500"/>
        <w:gridCol w:w="500"/>
        <w:gridCol w:w="710"/>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Location</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Opening Month</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color w:val="000000"/>
                <w:sz w:val="18"/>
              </w:rPr>
            </w:pPr>
            <w:r>
              <w:rPr>
                <w:rFonts w:ascii="Arial Narrow;sans-serif" w:hAnsi="Arial Narrow;sans-serif"/>
                <w:b/>
                <w:color w:val="000000"/>
                <w:sz w:val="18"/>
              </w:rPr>
              <w:t>Fiscal Quarter Opened</w:t>
            </w:r>
          </w:p>
        </w:tc>
      </w:tr>
      <w:tr>
        <w:trPr/>
        <w:tc>
          <w:tcPr>
            <w:tcW w:w="250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Fort Worth, Texas</w:t>
            </w:r>
          </w:p>
        </w:tc>
        <w:tc>
          <w:tcPr>
            <w:tcW w:w="118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January 2026</w:t>
            </w:r>
          </w:p>
        </w:tc>
        <w:tc>
          <w:tcPr>
            <w:tcW w:w="171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Humble, Texas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February 2026</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Dallas, Texas </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2026</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El Paso, Texas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2026</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Q1 2026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Frisco, Texas</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April 2026</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Q2 2026</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Schertz, Texas</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May 2026</w:t>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Q2 2026</w:t>
            </w:r>
          </w:p>
        </w:tc>
      </w:tr>
      <w:tr>
        <w:trPr/>
        <w:tc>
          <w:tcPr>
            <w:tcW w:w="250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Dallas-Fort Worth International Airport</w:t>
            </w:r>
          </w:p>
        </w:tc>
        <w:tc>
          <w:tcPr>
            <w:tcW w:w="118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May 2026</w:t>
            </w:r>
          </w:p>
        </w:tc>
        <w:tc>
          <w:tcPr>
            <w:tcW w:w="171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Q2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2755"/>
                <wp:effectExtent l="0" t="0" r="0" b="0"/>
                <wp:wrapNone/>
                <wp:docPr id="74" name="Frame2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51"/>
                                          <a:stretch>
                                            <a:fillRect/>
                                          </a:stretch>
                                        </pic:blipFill>
                                        <pic:spPr bwMode="auto">
                                          <a:xfrm>
                                            <a:off x="0" y="0"/>
                                            <a:ext cx="190500" cy="180975"/>
                                          </a:xfrm>
                                          <a:prstGeom prst="rect">
                                            <a:avLst/>
                                          </a:prstGeom>
                                        </pic:spPr>
                                      </pic:pic>
                                    </a:graphicData>
                                  </a:graphic>
                                </wp:inline>
                              </w:drawing>
                            </w:r>
                            <w:bookmarkStart w:id="50" w:name="i-28"/>
                            <w:bookmarkEnd w:id="50"/>
                            <w:r>
                              <w:rPr>
                                <w:color w:val="000000"/>
                              </w:rPr>
                              <w:t xml:space="preserve"> </w:t>
                            </w:r>
                            <w:r>
                              <w:rPr>
                                <w:rFonts w:ascii="Arial Narrow;sans-serif" w:hAnsi="Arial Narrow;sans-serif"/>
                                <w:b w:val="false"/>
                                <w:color w:val="000000"/>
                                <w:sz w:val="20"/>
                              </w:rPr>
                              <w:t>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8" descr=""/>
                                    <pic:cNvPicPr>
                                      <a:picLocks noChangeAspect="1" noChangeArrowheads="1"/>
                                    </pic:cNvPicPr>
                                  </pic:nvPicPr>
                                  <pic:blipFill>
                                    <a:blip r:embed="rId52"/>
                                    <a:stretch>
                                      <a:fillRect/>
                                    </a:stretch>
                                  </pic:blipFill>
                                  <pic:spPr bwMode="auto">
                                    <a:xfrm>
                                      <a:off x="0" y="0"/>
                                      <a:ext cx="190500" cy="180975"/>
                                    </a:xfrm>
                                    <a:prstGeom prst="rect">
                                      <a:avLst/>
                                    </a:prstGeom>
                                  </pic:spPr>
                                </pic:pic>
                              </a:graphicData>
                            </a:graphic>
                          </wp:inline>
                        </w:drawing>
                      </w:r>
                      <w:bookmarkStart w:id="51" w:name="i-28"/>
                      <w:bookmarkEnd w:id="51"/>
                      <w:r>
                        <w:rPr>
                          <w:color w:val="000000"/>
                        </w:rPr>
                        <w:t xml:space="preserve"> </w:t>
                      </w:r>
                      <w:r>
                        <w:rPr>
                          <w:rFonts w:ascii="Arial Narrow;sans-serif" w:hAnsi="Arial Narrow;sans-serif"/>
                          <w:b w:val="false"/>
                          <w:color w:val="000000"/>
                          <w:sz w:val="20"/>
                        </w:rPr>
                        <w:t>Form 10-Q | 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Consolidated Results of Operations</w:t>
      </w:r>
    </w:p>
    <w:p>
      <w:pPr>
        <w:pStyle w:val="TextBody"/>
        <w:bidi w:val="0"/>
        <w:spacing w:before="0" w:after="0"/>
        <w:jc w:val="left"/>
        <w:rPr/>
      </w:pPr>
      <w:r>
        <w:rPr/>
      </w:r>
    </w:p>
    <w:p>
      <w:pPr>
        <w:pStyle w:val="TextBody"/>
        <w:bidi w:val="0"/>
        <w:spacing w:lineRule="auto" w:line="288" w:before="0" w:after="198"/>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our results of operations for the quarter and two quarters ended June 28, 2026 and June 29, 2025 (in thousands):</w:t>
      </w:r>
    </w:p>
    <w:tbl>
      <w:tblPr>
        <w:tblW w:w="10287" w:type="dxa"/>
        <w:jc w:val="left"/>
        <w:tblInd w:w="0" w:type="dxa"/>
        <w:tblLayout w:type="fixed"/>
        <w:tblCellMar>
          <w:top w:w="28" w:type="dxa"/>
          <w:left w:w="28" w:type="dxa"/>
          <w:bottom w:w="28" w:type="dxa"/>
          <w:right w:w="28" w:type="dxa"/>
        </w:tblCellMar>
      </w:tblPr>
      <w:tblGrid>
        <w:gridCol w:w="619"/>
        <w:gridCol w:w="320"/>
        <w:gridCol w:w="322"/>
        <w:gridCol w:w="181"/>
        <w:gridCol w:w="646"/>
        <w:gridCol w:w="109"/>
        <w:gridCol w:w="109"/>
        <w:gridCol w:w="109"/>
        <w:gridCol w:w="109"/>
        <w:gridCol w:w="248"/>
        <w:gridCol w:w="248"/>
        <w:gridCol w:w="241"/>
        <w:gridCol w:w="109"/>
        <w:gridCol w:w="109"/>
        <w:gridCol w:w="109"/>
        <w:gridCol w:w="181"/>
        <w:gridCol w:w="646"/>
        <w:gridCol w:w="109"/>
        <w:gridCol w:w="109"/>
        <w:gridCol w:w="109"/>
        <w:gridCol w:w="109"/>
        <w:gridCol w:w="248"/>
        <w:gridCol w:w="248"/>
        <w:gridCol w:w="241"/>
        <w:gridCol w:w="109"/>
        <w:gridCol w:w="109"/>
        <w:gridCol w:w="109"/>
        <w:gridCol w:w="181"/>
        <w:gridCol w:w="646"/>
        <w:gridCol w:w="109"/>
        <w:gridCol w:w="109"/>
        <w:gridCol w:w="109"/>
        <w:gridCol w:w="109"/>
        <w:gridCol w:w="248"/>
        <w:gridCol w:w="248"/>
        <w:gridCol w:w="241"/>
        <w:gridCol w:w="109"/>
        <w:gridCol w:w="109"/>
        <w:gridCol w:w="109"/>
        <w:gridCol w:w="181"/>
        <w:gridCol w:w="646"/>
        <w:gridCol w:w="109"/>
        <w:gridCol w:w="109"/>
        <w:gridCol w:w="109"/>
        <w:gridCol w:w="109"/>
        <w:gridCol w:w="248"/>
        <w:gridCol w:w="248"/>
        <w:gridCol w:w="286"/>
      </w:tblGrid>
      <w:tr>
        <w:trPr/>
        <w:tc>
          <w:tcPr>
            <w:tcW w:w="6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 NET</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198,954 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188,456 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381,577 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364,893 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COST AND EXPENSES:</w:t>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Restaurant 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Food, beverage and packaging costs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69,580 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35.0 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63,750 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33.8 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132,865 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34.8 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124,852 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2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9,966 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2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11.6 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restaurant operating expenses</w:t>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155,707 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143,975 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76.4 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303,486 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283,756 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77.8 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10.5 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0.5 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2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INCOME</w:t>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27,912 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INCOME BEFORE INCOME TAXES</w:t>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8,924 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8,251 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19,072 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w:t>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7,155 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261" w:type="dxa"/>
            <w:gridSpan w:val="3"/>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INCOME ATTRIBUTABLE TO PORTILLO'S INC.</w:t>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6,944 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8,704 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2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6,542 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12,017 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8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0" w:after="198"/>
        <w:jc w:val="left"/>
        <w:rPr>
          <w:rFonts w:ascii="Arial Narrow;sans-serif" w:hAnsi="Arial Narrow;sans-serif"/>
          <w:b/>
          <w:color w:val="D22630"/>
          <w:sz w:val="22"/>
        </w:rPr>
      </w:pPr>
      <w:r>
        <w:rPr>
          <w:rFonts w:ascii="Arial Narrow;sans-serif" w:hAnsi="Arial Narrow;sans-serif"/>
          <w:b/>
          <w:color w:val="D22630"/>
          <w:sz w:val="22"/>
        </w:rPr>
        <w:t>Revenues, Net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primarily represent the aggregate sales of food and beverages, net of discounts. Sales taxes collected from customers are excluded from revenues. Revenues in any period are directly influenced by, among other factors, the number of operating weeks in the period, the number of open restaurants, restaurant traffic, our menu prices, third-party delivery platform prices and product mix.</w:t>
      </w:r>
    </w:p>
    <w:p>
      <w:pPr>
        <w:pStyle w:val="TextBody"/>
        <w:bidi w:val="0"/>
        <w:spacing w:before="0" w:after="0"/>
        <w:jc w:val="left"/>
        <w:rPr/>
      </w:pPr>
      <w:r>
        <w:rPr/>
      </w:r>
    </w:p>
    <w:p>
      <w:pPr>
        <w:pStyle w:val="TextBody"/>
        <w:bidi w:val="0"/>
        <w:spacing w:lineRule="auto" w:line="288" w:before="0" w:after="198"/>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for the quarter ended June 28, 2026 were $199.0 million compared to $188.5 million for the quarter ended June 29, 2025, an increase of $10.5 million or 5.6%. The increase in revenues was primarily attributed to the opening of eight restaurants in fiscal 2025 and seven restaurants during the two quarters ended June 28, 2026, partially offset by a decrease in our same-restaurant sales. Restaurants not in our Comparable Restaurant Base (as defined in "Selected Operating Data" below) contributed $13.3 million of the total year-over-year increase. Same-restaurant sales decreased 1.2%, or $2.2 million in the quarter. The same-restaurant sales decline was attributable to a decrease in transactions of 3.4%, partially offset by an increase in average check of 2.2%. The higher average check was driven by an approximate 2.6% increase in certain menu prices, partially offset by a 0.4% decrease in product mix. We increased select menu prices by approximately 2.0% in April 2026. For the purpose of calculating same-restaurant sales for the quarter ended June 28, 2026, sales for 85 restaurants that were open for at least 24 full fiscal periods were included in the Comparable Restaurant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2755"/>
                <wp:effectExtent l="0" t="0" r="0" b="0"/>
                <wp:wrapNone/>
                <wp:docPr id="77" name="Frame26"/>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53"/>
                                          <a:stretch>
                                            <a:fillRect/>
                                          </a:stretch>
                                        </pic:blipFill>
                                        <pic:spPr bwMode="auto">
                                          <a:xfrm>
                                            <a:off x="0" y="0"/>
                                            <a:ext cx="190500" cy="180975"/>
                                          </a:xfrm>
                                          <a:prstGeom prst="rect">
                                            <a:avLst/>
                                          </a:prstGeom>
                                        </pic:spPr>
                                      </pic:pic>
                                    </a:graphicData>
                                  </a:graphic>
                                </wp:inline>
                              </w:drawing>
                            </w:r>
                            <w:bookmarkStart w:id="52" w:name="i-29"/>
                            <w:bookmarkEnd w:id="52"/>
                            <w:r>
                              <w:rPr>
                                <w:color w:val="000000"/>
                              </w:rPr>
                              <w:t xml:space="preserve"> </w:t>
                            </w:r>
                            <w:r>
                              <w:rPr>
                                <w:rFonts w:ascii="Arial Narrow;sans-serif" w:hAnsi="Arial Narrow;sans-serif"/>
                                <w:b w:val="false"/>
                                <w:color w:val="000000"/>
                                <w:sz w:val="20"/>
                              </w:rPr>
                              <w:t>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7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9" descr=""/>
                                    <pic:cNvPicPr>
                                      <a:picLocks noChangeAspect="1" noChangeArrowheads="1"/>
                                    </pic:cNvPicPr>
                                  </pic:nvPicPr>
                                  <pic:blipFill>
                                    <a:blip r:embed="rId54"/>
                                    <a:stretch>
                                      <a:fillRect/>
                                    </a:stretch>
                                  </pic:blipFill>
                                  <pic:spPr bwMode="auto">
                                    <a:xfrm>
                                      <a:off x="0" y="0"/>
                                      <a:ext cx="190500" cy="180975"/>
                                    </a:xfrm>
                                    <a:prstGeom prst="rect">
                                      <a:avLst/>
                                    </a:prstGeom>
                                  </pic:spPr>
                                </pic:pic>
                              </a:graphicData>
                            </a:graphic>
                          </wp:inline>
                        </w:drawing>
                      </w:r>
                      <w:bookmarkStart w:id="53" w:name="i-29"/>
                      <w:bookmarkEnd w:id="53"/>
                      <w:r>
                        <w:rPr>
                          <w:color w:val="000000"/>
                        </w:rPr>
                        <w:t xml:space="preserve"> </w:t>
                      </w:r>
                      <w:r>
                        <w:rPr>
                          <w:rFonts w:ascii="Arial Narrow;sans-serif" w:hAnsi="Arial Narrow;sans-serif"/>
                          <w:b w:val="false"/>
                          <w:color w:val="000000"/>
                          <w:sz w:val="20"/>
                        </w:rPr>
                        <w:t>Form 10-Q | 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the Company's revenue for the quarter ended June 28, 2026 and June 29, 2025 (in thousands):</w:t>
      </w:r>
    </w:p>
    <w:tbl>
      <w:tblPr>
        <w:tblW w:w="10205" w:type="dxa"/>
        <w:jc w:val="left"/>
        <w:tblInd w:w="0" w:type="dxa"/>
        <w:tblLayout w:type="fixed"/>
        <w:tblCellMar>
          <w:top w:w="28" w:type="dxa"/>
          <w:left w:w="28" w:type="dxa"/>
          <w:bottom w:w="28" w:type="dxa"/>
          <w:right w:w="28" w:type="dxa"/>
        </w:tblCellMar>
      </w:tblPr>
      <w:tblGrid>
        <w:gridCol w:w="1721"/>
        <w:gridCol w:w="1514"/>
        <w:gridCol w:w="1517"/>
        <w:gridCol w:w="195"/>
        <w:gridCol w:w="698"/>
        <w:gridCol w:w="117"/>
        <w:gridCol w:w="109"/>
        <w:gridCol w:w="109"/>
        <w:gridCol w:w="109"/>
        <w:gridCol w:w="195"/>
        <w:gridCol w:w="698"/>
        <w:gridCol w:w="117"/>
        <w:gridCol w:w="109"/>
        <w:gridCol w:w="109"/>
        <w:gridCol w:w="109"/>
        <w:gridCol w:w="181"/>
        <w:gridCol w:w="571"/>
        <w:gridCol w:w="109"/>
        <w:gridCol w:w="109"/>
        <w:gridCol w:w="109"/>
        <w:gridCol w:w="109"/>
        <w:gridCol w:w="229"/>
        <w:gridCol w:w="230"/>
        <w:gridCol w:w="427"/>
        <w:gridCol w:w="109"/>
        <w:gridCol w:w="109"/>
        <w:gridCol w:w="109"/>
        <w:gridCol w:w="109"/>
        <w:gridCol w:w="109"/>
        <w:gridCol w:w="160"/>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Same-restaurant sales (85 restaurants)</w:t>
            </w:r>
            <w:r>
              <w:rPr>
                <w:color w:val="000000"/>
              </w:rPr>
              <w:t xml:space="preserve"> </w:t>
            </w:r>
            <w:r>
              <w:rPr>
                <w:rFonts w:ascii="Arial Narrow;sans-serif" w:hAnsi="Arial Narrow;sans-serif"/>
                <w:b w:val="false"/>
                <w:color w:val="000000"/>
                <w:sz w:val="12"/>
              </w:rPr>
              <w:t>(1)</w:t>
            </w:r>
          </w:p>
        </w:tc>
        <w:tc>
          <w:tcPr>
            <w:tcW w:w="1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175,408 </w:t>
            </w:r>
          </w:p>
        </w:tc>
        <w:tc>
          <w:tcPr>
            <w:tcW w:w="11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177,603 </w:t>
            </w:r>
          </w:p>
        </w:tc>
        <w:tc>
          <w:tcPr>
            <w:tcW w:w="11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(2,195)</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42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Restaurants not yet in comparable base opened in fiscal 2026 (7 restaurants) </w:t>
            </w:r>
            <w:r>
              <w:rPr>
                <w:rFonts w:ascii="Arial Narrow;sans-serif" w:hAnsi="Arial Narrow;sans-serif"/>
                <w:b w:val="false"/>
                <w:color w:val="000000"/>
                <w:sz w:val="12"/>
              </w:rPr>
              <w:t>(1)</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Restaurants not yet in comparable base opened in fiscal 2025 (8 restaurants) </w:t>
            </w:r>
            <w:r>
              <w:rPr>
                <w:rFonts w:ascii="Arial Narrow;sans-serif" w:hAnsi="Arial Narrow;sans-serif"/>
                <w:b w:val="false"/>
                <w:color w:val="000000"/>
                <w:sz w:val="12"/>
              </w:rPr>
              <w:t>(1)</w:t>
            </w:r>
          </w:p>
        </w:tc>
        <w:tc>
          <w:tcPr>
            <w:tcW w:w="8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8,688 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8,688 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Restaurants not yet in comparable base opened in fiscal 2024 (8 restaurants) </w:t>
            </w:r>
            <w:r>
              <w:rPr>
                <w:rFonts w:ascii="Arial Narrow;sans-serif" w:hAnsi="Arial Narrow;sans-serif"/>
                <w:b w:val="false"/>
                <w:color w:val="000000"/>
                <w:sz w:val="12"/>
              </w:rPr>
              <w:t>(1)</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Other </w:t>
            </w:r>
            <w:r>
              <w:rPr>
                <w:rFonts w:ascii="Arial Narrow;sans-serif" w:hAnsi="Arial Narrow;sans-serif"/>
                <w:b w:val="false"/>
                <w:color w:val="000000"/>
                <w:sz w:val="12"/>
              </w:rPr>
              <w:t>(2)</w:t>
            </w:r>
          </w:p>
        </w:tc>
        <w:tc>
          <w:tcPr>
            <w:tcW w:w="8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2,137 </w:t>
            </w:r>
          </w:p>
        </w:tc>
        <w:tc>
          <w:tcPr>
            <w:tcW w:w="1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(28.1)</w:t>
            </w:r>
          </w:p>
        </w:tc>
        <w:tc>
          <w:tcPr>
            <w:tcW w:w="42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 net</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198,954 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188,456 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2"/>
        </w:rPr>
        <w:t>(1)</w:t>
      </w:r>
      <w:r>
        <w:rPr>
          <w:color w:val="000000"/>
        </w:rPr>
        <w:t xml:space="preserve"> </w:t>
      </w:r>
      <w:r>
        <w:rPr>
          <w:rFonts w:ascii="Arial Narrow;sans-serif" w:hAnsi="Arial Narrow;sans-serif"/>
          <w:b w:val="false"/>
          <w:color w:val="000000"/>
          <w:sz w:val="18"/>
        </w:rPr>
        <w:t>Total restaurants indicated are as of June 28, 2026. Excludes a restaurant that is owned by C&amp;O of which Portillo’s owns 50% of the equity.</w:t>
      </w:r>
    </w:p>
    <w:p>
      <w:pPr>
        <w:pStyle w:val="TextBody"/>
        <w:bidi w:val="0"/>
        <w:spacing w:lineRule="auto" w:line="288" w:before="0" w:after="0"/>
        <w:jc w:val="left"/>
        <w:rPr/>
      </w:pPr>
      <w:r>
        <w:rPr>
          <w:rFonts w:ascii="Arial Narrow;sans-serif" w:hAnsi="Arial Narrow;sans-serif"/>
          <w:b w:val="false"/>
          <w:color w:val="000000"/>
          <w:sz w:val="12"/>
        </w:rPr>
        <w:t>(2)</w:t>
      </w:r>
      <w:r>
        <w:rPr>
          <w:color w:val="000000"/>
        </w:rPr>
        <w:t xml:space="preserve"> </w:t>
      </w:r>
      <w:r>
        <w:rPr>
          <w:rFonts w:ascii="Arial Narrow;sans-serif" w:hAnsi="Arial Narrow;sans-serif"/>
          <w:b w:val="false"/>
          <w:color w:val="000000"/>
          <w:sz w:val="18"/>
        </w:rPr>
        <w:t>Includes revenue from direct shipping sales and non-traditional locations.</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*nm - not meaningful</w:t>
      </w:r>
    </w:p>
    <w:p>
      <w:pPr>
        <w:pStyle w:val="TextBody"/>
        <w:bidi w:val="0"/>
        <w:spacing w:before="0" w:after="0"/>
        <w:jc w:val="left"/>
        <w:rPr/>
      </w:pPr>
      <w:r>
        <w:rPr/>
      </w:r>
    </w:p>
    <w:p>
      <w:pPr>
        <w:pStyle w:val="TextBody"/>
        <w:bidi w:val="0"/>
        <w:spacing w:lineRule="auto" w:line="288" w:before="0" w:after="198"/>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for the two quarters ended June 28, 2026 were $381.6 million compared to $364.9 million for the two quarters ended June 29, 2025, an increase of $16.7 million or 4.6%. The increase in revenues was primarily attributed to the opening of eight restaurants in fiscal 2025 and seven restaurants during the two quarters ended June 28, 2026, partially offset by a decrease in our same-restaurant sales. Restaurants not in our Comparable Restaurant Base contributed $21.0 million of the total year-over-year increase. This increase in revenues was offset by a same-restaurant sales decrease of 0.7%, or $2.4 million. The same-restaurant sales decline was attributable to a 1.4% decrease in transactions, partially offset by an increase in average check of 0.7%. The increase in average check was driven by an approximate 1.4% increase in certain menu prices, partially offset by a 0.7% decrease in product mix. To address inflationary cost pressures, we increased select menu prices by approximately 2.0% in April 2026. For the purpose of calculating same-restaurant sales for the two quarters ended June 28, 2026, sales for 85 restaurants that were open for at least 24 full fiscal periods were included in the Comparable Restaurant Base. </w:t>
      </w:r>
    </w:p>
    <w:tbl>
      <w:tblPr>
        <w:tblW w:w="9945" w:type="dxa"/>
        <w:jc w:val="left"/>
        <w:tblInd w:w="0" w:type="dxa"/>
        <w:tblLayout w:type="fixed"/>
        <w:tblCellMar>
          <w:top w:w="28" w:type="dxa"/>
          <w:left w:w="28" w:type="dxa"/>
          <w:bottom w:w="28" w:type="dxa"/>
          <w:right w:w="28" w:type="dxa"/>
        </w:tblCellMar>
      </w:tblPr>
      <w:tblGrid>
        <w:gridCol w:w="1852"/>
        <w:gridCol w:w="1628"/>
        <w:gridCol w:w="1634"/>
        <w:gridCol w:w="197"/>
        <w:gridCol w:w="704"/>
        <w:gridCol w:w="118"/>
        <w:gridCol w:w="109"/>
        <w:gridCol w:w="109"/>
        <w:gridCol w:w="109"/>
        <w:gridCol w:w="197"/>
        <w:gridCol w:w="704"/>
        <w:gridCol w:w="118"/>
        <w:gridCol w:w="109"/>
        <w:gridCol w:w="109"/>
        <w:gridCol w:w="109"/>
        <w:gridCol w:w="181"/>
        <w:gridCol w:w="571"/>
        <w:gridCol w:w="109"/>
        <w:gridCol w:w="109"/>
        <w:gridCol w:w="109"/>
        <w:gridCol w:w="109"/>
        <w:gridCol w:w="232"/>
        <w:gridCol w:w="233"/>
        <w:gridCol w:w="486"/>
      </w:tblGrid>
      <w:tr>
        <w:trPr/>
        <w:tc>
          <w:tcPr>
            <w:tcW w:w="185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Change</w:t>
            </w:r>
          </w:p>
        </w:tc>
      </w:tr>
      <w:tr>
        <w:trPr/>
        <w:tc>
          <w:tcPr>
            <w:tcW w:w="511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Same-restaurant sales (85 restaurants) </w:t>
            </w:r>
            <w:r>
              <w:rPr>
                <w:rFonts w:ascii="Arial Narrow;sans-serif" w:hAnsi="Arial Narrow;sans-serif"/>
                <w:b w:val="false"/>
                <w:color w:val="000000"/>
                <w:sz w:val="12"/>
              </w:rPr>
              <w:t>(1)</w:t>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336,670 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339,023 </w:t>
            </w:r>
          </w:p>
        </w:tc>
        <w:tc>
          <w:tcPr>
            <w:tcW w:w="11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(2,353)</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4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Restaurants not yet in comparable base opened in fiscal 2026 (7 restaurants) </w:t>
            </w:r>
            <w:r>
              <w:rPr>
                <w:rFonts w:ascii="Arial Narrow;sans-serif" w:hAnsi="Arial Narrow;sans-serif"/>
                <w:b w:val="false"/>
                <w:color w:val="000000"/>
                <w:sz w:val="12"/>
              </w:rPr>
              <w:t>(1)</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nm</w:t>
            </w:r>
          </w:p>
        </w:tc>
      </w:tr>
      <w:tr>
        <w:trPr/>
        <w:tc>
          <w:tcPr>
            <w:tcW w:w="511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Restaurants not yet in comparable base opened in fiscal 2025 (8 restaurants) </w:t>
            </w:r>
            <w:r>
              <w:rPr>
                <w:rFonts w:ascii="Arial Narrow;sans-serif" w:hAnsi="Arial Narrow;sans-serif"/>
                <w:b w:val="false"/>
                <w:color w:val="000000"/>
                <w:sz w:val="12"/>
              </w:rPr>
              <w:t>(1)</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18,459 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18,459 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nm</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Restaurants not yet in comparable base opened in fiscal 2024 (8 restaurants) </w:t>
            </w:r>
            <w:r>
              <w:rPr>
                <w:rFonts w:ascii="Arial Narrow;sans-serif" w:hAnsi="Arial Narrow;sans-serif"/>
                <w:b w:val="false"/>
                <w:color w:val="000000"/>
                <w:sz w:val="12"/>
              </w:rPr>
              <w:t>(1)</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20,655 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(26.1)</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11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pPr>
            <w:r>
              <w:rPr>
                <w:rFonts w:ascii="Arial Narrow;sans-serif" w:hAnsi="Arial Narrow;sans-serif"/>
                <w:b w:val="false"/>
                <w:color w:val="000000"/>
                <w:sz w:val="18"/>
              </w:rPr>
              <w:t xml:space="preserve">Other </w:t>
            </w:r>
            <w:r>
              <w:rPr>
                <w:rFonts w:ascii="Arial Narrow;sans-serif" w:hAnsi="Arial Narrow;sans-serif"/>
                <w:b w:val="false"/>
                <w:color w:val="000000"/>
                <w:sz w:val="12"/>
              </w:rPr>
              <w:t>(2)</w:t>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3,227 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5,215 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(1,988)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(38.1)</w:t>
            </w:r>
          </w:p>
        </w:tc>
        <w:tc>
          <w:tcPr>
            <w:tcW w:w="48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 net</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381,577 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364,893 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64" w:before="0" w:after="0"/>
        <w:jc w:val="left"/>
        <w:rPr/>
      </w:pPr>
      <w:r>
        <w:rPr>
          <w:rFonts w:ascii="Arial Narrow;sans-serif" w:hAnsi="Arial Narrow;sans-serif"/>
          <w:b w:val="false"/>
          <w:color w:val="000000"/>
          <w:sz w:val="12"/>
        </w:rPr>
        <w:t>(1)</w:t>
      </w:r>
      <w:r>
        <w:rPr>
          <w:color w:val="000000"/>
        </w:rPr>
        <w:t xml:space="preserve"> </w:t>
      </w:r>
      <w:r>
        <w:rPr>
          <w:rFonts w:ascii="Arial Narrow;sans-serif" w:hAnsi="Arial Narrow;sans-serif"/>
          <w:b w:val="false"/>
          <w:color w:val="000000"/>
          <w:sz w:val="18"/>
        </w:rPr>
        <w:t>Total restaurants indicated are as of June 28, 2026. Excludes a restaurant that is owned by C&amp;O of which Portillo’s owns 50% of the equity.</w:t>
      </w:r>
    </w:p>
    <w:p>
      <w:pPr>
        <w:pStyle w:val="TextBody"/>
        <w:bidi w:val="0"/>
        <w:spacing w:lineRule="auto" w:line="264" w:before="0" w:after="0"/>
        <w:jc w:val="left"/>
        <w:rPr/>
      </w:pPr>
      <w:r>
        <w:rPr>
          <w:rFonts w:ascii="Arial Narrow;sans-serif" w:hAnsi="Arial Narrow;sans-serif"/>
          <w:b w:val="false"/>
          <w:color w:val="000000"/>
          <w:sz w:val="12"/>
        </w:rPr>
        <w:t>(2)</w:t>
      </w:r>
      <w:r>
        <w:rPr>
          <w:color w:val="000000"/>
        </w:rPr>
        <w:t xml:space="preserve"> </w:t>
      </w:r>
      <w:r>
        <w:rPr>
          <w:rFonts w:ascii="Arial Narrow;sans-serif" w:hAnsi="Arial Narrow;sans-serif"/>
          <w:b w:val="false"/>
          <w:color w:val="000000"/>
          <w:sz w:val="18"/>
        </w:rPr>
        <w:t>Includes revenue from direct shipping sales and non-traditional locations.</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*nm - not meaningful</w:t>
      </w:r>
    </w:p>
    <w:p>
      <w:pPr>
        <w:pStyle w:val="TextBody"/>
        <w:bidi w:val="0"/>
        <w:spacing w:before="0" w:after="198"/>
        <w:jc w:val="left"/>
        <w:rPr/>
      </w:pPr>
      <w:r>
        <w:rPr/>
      </w:r>
    </w:p>
    <w:p>
      <w:pPr>
        <w:pStyle w:val="TextBody"/>
        <w:bidi w:val="0"/>
        <w:spacing w:lineRule="auto" w:line="288" w:before="0" w:after="198"/>
        <w:jc w:val="left"/>
        <w:rPr>
          <w:rFonts w:ascii="Arial Narrow;sans-serif" w:hAnsi="Arial Narrow;sans-serif"/>
          <w:b/>
          <w:color w:val="D22630"/>
          <w:sz w:val="22"/>
        </w:rPr>
      </w:pPr>
      <w:r>
        <w:rPr>
          <w:rFonts w:ascii="Arial Narrow;sans-serif" w:hAnsi="Arial Narrow;sans-serif"/>
          <w:b/>
          <w:color w:val="D22630"/>
          <w:sz w:val="22"/>
        </w:rPr>
        <w:t>Food, Beverage and Packaging Costs</w:t>
      </w:r>
    </w:p>
    <w:p>
      <w:pPr>
        <w:pStyle w:val="TextBody"/>
        <w:bidi w:val="0"/>
        <w:spacing w:lineRule="auto" w:line="288" w:before="0" w:after="0"/>
        <w:jc w:val="left"/>
        <w:rPr/>
      </w:pPr>
      <w:r>
        <w:rPr>
          <w:rFonts w:ascii="Arial Narrow;sans-serif" w:hAnsi="Arial Narrow;sans-serif"/>
          <w:b w:val="false"/>
          <w:color w:val="000000"/>
          <w:sz w:val="20"/>
        </w:rPr>
        <w:t>Food, beverage and packaging costs include the direct costs associated with food, beverage and packaging of our menu items and third-party delivery commissions. The components of food, beverage and packaging costs are variable by nature, change with sales volume, are impacted by product and channel mix and are subject to increases or decreases in commodity costs, as well as geographic scale and proximity</w:t>
      </w:r>
      <w:r>
        <w:rPr>
          <w:rFonts w:ascii="Arial Narrow;sans-serif" w:hAnsi="Arial Narrow;sans-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Food, beverage and packaging costs for the quarter ended June 28, 2026 were $69.6 million compared to $63.8 million for the quarter ended June 29, 2025, an increase of $5.8 million or 9.1%. This increase was primarily driven by a 7.0% increase in commodity prices and the opening of eight restaurants in fiscal 2025 and seven restaurants during the two quarters ended June 28, 2026. As a percentage of revenues, net, food, beverage and packaging costs increased 1.2% during the quarter ended June 28, 2026. The increase was primarily due to an increase in certain commodity prices, partially offset by an increase in average check.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2755"/>
                <wp:effectExtent l="0" t="0" r="0" b="0"/>
                <wp:wrapNone/>
                <wp:docPr id="80" name="Frame27"/>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 descr=""/>
                                          <pic:cNvPicPr>
                                            <a:picLocks noChangeAspect="1" noChangeArrowheads="1"/>
                                          </pic:cNvPicPr>
                                        </pic:nvPicPr>
                                        <pic:blipFill>
                                          <a:blip r:embed="rId55"/>
                                          <a:stretch>
                                            <a:fillRect/>
                                          </a:stretch>
                                        </pic:blipFill>
                                        <pic:spPr bwMode="auto">
                                          <a:xfrm>
                                            <a:off x="0" y="0"/>
                                            <a:ext cx="190500" cy="180975"/>
                                          </a:xfrm>
                                          <a:prstGeom prst="rect">
                                            <a:avLst/>
                                          </a:prstGeom>
                                        </pic:spPr>
                                      </pic:pic>
                                    </a:graphicData>
                                  </a:graphic>
                                </wp:inline>
                              </w:drawing>
                            </w:r>
                            <w:bookmarkStart w:id="54" w:name="i-30"/>
                            <w:bookmarkEnd w:id="54"/>
                            <w:r>
                              <w:rPr>
                                <w:color w:val="000000"/>
                              </w:rPr>
                              <w:t xml:space="preserve"> </w:t>
                            </w:r>
                            <w:r>
                              <w:rPr>
                                <w:rFonts w:ascii="Arial Narrow;sans-serif" w:hAnsi="Arial Narrow;sans-serif"/>
                                <w:b w:val="false"/>
                                <w:color w:val="000000"/>
                                <w:sz w:val="20"/>
                              </w:rPr>
                              <w:t>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8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0" descr=""/>
                                    <pic:cNvPicPr>
                                      <a:picLocks noChangeAspect="1" noChangeArrowheads="1"/>
                                    </pic:cNvPicPr>
                                  </pic:nvPicPr>
                                  <pic:blipFill>
                                    <a:blip r:embed="rId56"/>
                                    <a:stretch>
                                      <a:fillRect/>
                                    </a:stretch>
                                  </pic:blipFill>
                                  <pic:spPr bwMode="auto">
                                    <a:xfrm>
                                      <a:off x="0" y="0"/>
                                      <a:ext cx="190500" cy="180975"/>
                                    </a:xfrm>
                                    <a:prstGeom prst="rect">
                                      <a:avLst/>
                                    </a:prstGeom>
                                  </pic:spPr>
                                </pic:pic>
                              </a:graphicData>
                            </a:graphic>
                          </wp:inline>
                        </w:drawing>
                      </w:r>
                      <w:bookmarkStart w:id="55" w:name="i-30"/>
                      <w:bookmarkEnd w:id="55"/>
                      <w:r>
                        <w:rPr>
                          <w:color w:val="000000"/>
                        </w:rPr>
                        <w:t xml:space="preserve"> </w:t>
                      </w:r>
                      <w:r>
                        <w:rPr>
                          <w:rFonts w:ascii="Arial Narrow;sans-serif" w:hAnsi="Arial Narrow;sans-serif"/>
                          <w:b w:val="false"/>
                          <w:color w:val="000000"/>
                          <w:sz w:val="20"/>
                        </w:rPr>
                        <w:t>Form 10-Q | 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198"/>
        <w:jc w:val="left"/>
        <w:rPr>
          <w:rFonts w:ascii="Arial Narrow;sans-serif" w:hAnsi="Arial Narrow;sans-serif"/>
          <w:b w:val="false"/>
          <w:color w:val="000000"/>
          <w:sz w:val="20"/>
        </w:rPr>
      </w:pPr>
      <w:r>
        <w:rPr>
          <w:rFonts w:ascii="Arial Narrow;sans-serif" w:hAnsi="Arial Narrow;sans-serif"/>
          <w:b w:val="false"/>
          <w:color w:val="000000"/>
          <w:sz w:val="20"/>
        </w:rPr>
        <w:t>Food, beverage and packaging costs for the two quarters ended June 28, 2026 was $132.9 million compared to $124.9 million for the two quarters ended June 29, 2025, an increase of $8.0 million or 6.4%. This increase was primarily driven by a 4.5% increase in commodity prices and the opening of eight restaurants in fiscal 2025 and seven restaurants during the two quarters ended June 28, 2026. As a percentage of revenues, net, food, beverage and packaging costs increased 0.6% during the two quarters ended June 28, 2026. The increase was primarily due to an increase in certain commodity prices, partially offset by an increase in average check.</w:t>
      </w:r>
    </w:p>
    <w:p>
      <w:pPr>
        <w:pStyle w:val="TextBody"/>
        <w:bidi w:val="0"/>
        <w:spacing w:lineRule="auto" w:line="288" w:before="0" w:after="198"/>
        <w:jc w:val="left"/>
        <w:rPr>
          <w:rFonts w:ascii="Arial Narrow;sans-serif" w:hAnsi="Arial Narrow;sans-serif"/>
          <w:b/>
          <w:color w:val="D22630"/>
          <w:sz w:val="22"/>
        </w:rPr>
      </w:pPr>
      <w:r>
        <w:rPr>
          <w:rFonts w:ascii="Arial Narrow;sans-serif" w:hAnsi="Arial Narrow;sans-serif"/>
          <w:b/>
          <w:color w:val="D22630"/>
          <w:sz w:val="22"/>
        </w:rPr>
        <w:t>Labor Expenses</w:t>
      </w:r>
    </w:p>
    <w:p>
      <w:pPr>
        <w:pStyle w:val="TextBody"/>
        <w:bidi w:val="0"/>
        <w:spacing w:lineRule="auto" w:line="288" w:before="0" w:after="0"/>
        <w:jc w:val="left"/>
        <w:rPr/>
      </w:pPr>
      <w:r>
        <w:rPr>
          <w:rFonts w:ascii="Arial Narrow;sans-serif" w:hAnsi="Arial Narrow;sans-serif"/>
          <w:b w:val="false"/>
          <w:color w:val="000000"/>
          <w:sz w:val="20"/>
        </w:rPr>
        <w:t>Labor expenses include hourly and management wages, bonuses and equity-based compensation, payroll taxes, workers’ compensation expense, and team member benefits. Factors that influence labor costs include wage inflation and payroll tax and minimum wage legislation, health care costs and the staffing needs of our restaurants</w:t>
      </w:r>
      <w:r>
        <w:rPr>
          <w:rFonts w:ascii="Arial Narrow;sans-serif" w:hAnsi="Arial Narrow;sans-serif"/>
          <w:b w:val="false"/>
          <w:i/>
          <w:color w:val="000000"/>
          <w:sz w:val="20"/>
        </w:rPr>
        <w: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Labor expenses for the quarter ended June 28, 2026 were $51.1 million compared to $48.3 million for the quarter ended June 29, 2025, an increase of $2.8 million or 5.7%. This increase was primarily driven by the opening of eight restaurants in fiscal 2025 and seven restaurants during the two quarters ended June 28, 2026, and incremental investments to support our team members. As a percentage of revenues, net, labor was flat during the quarter ended June 28, 2026.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Labor expenses for the two quarters ended June 28, 2026 were $100.3 million compared to $95.2 million for the two quarters ended June 29, 2025, an increase of $5.1 million or 5.3%. This increase was primarily driven by the opening of eight restaurants in fiscal 2025 and seven restaurants during the two quarters ended June 28, 2026, and incremental investments to support our team members. As a percentage of revenues, net, labor increased 0.2% during the two quarters ended June 28, 2026. The increase was primarily driven by revenue deleverage from new restaurants and incremental wage rate increases, partially offset by labor efficiencies.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Occupancy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Occupancy expenses primarily consist of rent, property insurance and property taxes, and exclude occupancy expenses associated with unopened restaurants, which are recorded separately in pre-opening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Occupancy expenses for the quarter ended June 28, 2026 were $11.7 million compared to $10.0 million for the quarter ended June 29, 2025, an increase of $1.7 million or 17.3%, primarily driven by the opening of eight restaurants in fiscal 2025 and seven restaurants during the two quarters ended June 28, 2026. As a percentage of revenues, net, occupancy expenses increased 0.6% primarily driven by higher occupancy costs and revenue deleverage at new restaurants.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Occupancy expenses for the two quarters ended June 28, 2026 were $22.9 million compared to $20.0 million for the two quarters ended June 29, 2025, an increase of $2.9 million or 14.5%, primarily driven by the opening of eight restaurants in fiscal 2025 and seven restaurants during the two quarters ended June 28, 2026. As a percentage of revenues, net, occupancy expenses increased 0.5% primarily driven by higher occupancy costs and revenue deleverage at new restaurants.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Other Operating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consist of direct marketing expenses, utilities and other expenses incidental to operating our restaurants, such as credit card fees and repairs and maintenance.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 for the quarter ended June 28, 2026 were $23.3 million compared to $21.9 million for the quarter ended June 29, 2025, an increase of $1.4 million or 6.5%, primarily due to the opening of eight restaurants in fiscal 2025 and seven restaurants during the two quarters ended June 28, 2026, partially offset by lower utilities and insurance costs. As a percentage of revenues, net, other operating expenses increased 0.1% primarily due to revenue deleverage at new restaurants.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 for the two quarters ended June 28, 2026 were $47.5 million compared to $43.7 million for the two quarters ended June 29, 2025, an increase of $3.7 million or 8.6%, primarily due to the opening of eight restaurants in fiscal 2025 and seven restaurants during the two quarters ended June 28, 2026 as well as higher operating supplies and repair and maintenance expenses, partially offset by lower cleaning expenses. As a percentage of revenues, net, other operating expenses increased 0.5% due primarily to the aforementioned increases in expenses and revenue deleverage at new restaurants.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2755"/>
                <wp:effectExtent l="0" t="0" r="0" b="0"/>
                <wp:wrapNone/>
                <wp:docPr id="83" name="Frame28"/>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8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1" descr=""/>
                                          <pic:cNvPicPr>
                                            <a:picLocks noChangeAspect="1" noChangeArrowheads="1"/>
                                          </pic:cNvPicPr>
                                        </pic:nvPicPr>
                                        <pic:blipFill>
                                          <a:blip r:embed="rId57"/>
                                          <a:stretch>
                                            <a:fillRect/>
                                          </a:stretch>
                                        </pic:blipFill>
                                        <pic:spPr bwMode="auto">
                                          <a:xfrm>
                                            <a:off x="0" y="0"/>
                                            <a:ext cx="190500" cy="180975"/>
                                          </a:xfrm>
                                          <a:prstGeom prst="rect">
                                            <a:avLst/>
                                          </a:prstGeom>
                                        </pic:spPr>
                                      </pic:pic>
                                    </a:graphicData>
                                  </a:graphic>
                                </wp:inline>
                              </w:drawing>
                            </w:r>
                            <w:bookmarkStart w:id="56" w:name="i-31"/>
                            <w:bookmarkEnd w:id="56"/>
                            <w:r>
                              <w:rPr>
                                <w:color w:val="000000"/>
                              </w:rPr>
                              <w:t xml:space="preserve"> </w:t>
                            </w:r>
                            <w:r>
                              <w:rPr>
                                <w:rFonts w:ascii="Arial Narrow;sans-serif" w:hAnsi="Arial Narrow;sans-serif"/>
                                <w:b w:val="false"/>
                                <w:color w:val="000000"/>
                                <w:sz w:val="20"/>
                              </w:rPr>
                              <w:t>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8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1" descr=""/>
                                    <pic:cNvPicPr>
                                      <a:picLocks noChangeAspect="1" noChangeArrowheads="1"/>
                                    </pic:cNvPicPr>
                                  </pic:nvPicPr>
                                  <pic:blipFill>
                                    <a:blip r:embed="rId58"/>
                                    <a:stretch>
                                      <a:fillRect/>
                                    </a:stretch>
                                  </pic:blipFill>
                                  <pic:spPr bwMode="auto">
                                    <a:xfrm>
                                      <a:off x="0" y="0"/>
                                      <a:ext cx="190500" cy="180975"/>
                                    </a:xfrm>
                                    <a:prstGeom prst="rect">
                                      <a:avLst/>
                                    </a:prstGeom>
                                  </pic:spPr>
                                </pic:pic>
                              </a:graphicData>
                            </a:graphic>
                          </wp:inline>
                        </w:drawing>
                      </w:r>
                      <w:bookmarkStart w:id="57" w:name="i-31"/>
                      <w:bookmarkEnd w:id="57"/>
                      <w:r>
                        <w:rPr>
                          <w:color w:val="000000"/>
                        </w:rPr>
                        <w:t xml:space="preserve"> </w:t>
                      </w:r>
                      <w:r>
                        <w:rPr>
                          <w:rFonts w:ascii="Arial Narrow;sans-serif" w:hAnsi="Arial Narrow;sans-serif"/>
                          <w:b w:val="false"/>
                          <w:color w:val="000000"/>
                          <w:sz w:val="20"/>
                        </w:rPr>
                        <w:t>Form 10-Q | 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General and Administrative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for the quarter ended June 28, 2026 were $19.6 million compared to $18.8 million for the quarter ended June 29, 2025, an increase of $0.8 million or 4.1%. This increase was primarily driven by higher professional fees, including $0.9 million of dead site costs, and increased software licensing fees. These increases were partially offset by lower legal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for the two quarters ended June 28, 2026 were $39.9 million compared to $37.7 million for the two quarters ended June 29, 2025, an increase of $2.2 million or 5.9%. This increase was primarily driven by higher professional fees, including $1.4 million of dead site costs, increased equity-based compensation expense, and higher advertising expense associated with the Company's assessment of our brand strategy and market positioning. These increases were partially offset by lower legal fees and reduced vacation-related wage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Pre-Opening Expenses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Pre-opening expenses consist primarily of wages, occupancy expenses, which represent rent expense recognized during the period between the date of possession and the restaurant opening date, travel for the opening team and other supporting team members, food, beverage, the initial stocking of operating supplies and legal fees.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experience higher pre-opening expenses than our established geographic market areas, such as the Chicagoland area, where we have greater economies of scale and incur lower travel and lodging costs for our training team.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Pre-opening expenses for the quarter ended June 28, 2026 were $0.9 million compared to $1.7 million for the quarter ended June 29, 2025, a decrease of $0.8 million or 44.7%. The decrease was due to the number and timing of activities related to our planned restaurant openings for the quarter ended June 28, 2026 as compared to the quarter ended June 29, 2025.</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Pre-opening expenses for the two quarters ended June 28, 2026 were $3.5 million compared to $2.2 million for the two quarters ended June 29, 2025, an increase of $1.3 million or 58.2%. This increase was due to the number and timing of planned restaurant openings, including higher pre-opening activity associated with new market locations, for the two quarters ended June 28, 2026 as compared to the two quarters ended June 29, 2025.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Depreciation and Amortization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expenses consist of the depreciation of fixed assets, including land improvements, buildings and improvements, fixtures and equipment, leasehold improvements, and the amortization of definite-lived intangible assets, which are primarily comprised of recipes.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for the quarter ended June 28, 2026 was $8.3 million compared to $7.1 million for the quarter ended June 29, 2025, an increase of $1.1 million or 15.7%. This increase was primarily attributable to incremental depreciation of capital expenditures related to the opening of eight restaurants in fiscal 2025 and seven restaurants during the two quarters ended June 28, 2026.</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for the two quarters ended June 28, 2026 was $16.2 million compared to $14.2 million for the two quarters ended June 29, 2025, an increase of $2.0 million or 14.2%. This increase was primarily attributable to incremental depreciation of capital expenditures related to the opening of eight restaurants in fiscal 2025 and seven restaurants during the two quarters ended June 28,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2755"/>
                <wp:effectExtent l="0" t="0" r="0" b="0"/>
                <wp:wrapNone/>
                <wp:docPr id="86" name="Frame29"/>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8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2" descr=""/>
                                          <pic:cNvPicPr>
                                            <a:picLocks noChangeAspect="1" noChangeArrowheads="1"/>
                                          </pic:cNvPicPr>
                                        </pic:nvPicPr>
                                        <pic:blipFill>
                                          <a:blip r:embed="rId59"/>
                                          <a:stretch>
                                            <a:fillRect/>
                                          </a:stretch>
                                        </pic:blipFill>
                                        <pic:spPr bwMode="auto">
                                          <a:xfrm>
                                            <a:off x="0" y="0"/>
                                            <a:ext cx="190500" cy="180975"/>
                                          </a:xfrm>
                                          <a:prstGeom prst="rect">
                                            <a:avLst/>
                                          </a:prstGeom>
                                        </pic:spPr>
                                      </pic:pic>
                                    </a:graphicData>
                                  </a:graphic>
                                </wp:inline>
                              </w:drawing>
                            </w:r>
                            <w:bookmarkStart w:id="58" w:name="i-32"/>
                            <w:bookmarkEnd w:id="58"/>
                            <w:r>
                              <w:rPr>
                                <w:color w:val="000000"/>
                              </w:rPr>
                              <w:t xml:space="preserve"> </w:t>
                            </w:r>
                            <w:r>
                              <w:rPr>
                                <w:rFonts w:ascii="Arial Narrow;sans-serif" w:hAnsi="Arial Narrow;sans-serif"/>
                                <w:b w:val="false"/>
                                <w:color w:val="000000"/>
                                <w:sz w:val="20"/>
                              </w:rPr>
                              <w:t>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8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2" descr=""/>
                                    <pic:cNvPicPr>
                                      <a:picLocks noChangeAspect="1" noChangeArrowheads="1"/>
                                    </pic:cNvPicPr>
                                  </pic:nvPicPr>
                                  <pic:blipFill>
                                    <a:blip r:embed="rId60"/>
                                    <a:stretch>
                                      <a:fillRect/>
                                    </a:stretch>
                                  </pic:blipFill>
                                  <pic:spPr bwMode="auto">
                                    <a:xfrm>
                                      <a:off x="0" y="0"/>
                                      <a:ext cx="190500" cy="180975"/>
                                    </a:xfrm>
                                    <a:prstGeom prst="rect">
                                      <a:avLst/>
                                    </a:prstGeom>
                                  </pic:spPr>
                                </pic:pic>
                              </a:graphicData>
                            </a:graphic>
                          </wp:inline>
                        </w:drawing>
                      </w:r>
                      <w:bookmarkStart w:id="59" w:name="i-32"/>
                      <w:bookmarkEnd w:id="59"/>
                      <w:r>
                        <w:rPr>
                          <w:color w:val="000000"/>
                        </w:rPr>
                        <w:t xml:space="preserve"> </w:t>
                      </w:r>
                      <w:r>
                        <w:rPr>
                          <w:rFonts w:ascii="Arial Narrow;sans-serif" w:hAnsi="Arial Narrow;sans-serif"/>
                          <w:b w:val="false"/>
                          <w:color w:val="000000"/>
                          <w:sz w:val="20"/>
                        </w:rPr>
                        <w:t>Form 10-Q | 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Net Income Attributable to Equity Method Investment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attributable to equity method investment consists of a 50% interest in C&amp;O, which runs a single restaurant located within the Chicagoland market. We account for the investment and financial results in the condensed consolidated financial statements under the equity method of accounting as we have significant influence but do not have control.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 attributable to equity method investment for both the quarters ended June 28, 2026 and June 29, 2025 was $0.4 million.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attributable to equity method investment for the two quarters ended June 28, 2026 was $0.6 million compared to $0.5 million for the two quarters ended June 29, 2025, an increase of $0.1 million or 11.7%. This increase was primarily driven by increased sales and labor efficiencies.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Other Loss (Income), Net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 (income), net, includes among other items, legal expenses, management fee income associated with our investment in C&amp;O, trading gains or losses on our deferred compensation plan, gains or losses on asset disposals, and income resulting from discounts received for timely filing of sales tax returns.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 (income), net for the quarter ended June 28, 2026 was a loss of $1.1 million compared to income of $0.3 million for the quarter ended June 29, 2025, a decrease of $1.4 million. This decrease was primarily attributable to a legal contingency of $1.7 million as discussed in Note 13. Contingencies.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 (income), net for the two quarters ended June 28, 2026 was a loss of $0.8 million compared to income of $0.3 million for the two quarters ended June 29, 2025, a decrease of $1.1 million. This decrease was primarily attributable to a legal contingency of $1.7 million as discussed in Note 13. Contingencies, and was partially offset by insurance proceeds.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Interest Expense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expense primarily consists of interest and fees on our credit facilities and the amortization expense for debt discount and deferred issuance costs.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Interest expense for both the quarters ended June 28, 2026 and June 29, 2025 was $5.7 million.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expense for the two quarters ended June 28, 2026 was $11.3 million compared to $11.5 million for the two quarters ended June 29, 2025, a decrease of $0.2 million or 1.5%. This decrease was primarily driven by a lower effective interest rate attributable to the improved lending terms associated with our 2025 Credit Agreement. </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 xml:space="preserve">Our effective interest rate was 6.47% </w:t>
      </w:r>
      <w:r>
        <w:rPr>
          <w:rFonts w:ascii="Arial Narrow;sans-serif" w:hAnsi="Arial Narrow;sans-serif"/>
          <w:b w:val="false"/>
          <w:color w:val="000000"/>
          <w:sz w:val="20"/>
          <w:shd w:fill="FFFFFF" w:val="clear"/>
        </w:rPr>
        <w:t xml:space="preserve">as of </w:t>
      </w:r>
      <w:r>
        <w:rPr>
          <w:rFonts w:ascii="Arial Narrow;sans-serif" w:hAnsi="Arial Narrow;sans-serif"/>
          <w:b w:val="false"/>
          <w:color w:val="000000"/>
          <w:sz w:val="20"/>
        </w:rPr>
        <w:t>June 28, 2026 and 6.90% as of June 29, 2025.</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Interest Income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income primarily consists of interest earned on our cash, cash equivalents and restricted cash.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Interest income for both the quarters ended June 28, 2026 and June 29, 2025 was $0.1 million.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Interest income for the two quarters ended June 28, 2026 was $0.1 million compared to $0.2 million for the two quarters ended June 29, 2025, a decrease of $0.04 million or 26.7%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Tax Receivable Agreement Liability Adjustment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party to a Tax Receivable Agreement liability with certain members of PHD Group Holdings LLC and its subsidiaries ("Portillo's OpCo”) that provides for the payment by us of 85% of the amount of tax benefits, if any, that Portillo's Inc. actually realizes or in some cases is deemed to realize as a result of certain transactions.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2755"/>
                <wp:effectExtent l="0" t="0" r="0" b="0"/>
                <wp:wrapNone/>
                <wp:docPr id="89" name="Frame30"/>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9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3" descr=""/>
                                          <pic:cNvPicPr>
                                            <a:picLocks noChangeAspect="1" noChangeArrowheads="1"/>
                                          </pic:cNvPicPr>
                                        </pic:nvPicPr>
                                        <pic:blipFill>
                                          <a:blip r:embed="rId61"/>
                                          <a:stretch>
                                            <a:fillRect/>
                                          </a:stretch>
                                        </pic:blipFill>
                                        <pic:spPr bwMode="auto">
                                          <a:xfrm>
                                            <a:off x="0" y="0"/>
                                            <a:ext cx="190500" cy="180975"/>
                                          </a:xfrm>
                                          <a:prstGeom prst="rect">
                                            <a:avLst/>
                                          </a:prstGeom>
                                        </pic:spPr>
                                      </pic:pic>
                                    </a:graphicData>
                                  </a:graphic>
                                </wp:inline>
                              </w:drawing>
                            </w:r>
                            <w:bookmarkStart w:id="60" w:name="i-33"/>
                            <w:bookmarkEnd w:id="60"/>
                            <w:r>
                              <w:rPr>
                                <w:color w:val="000000"/>
                              </w:rPr>
                              <w:t xml:space="preserve"> </w:t>
                            </w:r>
                            <w:r>
                              <w:rPr>
                                <w:rFonts w:ascii="Arial Narrow;sans-serif" w:hAnsi="Arial Narrow;sans-serif"/>
                                <w:b w:val="false"/>
                                <w:color w:val="000000"/>
                                <w:sz w:val="20"/>
                              </w:rPr>
                              <w:t>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9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3" descr=""/>
                                    <pic:cNvPicPr>
                                      <a:picLocks noChangeAspect="1" noChangeArrowheads="1"/>
                                    </pic:cNvPicPr>
                                  </pic:nvPicPr>
                                  <pic:blipFill>
                                    <a:blip r:embed="rId62"/>
                                    <a:stretch>
                                      <a:fillRect/>
                                    </a:stretch>
                                  </pic:blipFill>
                                  <pic:spPr bwMode="auto">
                                    <a:xfrm>
                                      <a:off x="0" y="0"/>
                                      <a:ext cx="190500" cy="180975"/>
                                    </a:xfrm>
                                    <a:prstGeom prst="rect">
                                      <a:avLst/>
                                    </a:prstGeom>
                                  </pic:spPr>
                                </pic:pic>
                              </a:graphicData>
                            </a:graphic>
                          </wp:inline>
                        </w:drawing>
                      </w:r>
                      <w:bookmarkStart w:id="61" w:name="i-33"/>
                      <w:bookmarkEnd w:id="61"/>
                      <w:r>
                        <w:rPr>
                          <w:color w:val="000000"/>
                        </w:rPr>
                        <w:t xml:space="preserve"> </w:t>
                      </w:r>
                      <w:r>
                        <w:rPr>
                          <w:rFonts w:ascii="Arial Narrow;sans-serif" w:hAnsi="Arial Narrow;sans-serif"/>
                          <w:b w:val="false"/>
                          <w:color w:val="000000"/>
                          <w:sz w:val="20"/>
                        </w:rPr>
                        <w:t>Form 10-Q | 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Tax Receivable Agreement liability adjustment for the quarter ended June 28, 2026 was $0.8 million compared to $1.8 million for the quarter ended June 29, 2025. The change was related to a remeasurement primarily due to activity under equity-based compensation plans.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Tax Receivable Agreement liability adjustment was $1.2 million for the two quarters ended June 28, 2026 and $2.5 million for the two quarters ended June 28, 2026 related to a remeasurement primarily due to activity under equity-based compensation plans.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Income Tax Expense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Portillo's OpCo is treated as a partnership for U.S. federal, as well as state and local income tax purposes and is not subject to taxes. Rather, any taxable income or loss generated by Portillo's OpCo is allocated to its members in relation to their respective ownership percentage of Portillo's OpCo. We are subject to U.S. federal, as well as state and local, income taxes with respect to our allocable share of any taxable income or loss of Portillo's OpCo, as well as any stand-alone income or loss generated by Portillo's Inc.</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Income tax expense for the quarter ended June 28, 2026 was $1.8 million compared to income tax expense of $3.7 million for the quarter ended June 29, 2025, a decrease of $1.9 million or 51.9%. Our effective income tax rate for the quarter ended June 28, 2026 was 19.8%, compared to 26.8% for the quarter ended June 29, 2025. The decrease in our effective income tax rate for the quarter ended June 28, 2026 compared to the quarter ended June 29, 2025</w:t>
      </w:r>
      <w:r>
        <w:rPr>
          <w:color w:val="000000"/>
          <w:shd w:fill="FFFFFF" w:val="clear"/>
        </w:rPr>
        <w:t xml:space="preserve"> </w:t>
      </w:r>
      <w:r>
        <w:rPr>
          <w:rFonts w:ascii="Arial Narrow;sans-serif" w:hAnsi="Arial Narrow;sans-serif"/>
          <w:b w:val="false"/>
          <w:color w:val="000000"/>
          <w:sz w:val="20"/>
        </w:rPr>
        <w:t>was primarily driven by a decrease in the valuation allowance related to equity-based compensation expense for certain executive officers. This decrease is partially offset by an increase in the Company's ownership interest in Portillo's OpCo, which increases its share of taxable income of Portillo's OpCo.</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tax expense for the two quarters ended June 28, 2026 was $1.6 million compared to income tax expense of $5.0 million for the two quarters ended June 29, 2025, a decrease of $3.4 million or 68.1%. Our effective income tax rate for the two quarters ended June 28, 2026 was 19.5%, compared to 26.4% for the two quarters ended June 29, 2025. The decrease in our effective income tax rate for the two quarters ended June 28, 2026 compared to the two quarters ended June 29, 2025 was primarily driven by a decrease in the valuation allowance related to equity-based compensation expense for certain executive officers. This decrease is partially offset by an increase in the Company's ownership interest in Portillo's OpCo, which increases its share of taxable income of Portillo's OpCo.</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Net Income Attributable to Non-controlling Interests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also consolidate AP Dogs, LLC, which operates our restaurant at Dallas-Fort Worth International Airport, and recognize a non-controlling interest representing the ownership interest held by our joint venture partner. The weighted average ownership percentages for the applicable reporting periods are used to attribute net income to Portillo's Inc. and the non-controlling interest holders.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 attributable to non-controlling interests for the quarter ended June 28, 2026 was $0.2 million, compared to net income attributable to non-controlling interests of $1.3 million for the quarter ended June 29, 2025, a decrease of $1.1 million or 84.2%. The decrease in net income attributable to non-controlling interests for the quarter ended June 28, 2026 was primarily due to a decrease in the pre-IPO LLC Members non-controlling interest holders' weighted average ownership to 4.5% for the quarter ended June 28, 2026 from 9.9% for the quarter ended June 29, 2025 and a decrease in the net income for the quarter ended June 28, 2026.</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income attributable to non-controlling interests for the two quarters ended June 28, 2026 was $0.1 million, compared to net income attributable to non-controlling interest of $2.0 million for the two quarters ended June 29, 2025, a decrease of $1.9 million or 94.8%. The decrease in net income attributable to non-controlling interests for the two quarters ended June 28, 2026 was primarily due to a decrease in the pre-IPO LLC Members non-controlling interest holders' weighted average ownership to 4.5% for the two quarters ended June 28, 2026 from 12.2% for the two quarters ended June 29, 2025 and a decrease in net income for the two quarters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2755"/>
                <wp:effectExtent l="0" t="0" r="0" b="0"/>
                <wp:wrapNone/>
                <wp:docPr id="92" name="Frame31"/>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9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4" descr=""/>
                                          <pic:cNvPicPr>
                                            <a:picLocks noChangeAspect="1" noChangeArrowheads="1"/>
                                          </pic:cNvPicPr>
                                        </pic:nvPicPr>
                                        <pic:blipFill>
                                          <a:blip r:embed="rId63"/>
                                          <a:stretch>
                                            <a:fillRect/>
                                          </a:stretch>
                                        </pic:blipFill>
                                        <pic:spPr bwMode="auto">
                                          <a:xfrm>
                                            <a:off x="0" y="0"/>
                                            <a:ext cx="190500" cy="180975"/>
                                          </a:xfrm>
                                          <a:prstGeom prst="rect">
                                            <a:avLst/>
                                          </a:prstGeom>
                                        </pic:spPr>
                                      </pic:pic>
                                    </a:graphicData>
                                  </a:graphic>
                                </wp:inline>
                              </w:drawing>
                            </w:r>
                            <w:bookmarkStart w:id="62" w:name="i-34"/>
                            <w:bookmarkEnd w:id="62"/>
                            <w:r>
                              <w:rPr>
                                <w:color w:val="000000"/>
                              </w:rPr>
                              <w:t xml:space="preserve"> </w:t>
                            </w:r>
                            <w:r>
                              <w:rPr>
                                <w:rFonts w:ascii="Arial Narrow;sans-serif" w:hAnsi="Arial Narrow;sans-serif"/>
                                <w:b w:val="false"/>
                                <w:color w:val="000000"/>
                                <w:sz w:val="20"/>
                              </w:rPr>
                              <w:t>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9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4" descr=""/>
                                    <pic:cNvPicPr>
                                      <a:picLocks noChangeAspect="1" noChangeArrowheads="1"/>
                                    </pic:cNvPicPr>
                                  </pic:nvPicPr>
                                  <pic:blipFill>
                                    <a:blip r:embed="rId64"/>
                                    <a:stretch>
                                      <a:fillRect/>
                                    </a:stretch>
                                  </pic:blipFill>
                                  <pic:spPr bwMode="auto">
                                    <a:xfrm>
                                      <a:off x="0" y="0"/>
                                      <a:ext cx="190500" cy="180975"/>
                                    </a:xfrm>
                                    <a:prstGeom prst="rect">
                                      <a:avLst/>
                                    </a:prstGeom>
                                  </pic:spPr>
                                </pic:pic>
                              </a:graphicData>
                            </a:graphic>
                          </wp:inline>
                        </w:drawing>
                      </w:r>
                      <w:bookmarkStart w:id="63" w:name="i-34"/>
                      <w:bookmarkEnd w:id="63"/>
                      <w:r>
                        <w:rPr>
                          <w:color w:val="000000"/>
                        </w:rPr>
                        <w:t xml:space="preserve"> </w:t>
                      </w:r>
                      <w:r>
                        <w:rPr>
                          <w:rFonts w:ascii="Arial Narrow;sans-serif" w:hAnsi="Arial Narrow;sans-serif"/>
                          <w:b w:val="false"/>
                          <w:color w:val="000000"/>
                          <w:sz w:val="20"/>
                        </w:rPr>
                        <w:t>Form 10-Q | 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Selected Operating Data and Non-GAAP Financial Measures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addition to the GAAP measures presented in our financial statements, we use the following selected operating data and non-GAAP financial measures to evaluate our business, measure our performance, develop financial forecasts and make strategic decisions. These key measures include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pStyle w:val="TextBody"/>
        <w:bidi w:val="0"/>
        <w:spacing w:before="0" w:after="0"/>
        <w:jc w:val="left"/>
        <w:rPr/>
      </w:pPr>
      <w:r>
        <w:rPr/>
      </w:r>
    </w:p>
    <w:tbl>
      <w:tblPr>
        <w:tblW w:w="8630" w:type="dxa"/>
        <w:jc w:val="left"/>
        <w:tblInd w:w="0" w:type="dxa"/>
        <w:tblLayout w:type="fixed"/>
        <w:tblCellMar>
          <w:top w:w="28" w:type="dxa"/>
          <w:left w:w="28" w:type="dxa"/>
          <w:bottom w:w="28" w:type="dxa"/>
          <w:right w:w="28" w:type="dxa"/>
        </w:tblCellMar>
      </w:tblPr>
      <w:tblGrid>
        <w:gridCol w:w="1276"/>
        <w:gridCol w:w="1122"/>
        <w:gridCol w:w="1127"/>
        <w:gridCol w:w="186"/>
        <w:gridCol w:w="587"/>
        <w:gridCol w:w="247"/>
        <w:gridCol w:w="109"/>
        <w:gridCol w:w="109"/>
        <w:gridCol w:w="109"/>
        <w:gridCol w:w="186"/>
        <w:gridCol w:w="587"/>
        <w:gridCol w:w="247"/>
        <w:gridCol w:w="109"/>
        <w:gridCol w:w="109"/>
        <w:gridCol w:w="109"/>
        <w:gridCol w:w="214"/>
        <w:gridCol w:w="677"/>
        <w:gridCol w:w="129"/>
        <w:gridCol w:w="109"/>
        <w:gridCol w:w="109"/>
        <w:gridCol w:w="109"/>
        <w:gridCol w:w="212"/>
        <w:gridCol w:w="671"/>
        <w:gridCol w:w="181"/>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Restaurants (a)</w:t>
            </w:r>
          </w:p>
        </w:tc>
        <w:tc>
          <w:tcPr>
            <w:tcW w:w="10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94</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AUV (in millions) (a)</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Change in same-restaurant sales (b)</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 (in thousands) (b)</w:t>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30,064 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48,272 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51,274 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 Margin (b)</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16.0 </w:t>
            </w:r>
          </w:p>
        </w:tc>
        <w:tc>
          <w:tcPr>
            <w:tcW w:w="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(in thousands) (b)</w:t>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43,247 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44,481 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78,091 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81,137 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Margin (b)</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21.7 </w:t>
            </w:r>
          </w:p>
        </w:tc>
        <w:tc>
          <w:tcPr>
            <w:tcW w:w="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23.6 </w:t>
            </w:r>
          </w:p>
        </w:tc>
        <w:tc>
          <w:tcPr>
            <w:tcW w:w="247"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22.2%</w:t>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(a) Includes a restaurant that is owned by C&amp;O, of which Portillo’s owns 50% of the equity. AUVs for the quarters ended June 28, 2026 and June 29, 2025 represent AUVs for the twelve months ended June 28, 2026 and June 29, 2025, respectively. Total restaurants indicated are as of June 28, 2026 and June 29, 2025, respectively.</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(b) Excludes C&amp;O.</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color w:val="D22630"/>
          <w:sz w:val="22"/>
        </w:rPr>
        <w:t>Change in Same-Restaurant Sales</w:t>
      </w:r>
      <w:r>
        <w:rPr>
          <w:color w:val="D22630"/>
        </w:rPr>
        <w:t xml:space="preserv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change in same-restaurant sales is the percentage change in year-over-year revenue for the comparable restaurant base, which is defined as the number of restaurants open for at least 24 full fiscal periods (the “Comparable Restaurant Base”). As of June 28, 2026 and June 29, 2025, there were 85 and 75 restaurants in our Comparable Restaurant Base, respectively. The Comparable Restaurant Base excludes C&amp;O.</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 change in same-restaurant sales is the result of a change in restaurant transactions, average guest check, or a combination of the two. We gather daily sales data and regularly analyze the guest transaction counts and the mix of menu items sold to strategically evaluate menu pricing and demand. Measuring our change in same-restaurant sales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Average Unit Volume ("AUV")</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AUV is the total revenue (excluding gift card and Perks breakage) recognized in the Comparable Restaurant Base, including C&amp;O, divided by the number of restaurants in the Comparable Restaurant Base, including C&amp;O, by period.</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This key performance indicator allows management to assess changes in consumer spending patterns at our restaurants and the overall performance of our restaurant base.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Non-GAAP Financial Measures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To supplement the condensed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2755"/>
                <wp:effectExtent l="0" t="0" r="0" b="0"/>
                <wp:wrapNone/>
                <wp:docPr id="95" name="Frame32"/>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9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5" descr=""/>
                                          <pic:cNvPicPr>
                                            <a:picLocks noChangeAspect="1" noChangeArrowheads="1"/>
                                          </pic:cNvPicPr>
                                        </pic:nvPicPr>
                                        <pic:blipFill>
                                          <a:blip r:embed="rId65"/>
                                          <a:stretch>
                                            <a:fillRect/>
                                          </a:stretch>
                                        </pic:blipFill>
                                        <pic:spPr bwMode="auto">
                                          <a:xfrm>
                                            <a:off x="0" y="0"/>
                                            <a:ext cx="190500" cy="180975"/>
                                          </a:xfrm>
                                          <a:prstGeom prst="rect">
                                            <a:avLst/>
                                          </a:prstGeom>
                                        </pic:spPr>
                                      </pic:pic>
                                    </a:graphicData>
                                  </a:graphic>
                                </wp:inline>
                              </w:drawing>
                            </w:r>
                            <w:bookmarkStart w:id="64" w:name="i-35"/>
                            <w:bookmarkEnd w:id="64"/>
                            <w:r>
                              <w:rPr>
                                <w:color w:val="000000"/>
                              </w:rPr>
                              <w:t xml:space="preserve"> </w:t>
                            </w:r>
                            <w:r>
                              <w:rPr>
                                <w:rFonts w:ascii="Arial Narrow;sans-serif" w:hAnsi="Arial Narrow;sans-serif"/>
                                <w:b w:val="false"/>
                                <w:color w:val="000000"/>
                                <w:sz w:val="20"/>
                              </w:rPr>
                              <w:t>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9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5" descr=""/>
                                    <pic:cNvPicPr>
                                      <a:picLocks noChangeAspect="1" noChangeArrowheads="1"/>
                                    </pic:cNvPicPr>
                                  </pic:nvPicPr>
                                  <pic:blipFill>
                                    <a:blip r:embed="rId66"/>
                                    <a:stretch>
                                      <a:fillRect/>
                                    </a:stretch>
                                  </pic:blipFill>
                                  <pic:spPr bwMode="auto">
                                    <a:xfrm>
                                      <a:off x="0" y="0"/>
                                      <a:ext cx="190500" cy="180975"/>
                                    </a:xfrm>
                                    <a:prstGeom prst="rect">
                                      <a:avLst/>
                                    </a:prstGeom>
                                  </pic:spPr>
                                </pic:pic>
                              </a:graphicData>
                            </a:graphic>
                          </wp:inline>
                        </w:drawing>
                      </w:r>
                      <w:bookmarkStart w:id="65" w:name="i-35"/>
                      <w:bookmarkEnd w:id="65"/>
                      <w:r>
                        <w:rPr>
                          <w:color w:val="000000"/>
                        </w:rPr>
                        <w:t xml:space="preserve"> </w:t>
                      </w:r>
                      <w:r>
                        <w:rPr>
                          <w:rFonts w:ascii="Arial Narrow;sans-serif" w:hAnsi="Arial Narrow;sans-serif"/>
                          <w:b w:val="false"/>
                          <w:color w:val="000000"/>
                          <w:sz w:val="20"/>
                        </w:rPr>
                        <w:t>Form 10-Q | 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 xml:space="preserve">Adjusted EBITDA and Adjusted EBITDA Margin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Adjusted EBITDA represents net income before depreciation and amortization, interest expense, interest income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revenues, net.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use Adjusted EBITDA and Adjusted EBITDA Margin (i) to evaluate our operating results and the effectiveness of our business strategies, (ii) internally as benchmarks to compare our performance to that of our competitors and (iii) as factors in evaluating management’s performance when determining incentive compensation.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believe that Adjusted EBITDA and Adjusted EBITDA Margin are important measures of operating performance because they eliminate the impact of expenses that do not relate to our core operating performance.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net income to Adjusted EBITDA and Adjusted EBITDA margin (in thousands):</w:t>
      </w:r>
    </w:p>
    <w:p>
      <w:pPr>
        <w:pStyle w:val="TextBody"/>
        <w:bidi w:val="0"/>
        <w:spacing w:before="0" w:after="0"/>
        <w:jc w:val="left"/>
        <w:rPr/>
      </w:pPr>
      <w:r>
        <w:rPr/>
      </w:r>
    </w:p>
    <w:tbl>
      <w:tblPr>
        <w:tblW w:w="9373" w:type="dxa"/>
        <w:jc w:val="left"/>
        <w:tblInd w:w="0" w:type="dxa"/>
        <w:tblLayout w:type="fixed"/>
        <w:tblCellMar>
          <w:top w:w="28" w:type="dxa"/>
          <w:left w:w="28" w:type="dxa"/>
          <w:bottom w:w="28" w:type="dxa"/>
          <w:right w:w="28" w:type="dxa"/>
        </w:tblCellMar>
      </w:tblPr>
      <w:tblGrid>
        <w:gridCol w:w="1469"/>
        <w:gridCol w:w="1284"/>
        <w:gridCol w:w="1296"/>
        <w:gridCol w:w="186"/>
        <w:gridCol w:w="587"/>
        <w:gridCol w:w="247"/>
        <w:gridCol w:w="109"/>
        <w:gridCol w:w="109"/>
        <w:gridCol w:w="109"/>
        <w:gridCol w:w="186"/>
        <w:gridCol w:w="587"/>
        <w:gridCol w:w="247"/>
        <w:gridCol w:w="109"/>
        <w:gridCol w:w="109"/>
        <w:gridCol w:w="109"/>
        <w:gridCol w:w="186"/>
        <w:gridCol w:w="587"/>
        <w:gridCol w:w="247"/>
        <w:gridCol w:w="109"/>
        <w:gridCol w:w="109"/>
        <w:gridCol w:w="109"/>
        <w:gridCol w:w="186"/>
        <w:gridCol w:w="587"/>
        <w:gridCol w:w="247"/>
        <w:gridCol w:w="109"/>
        <w:gridCol w:w="154"/>
      </w:tblGrid>
      <w:tr>
        <w:trPr/>
        <w:tc>
          <w:tcPr>
            <w:tcW w:w="14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7,155 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10,043 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6,646 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14,033 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Net income margin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3.6 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5.3 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1.7 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3.8 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8,254 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7,137 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5,726 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1,769 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3,679 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5,039 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77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22,790 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26,506 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35,630 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44,574 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rent (1)</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1,541 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3,232 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2,917 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2,604 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2,658 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5,834 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4,608 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Cloud-based software implementation costs (2)</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cloud-based software implementation costs (3)</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514 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(4)</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Transaction-related fees and expenses (5)</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Legal contingency (6)</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Strategic realignment costs (7)</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907 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1,616 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Consulting fees (8)</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 (9)</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(2,485)</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29,819 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30,064 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48,272 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51,274 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Adjusted EBITDA Margin (10)</w:t>
            </w:r>
          </w:p>
        </w:tc>
        <w:tc>
          <w:tcPr>
            <w:tcW w:w="773"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15.0 </w:t>
            </w:r>
          </w:p>
        </w:tc>
        <w:tc>
          <w:tcPr>
            <w:tcW w:w="2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16.0 </w:t>
            </w:r>
          </w:p>
        </w:tc>
        <w:tc>
          <w:tcPr>
            <w:tcW w:w="2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12.7 </w:t>
            </w:r>
          </w:p>
        </w:tc>
        <w:tc>
          <w:tcPr>
            <w:tcW w:w="2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14.1 </w:t>
            </w:r>
          </w:p>
        </w:tc>
        <w:tc>
          <w:tcPr>
            <w:tcW w:w="24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(1) Represents the difference between cash rent payments and the recognition of straight-line rent expense recognized over the lease term. </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 Represents non-capitalized third party consulting and software licensing costs incurred in connection with the implementation of a new HCM system which are included within general and administrative expenses.</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 Represents amortization of capitalized cloud-based ERP and HCM system implementation costs that are included within general and administrative expenses.</w:t>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 Represents loss on disposal of property and equipment included within other loss (income), net.</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(5) Represents certain expenses that management believes are not indicative of ongoing operations, consisting primarily of certain professional fees included within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2755"/>
                <wp:effectExtent l="0" t="0" r="0" b="0"/>
                <wp:wrapNone/>
                <wp:docPr id="98" name="Frame33"/>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9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6" descr=""/>
                                          <pic:cNvPicPr>
                                            <a:picLocks noChangeAspect="1" noChangeArrowheads="1"/>
                                          </pic:cNvPicPr>
                                        </pic:nvPicPr>
                                        <pic:blipFill>
                                          <a:blip r:embed="rId67"/>
                                          <a:stretch>
                                            <a:fillRect/>
                                          </a:stretch>
                                        </pic:blipFill>
                                        <pic:spPr bwMode="auto">
                                          <a:xfrm>
                                            <a:off x="0" y="0"/>
                                            <a:ext cx="190500" cy="180975"/>
                                          </a:xfrm>
                                          <a:prstGeom prst="rect">
                                            <a:avLst/>
                                          </a:prstGeom>
                                        </pic:spPr>
                                      </pic:pic>
                                    </a:graphicData>
                                  </a:graphic>
                                </wp:inline>
                              </w:drawing>
                            </w:r>
                            <w:bookmarkStart w:id="66" w:name="i-36"/>
                            <w:bookmarkEnd w:id="66"/>
                            <w:r>
                              <w:rPr>
                                <w:color w:val="000000"/>
                              </w:rPr>
                              <w:t xml:space="preserve"> </w:t>
                            </w:r>
                            <w:r>
                              <w:rPr>
                                <w:rFonts w:ascii="Arial Narrow;sans-serif" w:hAnsi="Arial Narrow;sans-serif"/>
                                <w:b w:val="false"/>
                                <w:color w:val="000000"/>
                                <w:sz w:val="20"/>
                              </w:rPr>
                              <w:t>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68"/>
                                    <a:stretch>
                                      <a:fillRect/>
                                    </a:stretch>
                                  </pic:blipFill>
                                  <pic:spPr bwMode="auto">
                                    <a:xfrm>
                                      <a:off x="0" y="0"/>
                                      <a:ext cx="190500" cy="180975"/>
                                    </a:xfrm>
                                    <a:prstGeom prst="rect">
                                      <a:avLst/>
                                    </a:prstGeom>
                                  </pic:spPr>
                                </pic:pic>
                              </a:graphicData>
                            </a:graphic>
                          </wp:inline>
                        </w:drawing>
                      </w:r>
                      <w:bookmarkStart w:id="67" w:name="i-36"/>
                      <w:bookmarkEnd w:id="67"/>
                      <w:r>
                        <w:rPr>
                          <w:color w:val="000000"/>
                        </w:rPr>
                        <w:t xml:space="preserve"> </w:t>
                      </w:r>
                      <w:r>
                        <w:rPr>
                          <w:rFonts w:ascii="Arial Narrow;sans-serif" w:hAnsi="Arial Narrow;sans-serif"/>
                          <w:b w:val="false"/>
                          <w:color w:val="000000"/>
                          <w:sz w:val="20"/>
                        </w:rPr>
                        <w:t>Form 10-Q | 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(6) Represents a legal contingency recorded in connection with the Maverick arbitration as discussed in Note 13. Contingencies, included within other loss (income), net.</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(7) Represents costs related to the Company's strategic reset of its development and growth plans and CEO transition and replacement costs. These costs are included within general and administrative expenses. </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(8) Represents fees incurred for discrete, project-based strategic initiatives that are not part of the Company's ongoing operations and are included within general and administrative expense. These costs consist primarily of third-party consulting fees related to a brand study and a spend optimization study. Given the magnitude and scope of these initiatives and that they are not expected to recur in the foreseeable future, the Company considers the associated consulting fees not reflective of the ongoing costs to operate its business.</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(9) Represents remeasurement of the Tax Receivable Agreement liability.</w:t>
      </w:r>
    </w:p>
    <w:p>
      <w:pPr>
        <w:pStyle w:val="TextBody"/>
        <w:bidi w:val="0"/>
        <w:spacing w:lineRule="auto" w:line="268" w:before="0" w:after="0"/>
        <w:jc w:val="left"/>
        <w:rPr>
          <w:rFonts w:ascii="Arial Narrow;sans-serif" w:hAnsi="Arial Narrow;sans-serif"/>
          <w:b w:val="false"/>
          <w:color w:val="000000"/>
          <w:sz w:val="18"/>
        </w:rPr>
      </w:pPr>
      <w:r>
        <w:rPr>
          <w:rFonts w:ascii="Arial Narrow;sans-serif" w:hAnsi="Arial Narrow;sans-serif"/>
          <w:b w:val="false"/>
          <w:color w:val="000000"/>
          <w:sz w:val="18"/>
        </w:rPr>
        <w:t>(10) Adjusted EBITDA Margin is defined as Adjusted EBITDA divided by Revenues, net.</w:t>
      </w:r>
    </w:p>
    <w:p>
      <w:pPr>
        <w:pStyle w:val="TextBody"/>
        <w:bidi w:val="0"/>
        <w:spacing w:before="0" w:after="0"/>
        <w:jc w:val="left"/>
        <w:rPr/>
      </w:pPr>
      <w:r>
        <w:rPr/>
      </w:r>
    </w:p>
    <w:p>
      <w:pPr>
        <w:pStyle w:val="TextBody"/>
        <w:bidi w:val="0"/>
        <w:spacing w:lineRule="auto" w:line="288" w:before="0" w:after="198"/>
        <w:jc w:val="both"/>
        <w:rPr>
          <w:rFonts w:ascii="Arial Narrow;sans-serif" w:hAnsi="Arial Narrow;sans-serif"/>
          <w:b/>
          <w:color w:val="D22630"/>
          <w:sz w:val="22"/>
        </w:rPr>
      </w:pPr>
      <w:r>
        <w:rPr>
          <w:rFonts w:ascii="Arial Narrow;sans-serif" w:hAnsi="Arial Narrow;sans-serif"/>
          <w:b/>
          <w:color w:val="D22630"/>
          <w:sz w:val="22"/>
        </w:rPr>
        <w:t xml:space="preserve">Restaurant-Level Adjusted EBITDA and Restaurant-Level Adjusted EBITDA Margin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Restaurant-Level Adjusted EBITDA is defined as revenue, less restaurant operating expenses, which include food, beverage and packaging costs,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revenues, net.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believe that Restaurant-Level Adjusted EBITDA and Restaurant-Level Adjusted EBITDA Margin are important measures to evaluate the performance and profitability of our restaurants, individually and in the aggregate.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reconciles operating income to Restaurant-Level Adjusted EBITDA and Restaurant-Level Adjusted EBITDA Margin (in thousands): </w:t>
      </w:r>
    </w:p>
    <w:tbl>
      <w:tblPr>
        <w:tblW w:w="8510" w:type="dxa"/>
        <w:jc w:val="left"/>
        <w:tblInd w:w="0" w:type="dxa"/>
        <w:tblLayout w:type="fixed"/>
        <w:tblCellMar>
          <w:top w:w="28" w:type="dxa"/>
          <w:left w:w="28" w:type="dxa"/>
          <w:bottom w:w="28" w:type="dxa"/>
          <w:right w:w="28" w:type="dxa"/>
        </w:tblCellMar>
      </w:tblPr>
      <w:tblGrid>
        <w:gridCol w:w="1230"/>
        <w:gridCol w:w="1083"/>
        <w:gridCol w:w="1092"/>
        <w:gridCol w:w="186"/>
        <w:gridCol w:w="587"/>
        <w:gridCol w:w="247"/>
        <w:gridCol w:w="109"/>
        <w:gridCol w:w="109"/>
        <w:gridCol w:w="109"/>
        <w:gridCol w:w="186"/>
        <w:gridCol w:w="587"/>
        <w:gridCol w:w="247"/>
        <w:gridCol w:w="109"/>
        <w:gridCol w:w="109"/>
        <w:gridCol w:w="109"/>
        <w:gridCol w:w="186"/>
        <w:gridCol w:w="587"/>
        <w:gridCol w:w="247"/>
        <w:gridCol w:w="109"/>
        <w:gridCol w:w="109"/>
        <w:gridCol w:w="109"/>
        <w:gridCol w:w="185"/>
        <w:gridCol w:w="586"/>
        <w:gridCol w:w="293"/>
      </w:tblGrid>
      <w:tr>
        <w:trPr/>
        <w:tc>
          <w:tcPr>
            <w:tcW w:w="123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13,776 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17,531 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18,268 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27,912 </w:t>
            </w:r>
          </w:p>
        </w:tc>
        <w:tc>
          <w:tcPr>
            <w:tcW w:w="29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i/>
                <w:color w:val="000000"/>
                <w:sz w:val="18"/>
              </w:rPr>
            </w:pPr>
            <w:r>
              <w:rPr>
                <w:rFonts w:ascii="Arial Narrow;sans-serif" w:hAnsi="Arial Narrow;sans-serif"/>
                <w:b w:val="false"/>
                <w:i/>
                <w:color w:val="000000"/>
                <w:sz w:val="18"/>
              </w:rPr>
              <w:t>Operating income margin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6.9 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9.3 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4.8 </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7.6 </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Plus:</w:t>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1,697 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3,488 </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2,205 </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8,254 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7,137 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16,190 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14,177 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(382)</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(610)</w:t>
            </w:r>
          </w:p>
        </w:tc>
        <w:tc>
          <w:tcPr>
            <w:tcW w:w="2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(546)</w:t>
            </w:r>
          </w:p>
        </w:tc>
        <w:tc>
          <w:tcPr>
            <w:tcW w:w="29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 net</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w:t>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43,247 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44,481 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78,091 </w:t>
            </w:r>
          </w:p>
        </w:tc>
        <w:tc>
          <w:tcPr>
            <w:tcW w:w="24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81,137 </w:t>
            </w:r>
          </w:p>
        </w:tc>
        <w:tc>
          <w:tcPr>
            <w:tcW w:w="29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Restaurant-Level Adjusted EBITDA Margin (1)</w:t>
            </w:r>
          </w:p>
        </w:tc>
        <w:tc>
          <w:tcPr>
            <w:tcW w:w="77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21.7 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23.6 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20.5 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22.2 </w:t>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i/>
                <w:color w:val="000000"/>
                <w:sz w:val="18"/>
              </w:rPr>
            </w:pPr>
            <w:r>
              <w:rPr>
                <w:rFonts w:ascii="Arial Narrow;sans-serif" w:hAnsi="Arial Narrow;sans-serif"/>
                <w:b w:val="false"/>
                <w:i/>
                <w:color w:val="000000"/>
                <w:sz w:val="18"/>
              </w:rPr>
              <w:t>%</w:t>
            </w:r>
          </w:p>
        </w:tc>
      </w:tr>
    </w:tbl>
    <w:p>
      <w:pPr>
        <w:pStyle w:val="TextBody"/>
        <w:bidi w:val="0"/>
        <w:spacing w:lineRule="auto" w:line="268" w:before="0" w:after="0"/>
        <w:jc w:val="both"/>
        <w:rPr>
          <w:rFonts w:ascii="Arial Narrow;sans-serif" w:hAnsi="Arial Narrow;sans-serif"/>
          <w:b w:val="false"/>
          <w:color w:val="000000"/>
          <w:sz w:val="18"/>
        </w:rPr>
      </w:pPr>
      <w:r>
        <w:rPr>
          <w:rFonts w:ascii="Arial Narrow;sans-serif" w:hAnsi="Arial Narrow;sans-serif"/>
          <w:b w:val="false"/>
          <w:color w:val="000000"/>
          <w:sz w:val="18"/>
        </w:rPr>
        <w:t>(1) Restaurant-Level Adjusted EBITDA Margin is defined as Restaurant-Level Adjusted EBITDA divided by Revenues, net.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Liquidity and Capital Resources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sources of liquidity are cash from operations, cash and cash equivalents on hand, and availability under our 2025 Revolver Facility. As of June 28, 2026, we maintained a cash and cash equivalents and restricted cash balance of $21.3 million and had $48.8 million of availability under our 2025 Revolver Facility, after giving effect to $4.2 million in outstanding letters of credit.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 Additionally, we continue to invest in technology, including upgrades to our IT infrastructure, to improve operational efficiency and the guest experience.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Based upon current levels of operations and anticipated growth, we expect that cash flows from operations will be sufficient to meet our needs for at least the next twelve months, and the foreseeable future.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2755"/>
                <wp:effectExtent l="0" t="0" r="0" b="0"/>
                <wp:wrapNone/>
                <wp:docPr id="101" name="Frame3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0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7" descr=""/>
                                          <pic:cNvPicPr>
                                            <a:picLocks noChangeAspect="1" noChangeArrowheads="1"/>
                                          </pic:cNvPicPr>
                                        </pic:nvPicPr>
                                        <pic:blipFill>
                                          <a:blip r:embed="rId69"/>
                                          <a:stretch>
                                            <a:fillRect/>
                                          </a:stretch>
                                        </pic:blipFill>
                                        <pic:spPr bwMode="auto">
                                          <a:xfrm>
                                            <a:off x="0" y="0"/>
                                            <a:ext cx="190500" cy="180975"/>
                                          </a:xfrm>
                                          <a:prstGeom prst="rect">
                                            <a:avLst/>
                                          </a:prstGeom>
                                        </pic:spPr>
                                      </pic:pic>
                                    </a:graphicData>
                                  </a:graphic>
                                </wp:inline>
                              </w:drawing>
                            </w:r>
                            <w:bookmarkStart w:id="68" w:name="i-37"/>
                            <w:bookmarkEnd w:id="68"/>
                            <w:r>
                              <w:rPr>
                                <w:color w:val="000000"/>
                              </w:rPr>
                              <w:t xml:space="preserve"> </w:t>
                            </w:r>
                            <w:r>
                              <w:rPr>
                                <w:rFonts w:ascii="Arial Narrow;sans-serif" w:hAnsi="Arial Narrow;sans-serif"/>
                                <w:b w:val="false"/>
                                <w:color w:val="000000"/>
                                <w:sz w:val="20"/>
                              </w:rPr>
                              <w:t>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70"/>
                                    <a:stretch>
                                      <a:fillRect/>
                                    </a:stretch>
                                  </pic:blipFill>
                                  <pic:spPr bwMode="auto">
                                    <a:xfrm>
                                      <a:off x="0" y="0"/>
                                      <a:ext cx="190500" cy="180975"/>
                                    </a:xfrm>
                                    <a:prstGeom prst="rect">
                                      <a:avLst/>
                                    </a:prstGeom>
                                  </pic:spPr>
                                </pic:pic>
                              </a:graphicData>
                            </a:graphic>
                          </wp:inline>
                        </w:drawing>
                      </w:r>
                      <w:bookmarkStart w:id="69" w:name="i-37"/>
                      <w:bookmarkEnd w:id="69"/>
                      <w:r>
                        <w:rPr>
                          <w:color w:val="000000"/>
                        </w:rPr>
                        <w:t xml:space="preserve"> </w:t>
                      </w:r>
                      <w:r>
                        <w:rPr>
                          <w:rFonts w:ascii="Arial Narrow;sans-serif" w:hAnsi="Arial Narrow;sans-serif"/>
                          <w:b w:val="false"/>
                          <w:color w:val="000000"/>
                          <w:sz w:val="20"/>
                        </w:rPr>
                        <w:t>Form 10-Q | 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Tax Receivable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IPO, we entered into a Tax Receivable Agreement ("TRA") with certain of our pre-IPO LLC Members, pursuant to which we will generally be required to pay 85% of the amount of cash savings, if any, in U.S. federal, state, and local income tax that we actually realize or are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28, 2026, we estimate that our obligation for future payments under the TRA totaled $343.4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$404.0 million as of June 28, 2026. Under this scenario, we would be required to pay the TRA Parties approximately 85% of such amount, or $343.4 million, primarily over the next 15 years, substantially declining in year 16 through year 47. In the two quarters ended June 28, 2026 and June 29, 2025, we made TRA payments of $7.9 million relating to tax year 2024 and $7.7 million relating to tax year 2023, respectively. We expect a payment of $1.3 million relating to tax year 2025 to be paid within the next 12 months.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Summary of Cash Flows</w:t>
      </w:r>
    </w:p>
    <w:p>
      <w:pPr>
        <w:pStyle w:val="TextBody"/>
        <w:bidi w:val="0"/>
        <w:spacing w:before="0" w:after="0"/>
        <w:jc w:val="left"/>
        <w:rPr/>
      </w:pPr>
      <w:r>
        <w:rPr/>
      </w:r>
    </w:p>
    <w:p>
      <w:pPr>
        <w:pStyle w:val="TextBody"/>
        <w:bidi w:val="0"/>
        <w:spacing w:lineRule="auto" w:line="288" w:before="0" w:after="198"/>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our cash flows from operating, investing and financing activities (in thousands):</w:t>
      </w:r>
    </w:p>
    <w:tbl>
      <w:tblPr>
        <w:tblW w:w="7135" w:type="dxa"/>
        <w:jc w:val="left"/>
        <w:tblInd w:w="0" w:type="dxa"/>
        <w:tblLayout w:type="fixed"/>
        <w:tblCellMar>
          <w:top w:w="28" w:type="dxa"/>
          <w:left w:w="28" w:type="dxa"/>
          <w:bottom w:w="28" w:type="dxa"/>
          <w:right w:w="28" w:type="dxa"/>
        </w:tblCellMar>
      </w:tblPr>
      <w:tblGrid>
        <w:gridCol w:w="1709"/>
        <w:gridCol w:w="1504"/>
        <w:gridCol w:w="1511"/>
        <w:gridCol w:w="214"/>
        <w:gridCol w:w="677"/>
        <w:gridCol w:w="129"/>
        <w:gridCol w:w="109"/>
        <w:gridCol w:w="109"/>
        <w:gridCol w:w="109"/>
        <w:gridCol w:w="212"/>
        <w:gridCol w:w="671"/>
        <w:gridCol w:w="181"/>
      </w:tblGrid>
      <w:tr>
        <w:trPr/>
        <w:tc>
          <w:tcPr>
            <w:tcW w:w="17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Two Quarters Ended</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June 29, 2025</w:t>
            </w:r>
          </w:p>
        </w:tc>
      </w:tr>
      <w:tr>
        <w:trPr/>
        <w:tc>
          <w:tcPr>
            <w:tcW w:w="4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21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35,128 </w:t>
            </w:r>
          </w:p>
        </w:tc>
        <w:tc>
          <w:tcPr>
            <w:tcW w:w="12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28,693 </w:t>
            </w:r>
          </w:p>
        </w:tc>
        <w:tc>
          <w:tcPr>
            <w:tcW w:w="18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(29,981)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(33,076)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(3,857)</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(1,872)</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 and restricted cash</w:t>
            </w:r>
          </w:p>
        </w:tc>
        <w:tc>
          <w:tcPr>
            <w:tcW w:w="8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(6,255)</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91"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19,963 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21,253 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16,621 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Operating Activities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Net cash provided by operating activities for the two quarters ended June 28, 2026 was $35.1 million compared to net cash provided by operating activities of $28.7 million for the two quarters ended June 29, 2025, an increase of $6.4 million or 22.4%. This increase was primarily driven by the change in operating assets and liabilities of $12.7 million and the change in non-cash items of $1.1 million, partially offset by a decrease in net income of $7.4 million.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$12.7 million change in our operating assets and liabilities balances was primarily driven by operating assets and liabilities being a source of net cash of $6.0 million in the two quarters ended June 28, 2026, compared to a use of net cash of $6.7 million in two quarters ended June 29, 2025 driven by the change in accounts payable, deferred lease incentives, and accrued expenses and other liabilities in the two quarters ended June 28, 2026. The $1.1 million change from the two quarters ended June 28, 2026 in non-cash charges is primarily driven by higher depreciation and amortization expense, a decrease in our tax receivable agreement liability adjustment, and an increase in equity-based compensation expense, partially offset by a decrease in deferred income tax expense. The change in net income for the two quarters ended June 28, 2026 was primarily due to the factors driving the aforementioned change in revenues and expenses as described in the condensed consolidated results of operations in the two quarters ended June 28, 2026 compared to the two quarters ended June 29,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2755"/>
                <wp:effectExtent l="0" t="0" r="0" b="0"/>
                <wp:wrapNone/>
                <wp:docPr id="104" name="Frame3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71"/>
                                          <a:stretch>
                                            <a:fillRect/>
                                          </a:stretch>
                                        </pic:blipFill>
                                        <pic:spPr bwMode="auto">
                                          <a:xfrm>
                                            <a:off x="0" y="0"/>
                                            <a:ext cx="190500" cy="180975"/>
                                          </a:xfrm>
                                          <a:prstGeom prst="rect">
                                            <a:avLst/>
                                          </a:prstGeom>
                                        </pic:spPr>
                                      </pic:pic>
                                    </a:graphicData>
                                  </a:graphic>
                                </wp:inline>
                              </w:drawing>
                            </w:r>
                            <w:bookmarkStart w:id="70" w:name="i-38"/>
                            <w:bookmarkEnd w:id="70"/>
                            <w:r>
                              <w:rPr>
                                <w:color w:val="000000"/>
                              </w:rPr>
                              <w:t xml:space="preserve"> </w:t>
                            </w:r>
                            <w:r>
                              <w:rPr>
                                <w:rFonts w:ascii="Arial Narrow;sans-serif" w:hAnsi="Arial Narrow;sans-serif"/>
                                <w:b w:val="false"/>
                                <w:color w:val="000000"/>
                                <w:sz w:val="20"/>
                              </w:rPr>
                              <w:t>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72"/>
                                    <a:stretch>
                                      <a:fillRect/>
                                    </a:stretch>
                                  </pic:blipFill>
                                  <pic:spPr bwMode="auto">
                                    <a:xfrm>
                                      <a:off x="0" y="0"/>
                                      <a:ext cx="190500" cy="180975"/>
                                    </a:xfrm>
                                    <a:prstGeom prst="rect">
                                      <a:avLst/>
                                    </a:prstGeom>
                                  </pic:spPr>
                                </pic:pic>
                              </a:graphicData>
                            </a:graphic>
                          </wp:inline>
                        </w:drawing>
                      </w:r>
                      <w:bookmarkStart w:id="71" w:name="i-38"/>
                      <w:bookmarkEnd w:id="71"/>
                      <w:r>
                        <w:rPr>
                          <w:color w:val="000000"/>
                        </w:rPr>
                        <w:t xml:space="preserve"> </w:t>
                      </w:r>
                      <w:r>
                        <w:rPr>
                          <w:rFonts w:ascii="Arial Narrow;sans-serif" w:hAnsi="Arial Narrow;sans-serif"/>
                          <w:b w:val="false"/>
                          <w:color w:val="000000"/>
                          <w:sz w:val="20"/>
                        </w:rPr>
                        <w:t>Form 10-Q | 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Investing Activities</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$30.0 million for the two quarters ended June 28, 2026 compared to $33.1 million for the two quarters ended June 29, 2025, a decrease of $3.1 million or 9.4%. This decrease was primarily due to the number, format and timing of restaurant builds in process.</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color w:val="D22630"/>
          <w:sz w:val="22"/>
        </w:rPr>
      </w:pPr>
      <w:r>
        <w:rPr>
          <w:rFonts w:ascii="Arial Narrow;sans-serif" w:hAnsi="Arial Narrow;sans-serif"/>
          <w:b/>
          <w:color w:val="D22630"/>
          <w:sz w:val="22"/>
        </w:rPr>
        <w:t>Financing Activities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$3.9 million for the two quarters ended June 28, 2026 compared to net cash used in financing activities of $1.9 million for the two quarters ended June 29, 2025, a decrease of $2.0 million or 106.0%. This increase was primarily driven by lower net short-term borrowings under the 2025 Credit Agreement and reduced proceeds from equity-based compensation plan activity, partially offset by the absence of deferred financing costs and lower distributions to noncontrolling interest holders.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2025 Revolver Facility and Liens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January 27, 2025, PHD Intermediate LLC, Portillo’s Holdings LLC, the other Guarantors party thereto, the Lenders from time to time party thereto and Fifth Third Bank, National Association, as Administrative Agent, the L/C Issuer and the Swing Line Lender entered into an amendment (the “Amendment”) to the 2023 Credit Agreement (as amended by the Amendment and as may be amended, restated, supplemented or otherwise modified from time to time thereafter, the “2025 Credit Agreement”).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Amendment provides for, among other things, (i) a $250 million term loan A facility (the “2025 Term Loan Facility”) and (ii) revolving credit commitments in an initial aggregate principal amount of $150 million (the “2025 Revolver Facility” and, together with the Term Loan Facility, the “2025 Facilities”), the proceeds of which will be used to refinance indebtedness under the 2023 Credit Agreement, for general corporate purposes and working capital needs and for other activities permitted under the 2025 Credit Agreement. The loans under each of the 2025 Facilities mature on January 27, 2030.</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June 28, 2026, we had $97.0 million of borrowings under the 2025 Revolver Facility, and letters of credit issued under the 2025 Revolver Facility totaled $4.2 million. As a result, as of June 28, 2026, the Company had $48.8 million available under the 2025 Revolver Facility.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2025 Credit Agreement contains customary representations and warranties, events of default, reporting and other affirmative covenants and negative covenants, including limitations on indebtedness, liens, investments, negative pledges, dividends, junior financings and other fundamental changes. As of June 28, 2026, the Company was in compliance with financial covenants in the 2025 Credit Agreement.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Material Cash Requirements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There have been no material changes to the material cash requirements as disclosed in our</w:t>
      </w:r>
      <w:r>
        <w:rPr>
          <w:color w:val="000000"/>
          <w:shd w:fill="FFFFFF" w:val="clear"/>
        </w:rPr>
        <w:t xml:space="preserve"> </w:t>
      </w:r>
      <w:r>
        <w:rPr>
          <w:rFonts w:ascii="Arial Narrow;sans-serif" w:hAnsi="Arial Narrow;sans-serif"/>
          <w:b w:val="false"/>
          <w:color w:val="000000"/>
          <w:sz w:val="20"/>
          <w:shd w:fill="FFFFFF" w:val="clear"/>
        </w:rPr>
        <w:t xml:space="preserve">Annual Report on Form 10-K for the fiscal year ended </w:t>
      </w:r>
      <w:r>
        <w:rPr>
          <w:rFonts w:ascii="Arial Narrow;sans-serif" w:hAnsi="Arial Narrow;sans-serif"/>
          <w:b w:val="false"/>
          <w:color w:val="000000"/>
          <w:sz w:val="20"/>
        </w:rPr>
        <w:t>December 28, 2025, other than those payments made in the ordinary course of business.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Refer to Note 8. Debt for further information on or about our obligations and the timing of expected payments.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Critical Accounting Estimates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 xml:space="preserve">This discussion and analysis of financial condition and results of operations is based upon the Company's condensed consolidated financial statements, which have been prepared in accordance with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w:t>
      </w:r>
      <w:r>
        <w:rPr>
          <w:rFonts w:ascii="Arial Narrow;sans-serif" w:hAnsi="Arial Narrow;sans-serif"/>
          <w:b w:val="false"/>
          <w:color w:val="000000"/>
          <w:sz w:val="20"/>
          <w:shd w:fill="FFFFFF" w:val="clear"/>
        </w:rPr>
        <w:t xml:space="preserve">in our Annual Report on Form 10-K for the fiscal year ended </w:t>
      </w:r>
      <w:r>
        <w:rPr>
          <w:rFonts w:ascii="Arial Narrow;sans-serif" w:hAnsi="Arial Narrow;sans-serif"/>
          <w:b w:val="false"/>
          <w:color w:val="000000"/>
          <w:sz w:val="20"/>
        </w:rPr>
        <w:t>December 28, 2025</w:t>
      </w:r>
      <w:r>
        <w:rPr>
          <w:rFonts w:ascii="Arial Narrow;sans-serif" w:hAnsi="Arial Narrow;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shd w:fill="FFFFFF" w:val="clear"/>
        </w:rPr>
        <w:t xml:space="preserve">Refer to </w:t>
      </w:r>
      <w:r>
        <w:rPr>
          <w:rFonts w:ascii="Arial Narrow;sans-serif" w:hAnsi="Arial Narrow;sans-serif"/>
          <w:b w:val="false"/>
          <w:color w:val="000000"/>
          <w:sz w:val="20"/>
        </w:rPr>
        <w:t>Note 2. Summary Of Significant Accounting Policies</w:t>
      </w:r>
      <w:r>
        <w:rPr>
          <w:color w:val="000000"/>
          <w:shd w:fill="FFFFFF" w:val="clear"/>
        </w:rPr>
        <w:t xml:space="preserve"> </w:t>
      </w:r>
      <w:r>
        <w:rPr>
          <w:rFonts w:ascii="Arial Narrow;sans-serif" w:hAnsi="Arial Narrow;sans-serif"/>
          <w:b w:val="false"/>
          <w:color w:val="000000"/>
          <w:sz w:val="20"/>
          <w:shd w:fill="FFFFFF" w:val="clear"/>
        </w:rPr>
        <w:t xml:space="preserve">for the Company's assessment of all other recently issued accounting pronouncements.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2755"/>
                <wp:effectExtent l="0" t="0" r="0" b="0"/>
                <wp:wrapNone/>
                <wp:docPr id="107" name="Frame36"/>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73"/>
                                          <a:stretch>
                                            <a:fillRect/>
                                          </a:stretch>
                                        </pic:blipFill>
                                        <pic:spPr bwMode="auto">
                                          <a:xfrm>
                                            <a:off x="0" y="0"/>
                                            <a:ext cx="190500" cy="180975"/>
                                          </a:xfrm>
                                          <a:prstGeom prst="rect">
                                            <a:avLst/>
                                          </a:prstGeom>
                                        </pic:spPr>
                                      </pic:pic>
                                    </a:graphicData>
                                  </a:graphic>
                                </wp:inline>
                              </w:drawing>
                            </w:r>
                            <w:bookmarkStart w:id="72" w:name="i-39"/>
                            <w:bookmarkEnd w:id="72"/>
                            <w:r>
                              <w:rPr>
                                <w:color w:val="000000"/>
                              </w:rPr>
                              <w:t xml:space="preserve"> </w:t>
                            </w:r>
                            <w:r>
                              <w:rPr>
                                <w:rFonts w:ascii="Arial Narrow;sans-serif" w:hAnsi="Arial Narrow;sans-serif"/>
                                <w:b w:val="false"/>
                                <w:color w:val="000000"/>
                                <w:sz w:val="20"/>
                              </w:rPr>
                              <w:t>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74"/>
                                    <a:stretch>
                                      <a:fillRect/>
                                    </a:stretch>
                                  </pic:blipFill>
                                  <pic:spPr bwMode="auto">
                                    <a:xfrm>
                                      <a:off x="0" y="0"/>
                                      <a:ext cx="190500" cy="180975"/>
                                    </a:xfrm>
                                    <a:prstGeom prst="rect">
                                      <a:avLst/>
                                    </a:prstGeom>
                                  </pic:spPr>
                                </pic:pic>
                              </a:graphicData>
                            </a:graphic>
                          </wp:inline>
                        </w:drawing>
                      </w:r>
                      <w:bookmarkStart w:id="73" w:name="i-39"/>
                      <w:bookmarkEnd w:id="73"/>
                      <w:r>
                        <w:rPr>
                          <w:color w:val="000000"/>
                        </w:rPr>
                        <w:t xml:space="preserve"> </w:t>
                      </w:r>
                      <w:r>
                        <w:rPr>
                          <w:rFonts w:ascii="Arial Narrow;sans-serif" w:hAnsi="Arial Narrow;sans-serif"/>
                          <w:b w:val="false"/>
                          <w:color w:val="000000"/>
                          <w:sz w:val="20"/>
                        </w:rPr>
                        <w:t>Form 10-Q | 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shd w:fill="FFFFFF" w:val="clear"/>
        </w:rPr>
        <w:t xml:space="preserve">There have been no material changes to our exposure to market risks as described in Part II, Item 7A of our Annual Report on Form 10-K for the fiscal year ended </w:t>
      </w:r>
      <w:r>
        <w:rPr>
          <w:rFonts w:ascii="Arial Narrow;sans-serif" w:hAnsi="Arial Narrow;sans-serif"/>
          <w:b w:val="false"/>
          <w:color w:val="000000"/>
          <w:sz w:val="20"/>
        </w:rPr>
        <w:t>December 28, 2025</w:t>
      </w:r>
      <w:r>
        <w:rPr>
          <w:rFonts w:ascii="Arial Narrow;sans-serif" w:hAnsi="Arial Narrow;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4. Controls and Procedures.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Under the supervision and with the participation of our management, including the Chief Executive Officer and Interim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Interim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Interim Chief Financial Officer,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D22630"/>
          <w:sz w:val="22"/>
        </w:rPr>
      </w:pPr>
      <w:r>
        <w:rPr>
          <w:rFonts w:ascii="Arial Narrow;sans-serif" w:hAnsi="Arial Narrow;sans-serif"/>
          <w:b/>
          <w:color w:val="D2263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during the quarter ended June 28, 2026 identified in connection with the evaluation required by Rules 13a-15(d) and 15d-15(d) of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2755"/>
                <wp:effectExtent l="0" t="0" r="0" b="0"/>
                <wp:wrapNone/>
                <wp:docPr id="110" name="Frame37"/>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1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0" descr=""/>
                                          <pic:cNvPicPr>
                                            <a:picLocks noChangeAspect="1" noChangeArrowheads="1"/>
                                          </pic:cNvPicPr>
                                        </pic:nvPicPr>
                                        <pic:blipFill>
                                          <a:blip r:embed="rId75"/>
                                          <a:stretch>
                                            <a:fillRect/>
                                          </a:stretch>
                                        </pic:blipFill>
                                        <pic:spPr bwMode="auto">
                                          <a:xfrm>
                                            <a:off x="0" y="0"/>
                                            <a:ext cx="190500" cy="180975"/>
                                          </a:xfrm>
                                          <a:prstGeom prst="rect">
                                            <a:avLst/>
                                          </a:prstGeom>
                                        </pic:spPr>
                                      </pic:pic>
                                    </a:graphicData>
                                  </a:graphic>
                                </wp:inline>
                              </w:drawing>
                            </w:r>
                            <w:bookmarkStart w:id="74" w:name="i-40"/>
                            <w:bookmarkEnd w:id="74"/>
                            <w:r>
                              <w:rPr>
                                <w:color w:val="000000"/>
                              </w:rPr>
                              <w:t xml:space="preserve"> </w:t>
                            </w:r>
                            <w:r>
                              <w:rPr>
                                <w:rFonts w:ascii="Arial Narrow;sans-serif" w:hAnsi="Arial Narrow;sans-serif"/>
                                <w:b w:val="false"/>
                                <w:color w:val="000000"/>
                                <w:sz w:val="20"/>
                              </w:rPr>
                              <w:t>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1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0" descr=""/>
                                    <pic:cNvPicPr>
                                      <a:picLocks noChangeAspect="1" noChangeArrowheads="1"/>
                                    </pic:cNvPicPr>
                                  </pic:nvPicPr>
                                  <pic:blipFill>
                                    <a:blip r:embed="rId76"/>
                                    <a:stretch>
                                      <a:fillRect/>
                                    </a:stretch>
                                  </pic:blipFill>
                                  <pic:spPr bwMode="auto">
                                    <a:xfrm>
                                      <a:off x="0" y="0"/>
                                      <a:ext cx="190500" cy="180975"/>
                                    </a:xfrm>
                                    <a:prstGeom prst="rect">
                                      <a:avLst/>
                                    </a:prstGeom>
                                  </pic:spPr>
                                </pic:pic>
                              </a:graphicData>
                            </a:graphic>
                          </wp:inline>
                        </w:drawing>
                      </w:r>
                      <w:bookmarkStart w:id="75" w:name="i-40"/>
                      <w:bookmarkEnd w:id="75"/>
                      <w:r>
                        <w:rPr>
                          <w:color w:val="000000"/>
                        </w:rPr>
                        <w:t xml:space="preserve"> </w:t>
                      </w:r>
                      <w:r>
                        <w:rPr>
                          <w:rFonts w:ascii="Arial Narrow;sans-serif" w:hAnsi="Arial Narrow;sans-serif"/>
                          <w:b w:val="false"/>
                          <w:color w:val="000000"/>
                          <w:sz w:val="20"/>
                        </w:rPr>
                        <w:t>Form 10-Q | 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PART II – OTHER INFORMATION</w:t>
      </w:r>
    </w:p>
    <w:p>
      <w:pPr>
        <w:pStyle w:val="TextBody"/>
        <w:bidi w:val="0"/>
        <w:spacing w:before="0" w:after="0"/>
        <w:jc w:val="center"/>
        <w:rPr/>
      </w:pPr>
      <w:r>
        <w:rPr/>
        <w:drawing>
          <wp:inline distT="0" distB="0" distL="0" distR="0">
            <wp:extent cx="6629400" cy="361950"/>
            <wp:effectExtent l="0" t="0" r="0" b="0"/>
            <wp:docPr id="11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1" descr=""/>
                    <pic:cNvPicPr>
                      <a:picLocks noChangeAspect="1" noChangeArrowheads="1"/>
                    </pic:cNvPicPr>
                  </pic:nvPicPr>
                  <pic:blipFill>
                    <a:blip r:embed="rId77"/>
                    <a:stretch>
                      <a:fillRect/>
                    </a:stretch>
                  </pic:blipFill>
                  <pic:spPr bwMode="auto">
                    <a:xfrm>
                      <a:off x="0" y="0"/>
                      <a:ext cx="6629400" cy="361950"/>
                    </a:xfrm>
                    <a:prstGeom prst="rect">
                      <a:avLst/>
                    </a:prstGeom>
                  </pic:spPr>
                </pic:pic>
              </a:graphicData>
            </a:graphic>
          </wp:inline>
        </w:drawing>
      </w:r>
      <w:bookmarkStart w:id="76" w:name="i-41"/>
      <w:bookmarkEnd w:id="76"/>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1. Legal Proceedings.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Information regarding certain legal proceedings to which the Company is a party is provided in Note 13. Contingencies in the notes to the unaudited condensed consolidated financial statements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1A. Risk Factors.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There have been no material changes to the risk factors disclosed in the Company's Annual Report on Form 10-K for the fiscal year ended December 28,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Under the Second Amended and Restated LLC Agreement of Portillo’s OpCo dated as of October 20, 2021 (the “OpCo LLCA”), the holders of LLC Units (other than the Company) may from time to time require Portillo’s OpCo to redeem all or a portion of their LLC Units for newly-issued shares of Class A common stock on a one-for-one basis in accordance with the terms of the OpCo LLCA.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4. Mine Safety Disclosures.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5. Other Information.</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Rule 10b5-1 Trading Arrangements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quarter ended June 28, 2026, no director or officer of the Company adopted, amended or terminated a "Rule 10b5-1 trading arrangement" or "non-Rule 10b5-1 trading arrangement," as each term is defined in Item 408 of Regulation S-K.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Restructuring Plan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July 31, 2026, in response to evolving business needs, the Company implemented a reduction in force impacting approximately 18% of the Company’s corporate headquarters workforce (the “Plan”). The Plan is designed to advance the Company’s path towards profitability by streamlining its organizational structure and optimizing operating expenses to gain operational efficiencies. The Plan is intended to ensure resources are aligned with the Company’s strategic priorities. Under the Plan, the Company anticipates recognizing restructuring charges, including severance, outplacement services, and benefits continuation. The Company estimates that the foregoing charges will be approximately $1.1 million and believes the charges will be recognized primarily in the third quarter of 2026. The majority of the $1.1 million in charges will result in cash expenditures and are expected to be paid by the end of the fourth quarter of 2026. The Company anticipates substantially completing the Plan by the end of fiscal year 2026, subject to, among other things, applicable legal requirements.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estimate of the charges that the Company expects to incur in connection with the Plan, and the timing thereof, are subject to a number of assumptions, including local legal requirements in various jurisdictions, and actual amounts may differ. In addition, the Company may incur other charges not currently contemplated due to unanticipated events that may occur, including in connection with the implementation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2755"/>
                <wp:effectExtent l="0" t="0" r="0" b="0"/>
                <wp:wrapNone/>
                <wp:docPr id="114" name="Frame38"/>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1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2" descr=""/>
                                          <pic:cNvPicPr>
                                            <a:picLocks noChangeAspect="1" noChangeArrowheads="1"/>
                                          </pic:cNvPicPr>
                                        </pic:nvPicPr>
                                        <pic:blipFill>
                                          <a:blip r:embed="rId78"/>
                                          <a:stretch>
                                            <a:fillRect/>
                                          </a:stretch>
                                        </pic:blipFill>
                                        <pic:spPr bwMode="auto">
                                          <a:xfrm>
                                            <a:off x="0" y="0"/>
                                            <a:ext cx="190500" cy="180975"/>
                                          </a:xfrm>
                                          <a:prstGeom prst="rect">
                                            <a:avLst/>
                                          </a:prstGeom>
                                        </pic:spPr>
                                      </pic:pic>
                                    </a:graphicData>
                                  </a:graphic>
                                </wp:inline>
                              </w:drawing>
                            </w:r>
                            <w:bookmarkStart w:id="77" w:name="i-42"/>
                            <w:bookmarkEnd w:id="77"/>
                            <w:r>
                              <w:rPr>
                                <w:color w:val="000000"/>
                              </w:rPr>
                              <w:t xml:space="preserve"> </w:t>
                            </w:r>
                            <w:r>
                              <w:rPr>
                                <w:rFonts w:ascii="Arial Narrow;sans-serif" w:hAnsi="Arial Narrow;sans-serif"/>
                                <w:b w:val="false"/>
                                <w:color w:val="000000"/>
                                <w:sz w:val="20"/>
                              </w:rPr>
                              <w:t>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79"/>
                                    <a:stretch>
                                      <a:fillRect/>
                                    </a:stretch>
                                  </pic:blipFill>
                                  <pic:spPr bwMode="auto">
                                    <a:xfrm>
                                      <a:off x="0" y="0"/>
                                      <a:ext cx="190500" cy="180975"/>
                                    </a:xfrm>
                                    <a:prstGeom prst="rect">
                                      <a:avLst/>
                                    </a:prstGeom>
                                  </pic:spPr>
                                </pic:pic>
                              </a:graphicData>
                            </a:graphic>
                          </wp:inline>
                        </w:drawing>
                      </w:r>
                      <w:bookmarkStart w:id="78" w:name="i-42"/>
                      <w:bookmarkEnd w:id="78"/>
                      <w:r>
                        <w:rPr>
                          <w:color w:val="000000"/>
                        </w:rPr>
                        <w:t xml:space="preserve"> </w:t>
                      </w:r>
                      <w:r>
                        <w:rPr>
                          <w:rFonts w:ascii="Arial Narrow;sans-serif" w:hAnsi="Arial Narrow;sans-serif"/>
                          <w:b w:val="false"/>
                          <w:color w:val="000000"/>
                          <w:sz w:val="20"/>
                        </w:rPr>
                        <w:t>Form 10-Q | 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left"/>
        <w:rPr>
          <w:rFonts w:ascii="Arial Narrow;sans-serif" w:hAnsi="Arial Narrow;sans-serif"/>
          <w:b/>
          <w:color w:val="414042"/>
          <w:sz w:val="24"/>
        </w:rPr>
      </w:pPr>
      <w:r>
        <w:rPr>
          <w:rFonts w:ascii="Arial Narrow;sans-serif" w:hAnsi="Arial Narrow;sans-serif"/>
          <w:b/>
          <w:color w:val="414042"/>
          <w:sz w:val="24"/>
        </w:rPr>
        <w:t>Item 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1"/>
        <w:gridCol w:w="326"/>
        <w:gridCol w:w="329"/>
        <w:gridCol w:w="109"/>
        <w:gridCol w:w="109"/>
        <w:gridCol w:w="109"/>
        <w:gridCol w:w="2651"/>
        <w:gridCol w:w="2559"/>
        <w:gridCol w:w="2587"/>
        <w:gridCol w:w="307"/>
        <w:gridCol w:w="307"/>
        <w:gridCol w:w="441"/>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Description</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Filed Herewith</w:t>
            </w:r>
          </w:p>
        </w:tc>
      </w:tr>
      <w:tr>
        <w:trPr/>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Arial Narrow;sans-serif" w:hAnsi="Arial Narrow;sans-serif"/>
                  <w:b w:val="false"/>
                  <w:color w:val="000000"/>
                  <w:sz w:val="20"/>
                  <w:u w:val="single"/>
                </w:rPr>
                <w:t>3.1</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81">
              <w:r>
                <w:rPr>
                  <w:rStyle w:val="InternetLink"/>
                  <w:rFonts w:ascii="Arial Narrow;sans-serif" w:hAnsi="Arial Narrow;sans-serif"/>
                  <w:b w:val="false"/>
                  <w:color w:val="000000"/>
                  <w:sz w:val="20"/>
                  <w:u w:val="single"/>
                </w:rPr>
                <w:t>Amended and Restated Certificate of Incorporation of Portillo's Inc. (incorporated by reference to Exhibit 3.1 of the Company's Quarterly Report on Form 10-Q filed on November 18, 2021)</w:t>
              </w:r>
            </w:hyperlink>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2">
              <w:r>
                <w:rPr>
                  <w:rStyle w:val="InternetLink"/>
                  <w:rFonts w:ascii="Arial Narrow;sans-serif" w:hAnsi="Arial Narrow;sans-serif"/>
                  <w:b w:val="false"/>
                  <w:color w:val="000000"/>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Arial Narrow;sans-serif" w:hAnsi="Arial Narrow;sans-serif"/>
                  <w:b w:val="false"/>
                  <w:color w:val="000000"/>
                  <w:sz w:val="20"/>
                  <w:u w:val="single"/>
                </w:rPr>
                <w:t>Amended and Restated Bylaws of Portillo’s Inc. (incorporated by reference to Exhibit 3.2 of the Company's Quarterly Report on Form 10-Q filed on November 18, 2021)</w:t>
              </w:r>
            </w:hyperlink>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4">
              <w:r>
                <w:rPr>
                  <w:rStyle w:val="InternetLink"/>
                  <w:rFonts w:ascii="Arial Narrow;sans-serif" w:hAnsi="Arial Narrow;sans-serif"/>
                  <w:b w:val="false"/>
                  <w:color w:val="000000"/>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5">
              <w:r>
                <w:rPr>
                  <w:rStyle w:val="InternetLink"/>
                  <w:rFonts w:ascii="Arial Narrow;sans-serif" w:hAnsi="Arial Narrow;sans-serif"/>
                  <w:b w:val="false"/>
                  <w:color w:val="000000"/>
                  <w:sz w:val="20"/>
                  <w:u w:val="single"/>
                </w:rPr>
                <w:t>Independent Contractor Agreement between Portillo's Hot Dogs, LLC and Pamela Smith, as of May 20, 2026 (incorporated by reference to the Company's Form 8-K filed on May 21, 2026).</w:t>
              </w:r>
            </w:hyperlink>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6">
              <w:r>
                <w:rPr>
                  <w:rStyle w:val="InternetLink"/>
                  <w:rFonts w:ascii="Arial Narrow;sans-serif" w:hAnsi="Arial Narrow;sans-serif"/>
                  <w:b w:val="false"/>
                  <w:color w:val="000080"/>
                  <w:sz w:val="20"/>
                  <w:u w:val="single"/>
                </w:rPr>
                <w:t>10.</w:t>
              </w:r>
            </w:hyperlink>
            <w:hyperlink r:id="rId87">
              <w:r>
                <w:rPr>
                  <w:rStyle w:val="InternetLink"/>
                  <w:rFonts w:ascii="Arial Narrow;sans-serif" w:hAnsi="Arial Narrow;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8">
              <w:r>
                <w:rPr>
                  <w:rStyle w:val="InternetLink"/>
                  <w:rFonts w:ascii="Arial Narrow;sans-serif" w:hAnsi="Arial Narrow;sans-serif"/>
                  <w:b w:val="false"/>
                  <w:color w:val="000000"/>
                  <w:sz w:val="20"/>
                  <w:u w:val="single"/>
                </w:rPr>
                <w:t>Amendment to Independent Contractor Agreement between Portillo's Hot Dogs, LLC and Pamela Smith, as of June 29, 2026 (incorporated by reference to the Company's Form 8-K filed on June 30, 2026).</w:t>
              </w:r>
            </w:hyperlink>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ptlopsuawardagr.htm">
              <w:r>
                <w:rPr>
                  <w:rStyle w:val="InternetLink"/>
                  <w:rFonts w:ascii="Arial Narrow;sans-serif" w:hAnsi="Arial Narrow;sans-serif"/>
                  <w:b w:val="false"/>
                  <w:color w:val="000080"/>
                  <w:sz w:val="20"/>
                  <w:u w:val="single"/>
                </w:rPr>
                <w:t>1</w:t>
              </w:r>
            </w:hyperlink>
            <w:hyperlink w:anchor="exhibit103-ptlopsuawardagr.htm">
              <w:r>
                <w:rPr>
                  <w:rStyle w:val="InternetLink"/>
                  <w:rFonts w:ascii="Arial Narrow;sans-serif" w:hAnsi="Arial Narrow;sans-serif"/>
                  <w:b w:val="false"/>
                  <w:color w:val="000080"/>
                  <w:sz w:val="20"/>
                  <w:u w:val="single"/>
                </w:rPr>
                <w:t>0.</w:t>
              </w:r>
            </w:hyperlink>
            <w:hyperlink w:anchor="exhibit103-ptlopsuawardagr.htm">
              <w:r>
                <w:rPr>
                  <w:rStyle w:val="InternetLink"/>
                  <w:rFonts w:ascii="Arial Narrow;sans-serif" w:hAnsi="Arial Narrow;sans-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ptlopsuawardagr.htm">
              <w:r>
                <w:rPr>
                  <w:rStyle w:val="InternetLink"/>
                  <w:rFonts w:ascii="Arial Narrow;sans-serif" w:hAnsi="Arial Narrow;sans-serif"/>
                  <w:b w:val="false"/>
                  <w:color w:val="000000"/>
                  <w:sz w:val="20"/>
                  <w:u w:val="single"/>
                </w:rPr>
                <w:t>Form of 2026 Performance Stock Unit Award Agreement under the Portillo's Inc. 2021 Equity Incentive Plan</w:t>
              </w:r>
            </w:hyperlink>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10-q62826.htm">
              <w:r>
                <w:rPr>
                  <w:rStyle w:val="InternetLink"/>
                  <w:rFonts w:ascii="Arial Narrow;sans-serif" w:hAnsi="Arial Narrow;sans-serif"/>
                  <w:b w:val="false"/>
                  <w:color w:val="000000"/>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10-q62826.htm">
              <w:r>
                <w:rPr>
                  <w:rStyle w:val="InternetLink"/>
                  <w:rFonts w:ascii="Arial Narrow;sans-serif" w:hAnsi="Arial Narrow;sans-serif"/>
                  <w:b w:val="false"/>
                  <w:color w:val="000000"/>
                  <w:sz w:val="20"/>
                  <w:u w:val="single"/>
                </w:rPr>
                <w:t>Certification of the Principal Executive Officer pursuant to Securities Exchange Act Rules 13a-14(a), as adopted pursuant to Section 302 of the Sarbanes-Oxley Act of 2002</w:t>
              </w:r>
            </w:hyperlink>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10-q62826.htm">
              <w:r>
                <w:rPr>
                  <w:rStyle w:val="InternetLink"/>
                  <w:rFonts w:ascii="Arial Narrow;sans-serif" w:hAnsi="Arial Narrow;sans-serif"/>
                  <w:b w:val="false"/>
                  <w:color w:val="000000"/>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10-q62826.htm">
              <w:r>
                <w:rPr>
                  <w:rStyle w:val="InternetLink"/>
                  <w:rFonts w:ascii="Arial Narrow;sans-serif" w:hAnsi="Arial Narrow;sans-serif"/>
                  <w:b w:val="false"/>
                  <w:color w:val="000000"/>
                  <w:sz w:val="20"/>
                  <w:u w:val="single"/>
                </w:rPr>
                <w:t>Certification of the Principal Financial Officer pursuant to Securities Exchange Act Rules 13a-14(a), as adopted pursuant to Section 302 of the Sarbanes-Oxley Act of 2002</w:t>
              </w:r>
            </w:hyperlink>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10-q62826.htm">
              <w:r>
                <w:rPr>
                  <w:rStyle w:val="InternetLink"/>
                  <w:rFonts w:ascii="Arial Narrow;sans-serif" w:hAnsi="Arial Narrow;sans-serif"/>
                  <w:b w:val="false"/>
                  <w:color w:val="000000"/>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10-q62826.htm">
              <w:r>
                <w:rPr>
                  <w:rStyle w:val="InternetLink"/>
                  <w:rFonts w:ascii="Arial Narrow;sans-serif" w:hAnsi="Arial Narrow;sans-serif"/>
                  <w:b w:val="false"/>
                  <w:color w:val="000000"/>
                  <w:sz w:val="20"/>
                  <w:u w:val="single"/>
                </w:rPr>
                <w:t>Certifications of the Chief Executive Officer and Chief Financial Officer pursuant to 18 U.S.C. Section 1350, as adopted pursuant to Section 906 of the Sarbanes-Oxley Act of 2002</w:t>
              </w:r>
            </w:hyperlink>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Instance Document - the instance document does not appear in the Interactive Data File because its XBRL tags are embedded within the Inline XBRL document</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Schema Document</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Calculation Linkbase Document</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Definition Linkbase Document</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Label Linkbase Document</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Presentation Linkbase Document</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 the cover page interactive data file does not appear in the Interactive Data File because its XBRL tags are embedded within the Inline XBRL document</w:t>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    Filed Herewith</w:t>
      </w: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     Furnished Herewith</w:t>
      </w:r>
    </w:p>
    <w:p>
      <w:pPr>
        <w:pStyle w:val="TextBody"/>
        <w:bidi w:val="0"/>
        <w:spacing w:lineRule="auto" w:line="288" w:before="0" w:after="0"/>
        <w:jc w:val="left"/>
        <w:rPr>
          <w:color w:val="000000"/>
        </w:rPr>
      </w:pPr>
      <w:r>
        <w:rPr>
          <w:color w:val="000000"/>
        </w:rPr>
        <w:t>†    </w:t>
      </w:r>
      <w:r>
        <w:rPr>
          <w:rFonts w:ascii="Arial Narrow;sans-serif" w:hAnsi="Arial Narrow;sans-serif"/>
          <w:b w:val="false"/>
          <w:i/>
          <w:color w:val="000000"/>
          <w:sz w:val="20"/>
        </w:rPr>
        <w:t>Indicates a management contract or compensatory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52755"/>
                <wp:effectExtent l="0" t="0" r="0" b="0"/>
                <wp:wrapNone/>
                <wp:docPr id="117" name="Frame39"/>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jc w:val="lef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1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3" descr=""/>
                                          <pic:cNvPicPr>
                                            <a:picLocks noChangeAspect="1" noChangeArrowheads="1"/>
                                          </pic:cNvPicPr>
                                        </pic:nvPicPr>
                                        <pic:blipFill>
                                          <a:blip r:embed="rId89"/>
                                          <a:stretch>
                                            <a:fillRect/>
                                          </a:stretch>
                                        </pic:blipFill>
                                        <pic:spPr bwMode="auto">
                                          <a:xfrm>
                                            <a:off x="0" y="0"/>
                                            <a:ext cx="190500" cy="180975"/>
                                          </a:xfrm>
                                          <a:prstGeom prst="rect">
                                            <a:avLst/>
                                          </a:prstGeom>
                                        </pic:spPr>
                                      </pic:pic>
                                    </a:graphicData>
                                  </a:graphic>
                                </wp:inline>
                              </w:drawing>
                            </w:r>
                            <w:bookmarkStart w:id="79" w:name="i-43"/>
                            <w:bookmarkEnd w:id="79"/>
                            <w:r>
                              <w:rPr>
                                <w:color w:val="000000"/>
                              </w:rPr>
                              <w:t xml:space="preserve"> </w:t>
                            </w:r>
                            <w:r>
                              <w:rPr>
                                <w:rFonts w:ascii="Arial Narrow;sans-serif" w:hAnsi="Arial Narrow;sans-serif"/>
                                <w:b w:val="false"/>
                                <w:color w:val="000000"/>
                                <w:sz w:val="20"/>
                              </w:rPr>
                              <w:t>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jc w:val="lef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1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3" descr=""/>
                                    <pic:cNvPicPr>
                                      <a:picLocks noChangeAspect="1" noChangeArrowheads="1"/>
                                    </pic:cNvPicPr>
                                  </pic:nvPicPr>
                                  <pic:blipFill>
                                    <a:blip r:embed="rId90"/>
                                    <a:stretch>
                                      <a:fillRect/>
                                    </a:stretch>
                                  </pic:blipFill>
                                  <pic:spPr bwMode="auto">
                                    <a:xfrm>
                                      <a:off x="0" y="0"/>
                                      <a:ext cx="190500" cy="180975"/>
                                    </a:xfrm>
                                    <a:prstGeom prst="rect">
                                      <a:avLst/>
                                    </a:prstGeom>
                                  </pic:spPr>
                                </pic:pic>
                              </a:graphicData>
                            </a:graphic>
                          </wp:inline>
                        </w:drawing>
                      </w:r>
                      <w:bookmarkStart w:id="80" w:name="i-43"/>
                      <w:bookmarkEnd w:id="80"/>
                      <w:r>
                        <w:rPr>
                          <w:color w:val="000000"/>
                        </w:rPr>
                        <w:t xml:space="preserve"> </w:t>
                      </w:r>
                      <w:r>
                        <w:rPr>
                          <w:rFonts w:ascii="Arial Narrow;sans-serif" w:hAnsi="Arial Narrow;sans-serif"/>
                          <w:b w:val="false"/>
                          <w:color w:val="000000"/>
                          <w:sz w:val="20"/>
                        </w:rPr>
                        <w:t>Form 10-Q | 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01f119492924e37ac138fde00fb4481_7">
        <w:r>
          <w:rPr>
            <w:rStyle w:val="InternetLink"/>
            <w:rFonts w:ascii="Arial Narrow;sans-serif" w:hAnsi="Arial Narrow;sans-serif"/>
            <w:b w:val="false"/>
            <w:color w:val="000000"/>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641" w:type="dxa"/>
        <w:jc w:val="left"/>
        <w:tblInd w:w="0" w:type="dxa"/>
        <w:tblLayout w:type="fixed"/>
        <w:tblCellMar>
          <w:top w:w="28" w:type="dxa"/>
          <w:left w:w="28" w:type="dxa"/>
          <w:bottom w:w="28" w:type="dxa"/>
          <w:right w:w="28" w:type="dxa"/>
        </w:tblCellMar>
      </w:tblPr>
      <w:tblGrid>
        <w:gridCol w:w="592"/>
        <w:gridCol w:w="518"/>
        <w:gridCol w:w="525"/>
        <w:gridCol w:w="109"/>
        <w:gridCol w:w="109"/>
        <w:gridCol w:w="109"/>
        <w:gridCol w:w="110"/>
        <w:gridCol w:w="110"/>
        <w:gridCol w:w="110"/>
        <w:gridCol w:w="1269"/>
        <w:gridCol w:w="1269"/>
        <w:gridCol w:w="1811"/>
      </w:tblGrid>
      <w:tr>
        <w:trPr/>
        <w:tc>
          <w:tcPr>
            <w:tcW w:w="5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Portillo's Inc.</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August 5, 2026</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 Brett Patterson</w:t>
            </w:r>
          </w:p>
        </w:tc>
      </w:tr>
      <w:tr>
        <w:trPr/>
        <w:tc>
          <w:tcPr>
            <w:tcW w:w="1635"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Brett Patterson</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r>
          </w:p>
          <w:p>
            <w:pPr>
              <w:pStyle w:val="TableContents"/>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Pamela Smith</w:t>
            </w:r>
          </w:p>
        </w:tc>
      </w:tr>
      <w:tr>
        <w:trPr/>
        <w:tc>
          <w:tcPr>
            <w:tcW w:w="1635"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Pamela Smith</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Interim Chief Financial Officer and Treasurer</w:t>
              <w:b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2755"/>
                <wp:effectExtent l="0" t="0" r="0" b="0"/>
                <wp:wrapNone/>
                <wp:docPr id="120" name="Frame40"/>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2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4" descr=""/>
                                          <pic:cNvPicPr>
                                            <a:picLocks noChangeAspect="1" noChangeArrowheads="1"/>
                                          </pic:cNvPicPr>
                                        </pic:nvPicPr>
                                        <pic:blipFill>
                                          <a:blip r:embed="rId91"/>
                                          <a:stretch>
                                            <a:fillRect/>
                                          </a:stretch>
                                        </pic:blipFill>
                                        <pic:spPr bwMode="auto">
                                          <a:xfrm>
                                            <a:off x="0" y="0"/>
                                            <a:ext cx="190500" cy="180975"/>
                                          </a:xfrm>
                                          <a:prstGeom prst="rect">
                                            <a:avLst/>
                                          </a:prstGeom>
                                        </pic:spPr>
                                      </pic:pic>
                                    </a:graphicData>
                                  </a:graphic>
                                </wp:inline>
                              </w:drawing>
                            </w:r>
                            <w:bookmarkStart w:id="81" w:name="i-44"/>
                            <w:bookmarkEnd w:id="81"/>
                            <w:r>
                              <w:rPr>
                                <w:color w:val="000000"/>
                              </w:rPr>
                              <w:t xml:space="preserve"> </w:t>
                            </w:r>
                            <w:r>
                              <w:rPr>
                                <w:rFonts w:ascii="Arial Narrow;sans-serif" w:hAnsi="Arial Narrow;sans-serif"/>
                                <w:b w:val="false"/>
                                <w:color w:val="000000"/>
                                <w:sz w:val="20"/>
                              </w:rPr>
                              <w:t>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right"/>
                        <w:rPr/>
                      </w:pPr>
                      <w:r>
                        <w:rPr/>
                      </w:r>
                    </w:p>
                    <w:p>
                      <w:pPr>
                        <w:pStyle w:val="TextBody"/>
                        <w:bidi w:val="0"/>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0" distL="0" distR="0">
                            <wp:extent cx="190500" cy="180975"/>
                            <wp:effectExtent l="0" t="0" r="0" b="0"/>
                            <wp:docPr id="12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4" descr=""/>
                                    <pic:cNvPicPr>
                                      <a:picLocks noChangeAspect="1" noChangeArrowheads="1"/>
                                    </pic:cNvPicPr>
                                  </pic:nvPicPr>
                                  <pic:blipFill>
                                    <a:blip r:embed="rId92"/>
                                    <a:stretch>
                                      <a:fillRect/>
                                    </a:stretch>
                                  </pic:blipFill>
                                  <pic:spPr bwMode="auto">
                                    <a:xfrm>
                                      <a:off x="0" y="0"/>
                                      <a:ext cx="190500" cy="180975"/>
                                    </a:xfrm>
                                    <a:prstGeom prst="rect">
                                      <a:avLst/>
                                    </a:prstGeom>
                                  </pic:spPr>
                                </pic:pic>
                              </a:graphicData>
                            </a:graphic>
                          </wp:inline>
                        </w:drawing>
                      </w:r>
                      <w:bookmarkStart w:id="82" w:name="i-44"/>
                      <w:bookmarkEnd w:id="82"/>
                      <w:r>
                        <w:rPr>
                          <w:color w:val="000000"/>
                        </w:rPr>
                        <w:t xml:space="preserve"> </w:t>
                      </w:r>
                      <w:r>
                        <w:rPr>
                          <w:rFonts w:ascii="Arial Narrow;sans-serif" w:hAnsi="Arial Narrow;sans-serif"/>
                          <w:b w:val="false"/>
                          <w:color w:val="000000"/>
                          <w:sz w:val="20"/>
                        </w:rPr>
                        <w:t>Form 10-Q | 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PSU AWARD AGREEMENT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Portillo’s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2021 Equity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Stock Unit Award Agreement</w:t>
      </w:r>
    </w:p>
    <w:p>
      <w:pPr>
        <w:pStyle w:val="TextBody"/>
        <w:bidi w:val="0"/>
        <w:spacing w:lineRule="auto" w:line="288" w:before="180" w:after="283"/>
        <w:ind w:left="0" w:right="0" w:firstLine="1440"/>
        <w:jc w:val="both"/>
        <w:rPr/>
      </w:pPr>
      <w:r>
        <w:rPr>
          <w:rFonts w:ascii="Times New Roman;serif" w:hAnsi="Times New Roman;serif"/>
          <w:b w:val="false"/>
          <w:color w:val="000000"/>
          <w:sz w:val="24"/>
        </w:rPr>
        <w:t>This Performance Stock Unit Award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by and between Portillo’s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effective as of </w:t>
      </w:r>
      <w:r>
        <w:rPr>
          <w:rFonts w:ascii="Times New Roman;serif" w:hAnsi="Times New Roman;serif"/>
          <w:b/>
          <w:color w:val="000000"/>
          <w:sz w:val="24"/>
        </w:rPr>
        <w:t>________,</w:t>
      </w:r>
      <w:r>
        <w:rPr>
          <w:color w:val="000000"/>
        </w:rPr>
        <w:t xml:space="preserve"> </w:t>
      </w:r>
      <w:r>
        <w:rPr>
          <w:rFonts w:ascii="Times New Roman;serif" w:hAnsi="Times New Roman;serif"/>
          <w:b w:val="false"/>
          <w:color w:val="000000"/>
          <w:sz w:val="24"/>
        </w:rPr>
        <w:t>2</w:t>
      </w:r>
      <w:r>
        <w:rPr>
          <w:rFonts w:ascii="Times New Roman;serif" w:hAnsi="Times New Roman;serif"/>
          <w:b w:val="false"/>
          <w:color w:val="000000"/>
          <w:sz w:val="24"/>
          <w:shd w:fill="FFFFFF" w:val="clear"/>
        </w:rPr>
        <w:t>02__ (the “</w:t>
      </w:r>
      <w:r>
        <w:rPr>
          <w:rFonts w:ascii="Times New Roman;serif" w:hAnsi="Times New Roman;serif"/>
          <w:b w:val="false"/>
          <w:color w:val="000000"/>
          <w:sz w:val="24"/>
          <w:u w:val="single"/>
          <w:shd w:fill="FFFFFF" w:val="clear"/>
        </w:rPr>
        <w:t>Date of Grant</w:t>
      </w:r>
      <w:r>
        <w:rPr>
          <w:color w:val="000000"/>
          <w:shd w:fill="FFFFFF" w:val="clear"/>
        </w:rPr>
        <w:t>”</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88" w:before="240" w:after="283"/>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Company has adopted the Portillo’s Inc. 2021 Equity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which is incorporated herein by reference and made a part of this Agreement. Capitalized terms not otherwise defined in this Agreement shall have the meanings ascribed to those terms in the Plan; and</w:t>
      </w:r>
    </w:p>
    <w:p>
      <w:pPr>
        <w:pStyle w:val="TextBody"/>
        <w:bidi w:val="0"/>
        <w:spacing w:lineRule="auto" w:line="288" w:before="180" w:after="283"/>
        <w:ind w:left="0" w:right="0" w:firstLine="1440"/>
        <w:jc w:val="both"/>
        <w:rPr/>
      </w:pPr>
      <w:r>
        <w:rPr>
          <w:rFonts w:ascii="Times New Roman;serif" w:hAnsi="Times New Roman;serif"/>
          <w:b/>
          <w:color w:val="000000"/>
          <w:sz w:val="24"/>
        </w:rPr>
        <w:t>WHEREAS</w:t>
      </w:r>
      <w:r>
        <w:rPr>
          <w:rFonts w:ascii="Times New Roman;serif" w:hAnsi="Times New Roman;serif"/>
          <w:b w:val="false"/>
          <w:color w:val="000000"/>
          <w:sz w:val="24"/>
        </w:rPr>
        <w:t>, the Committee has authorized and approved the grant of an Award to the Participant that will provide the Participant the opportunity to receive shares of Common Stock upon the achievement of one or more performance goals on the terms and conditions set forth in the Plan and this Agreement (“</w:t>
      </w:r>
      <w:r>
        <w:rPr>
          <w:rFonts w:ascii="Times New Roman;serif" w:hAnsi="Times New Roman;serif"/>
          <w:b w:val="false"/>
          <w:color w:val="000000"/>
          <w:sz w:val="24"/>
          <w:u w:val="single"/>
        </w:rPr>
        <w:t>Performance Stock Units</w:t>
      </w:r>
      <w:r>
        <w:rPr>
          <w:color w:val="000000"/>
        </w:rPr>
        <w:t>”</w:t>
      </w:r>
      <w:r>
        <w:rPr>
          <w:rFonts w:ascii="Times New Roman;serif" w:hAnsi="Times New Roman;serif"/>
          <w:b w:val="false"/>
          <w:color w:val="000000"/>
          <w:sz w:val="24"/>
        </w:rPr>
        <w:t xml:space="preserve">). </w:t>
      </w:r>
    </w:p>
    <w:p>
      <w:pPr>
        <w:pStyle w:val="TextBody"/>
        <w:bidi w:val="0"/>
        <w:spacing w:lineRule="auto" w:line="288" w:before="180" w:after="283"/>
        <w:ind w:left="0" w:right="0" w:firstLine="1440"/>
        <w:jc w:val="both"/>
        <w:rPr/>
      </w:pPr>
      <w:r>
        <w:rPr>
          <w:rFonts w:ascii="Times New Roman;serif" w:hAnsi="Times New Roman;serif"/>
          <w:b/>
          <w:color w:val="000000"/>
          <w:sz w:val="24"/>
        </w:rPr>
        <w:t>NOW THEREFORE</w:t>
      </w:r>
      <w:r>
        <w:rPr>
          <w:rFonts w:ascii="Times New Roman;serif" w:hAnsi="Times New Roman;serif"/>
          <w:b w:val="false"/>
          <w:color w:val="000000"/>
          <w:sz w:val="24"/>
        </w:rPr>
        <w:t xml:space="preserve">, in consideration of the premises and mutual covenants set forth in this Agreement, the parties agree as follows: </w:t>
      </w:r>
    </w:p>
    <w:p>
      <w:pPr>
        <w:pStyle w:val="TextBody"/>
        <w:bidi w:val="0"/>
        <w:spacing w:lineRule="auto" w:line="288" w:before="240" w:after="283"/>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Award</w:t>
      </w:r>
      <w:r>
        <w:rPr>
          <w:rFonts w:ascii="Times New Roman;serif" w:hAnsi="Times New Roman;serif"/>
          <w:b w:val="false"/>
          <w:color w:val="000000"/>
          <w:sz w:val="24"/>
        </w:rPr>
        <w:t>. The Company hereby grants to the Participant, effective as of the Date of Grant, Performance Stock Units, on the terms and conditions set forth in the Plan and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Target Number of Performance Stock Units</w:t>
      </w:r>
      <w:r>
        <w:rPr>
          <w:rFonts w:ascii="Times New Roman;serif" w:hAnsi="Times New Roman;serif"/>
          <w:b w:val="false"/>
          <w:color w:val="000000"/>
          <w:sz w:val="24"/>
        </w:rPr>
        <w:t xml:space="preserve">: </w:t>
      </w:r>
      <w:r>
        <w:rPr>
          <w:color w:val="000000"/>
          <w:u w:val="single"/>
        </w:rPr>
        <w:t>    </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 Period</w:t>
      </w:r>
      <w:r>
        <w:rPr>
          <w:rFonts w:ascii="Times New Roman;serif" w:hAnsi="Times New Roman;serif"/>
          <w:b w:val="false"/>
          <w:color w:val="000000"/>
          <w:sz w:val="24"/>
        </w:rPr>
        <w:t>: December 29, 2025 through December 31, 2028</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Performance Measures and Weighting</w:t>
      </w:r>
      <w:r>
        <w:rPr>
          <w:rFonts w:ascii="Times New Roman;serif" w:hAnsi="Times New Roman;serif"/>
          <w:b w:val="false"/>
          <w:color w:val="000000"/>
          <w:sz w:val="24"/>
        </w:rPr>
        <w:t xml:space="preserve">: As set forth in </w:t>
      </w:r>
      <w:r>
        <w:rPr>
          <w:rFonts w:ascii="Times New Roman;serif" w:hAnsi="Times New Roman;serif"/>
          <w:b w:val="false"/>
          <w:color w:val="000000"/>
          <w:sz w:val="24"/>
          <w:u w:val="single"/>
        </w:rPr>
        <w:t>Exhibit B</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Performance Goals</w:t>
      </w:r>
      <w:r>
        <w:rPr>
          <w:rFonts w:ascii="Times New Roman;serif" w:hAnsi="Times New Roman;serif"/>
          <w:b w:val="false"/>
          <w:color w:val="000000"/>
          <w:sz w:val="24"/>
        </w:rPr>
        <w:t xml:space="preserve">: As set forth in </w:t>
      </w:r>
      <w:r>
        <w:rPr>
          <w:rFonts w:ascii="Times New Roman;serif" w:hAnsi="Times New Roman;serif"/>
          <w:b w:val="false"/>
          <w:color w:val="000000"/>
          <w:sz w:val="24"/>
          <w:u w:val="single"/>
        </w:rPr>
        <w:t>Exhibit B</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 and Forfeiture</w:t>
      </w:r>
      <w:r>
        <w:rPr>
          <w:rFonts w:ascii="Times New Roman;serif" w:hAnsi="Times New Roman;serif"/>
          <w:b w:val="false"/>
          <w:color w:val="000000"/>
          <w:sz w:val="24"/>
        </w:rPr>
        <w:t>. Subject to the terms and conditions set forth in the Plan and this Agreement, the Performance Stock Units shall vest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The Performance Share Units will vest, if at all, based upon the achievement during the Performance Period of the Performance Goals listed under the Performance Measures set forth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subject to the Participant’s continued Service in good standing through the last day of the Performance Period, except as otherwise provided in </w:t>
      </w:r>
      <w:r>
        <w:rPr>
          <w:rFonts w:ascii="Times New Roman;serif" w:hAnsi="Times New Roman;serif"/>
          <w:b w:val="false"/>
          <w:color w:val="000000"/>
          <w:sz w:val="24"/>
          <w:u w:val="single"/>
        </w:rPr>
        <w:t>Section 2(b) and 2(c)</w:t>
      </w:r>
      <w:r>
        <w:rPr>
          <w:rFonts w:ascii="Times New Roman;serif" w:hAnsi="Times New Roman;serif"/>
          <w:b w:val="false"/>
          <w:color w:val="000000"/>
          <w:sz w:val="24"/>
        </w:rPr>
        <w:t xml:space="preserv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123"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In the event of a Change in Control, the Performance Stock Units shall be continued, assumed or substituted as set forth in Section 11.1 of the Plan, based on the greater of the target level or actual achievement of the Performance Goals set forth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Following the Change in Control, the resulting Performance Stock Units shall be eligible to vest on the last day of the Performance Period, subject only to the Participant’s continued Service on the last day of the Performance Period, except as otherwise provided in </w:t>
      </w:r>
      <w:r>
        <w:rPr>
          <w:rFonts w:ascii="Times New Roman;serif" w:hAnsi="Times New Roman;serif"/>
          <w:b w:val="false"/>
          <w:color w:val="000000"/>
          <w:sz w:val="24"/>
          <w:u w:val="single"/>
        </w:rPr>
        <w:t>Section 2(c)</w:t>
      </w:r>
      <w:r>
        <w:rPr>
          <w:rFonts w:ascii="Times New Roman;serif" w:hAnsi="Times New Roman;serif"/>
          <w:b w:val="false"/>
          <w:color w:val="000000"/>
          <w:sz w:val="24"/>
        </w:rPr>
        <w:t xml:space="preserve">. Notwithstanding the foregoing, in the event the Performance Stock Units are not continued, assumed or substituted in accordance with Section 11.1 of the Plan, all unvested Performance Stock Units shall become fully vested immediately prior to the Change in Control based on the greater of the target level or actual achievement of the Performance Goals set forth in </w:t>
      </w:r>
      <w:r>
        <w:rPr>
          <w:rFonts w:ascii="Times New Roman;serif" w:hAnsi="Times New Roman;serif"/>
          <w:b w:val="false"/>
          <w:color w:val="000000"/>
          <w:sz w:val="24"/>
          <w:u w:val="single"/>
        </w:rPr>
        <w:t>Exhibit BA</w:t>
      </w:r>
      <w:r>
        <w:rPr>
          <w:rFonts w:ascii="Times New Roman;serif" w:hAnsi="Times New Roman;serif"/>
          <w:b w:val="false"/>
          <w:color w:val="000000"/>
          <w:sz w:val="24"/>
        </w:rPr>
        <w:t xml:space="preserve">. [In the event that the Portillo’s Senior Executive Severance Plan is applicable to the Participant, its terms will supersede and prevail over the terms of this Agreement.]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Except as set forth in this </w:t>
      </w:r>
      <w:r>
        <w:rPr>
          <w:rFonts w:ascii="Times New Roman;serif" w:hAnsi="Times New Roman;serif"/>
          <w:b w:val="false"/>
          <w:color w:val="000000"/>
          <w:sz w:val="24"/>
          <w:u w:val="single"/>
        </w:rPr>
        <w:t>Section 2(c)</w:t>
      </w:r>
      <w:r>
        <w:rPr>
          <w:rFonts w:ascii="Times New Roman;serif" w:hAnsi="Times New Roman;serif"/>
          <w:b w:val="false"/>
          <w:color w:val="000000"/>
          <w:sz w:val="24"/>
        </w:rPr>
        <w:t xml:space="preserve">, upon termination of the Participant’s Service for any reason or no reason, any then unvested Performance Stock Units will be forfeited immediately, automatically and without consideration. </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Death or Disability of Participant prior to a Change in Control</w:t>
      </w:r>
      <w:r>
        <w:rPr>
          <w:rFonts w:ascii="Times New Roman;serif" w:hAnsi="Times New Roman;serif"/>
          <w:b w:val="false"/>
          <w:color w:val="000000"/>
          <w:sz w:val="24"/>
        </w:rPr>
        <w:t xml:space="preserve">. If the Participant’s Service is terminated due to death or Disability prior to a Change in Control, all Performance Stock Units shall remain outstanding and eligible to vest in accordance with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 xml:space="preserve">(without regard to the continued Service requirement) or, if earlier, upon a Change in Control. </w:t>
      </w:r>
    </w:p>
    <w:p>
      <w:pPr>
        <w:pStyle w:val="TextBody"/>
        <w:bidi w:val="0"/>
        <w:spacing w:before="0" w:after="0"/>
        <w:jc w:val="left"/>
        <w:rPr/>
      </w:pPr>
      <w:r>
        <w:rPr/>
      </w:r>
    </w:p>
    <w:p>
      <w:pPr>
        <w:pStyle w:val="TextBody"/>
        <w:bidi w:val="0"/>
        <w:spacing w:lineRule="auto" w:line="333" w:before="0" w:after="0"/>
        <w:ind w:left="0" w:right="0" w:hanging="18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Qualifying Termination Prior to a Change in Control</w:t>
      </w:r>
      <w:r>
        <w:rPr>
          <w:rFonts w:ascii="Times New Roman;serif" w:hAnsi="Times New Roman;serif"/>
          <w:b w:val="false"/>
          <w:color w:val="000000"/>
          <w:sz w:val="24"/>
        </w:rPr>
        <w:t>. Upon termination of the Participant’s Service by the Participant for Good Reason or by the Company without Cause (a “</w:t>
      </w:r>
      <w:r>
        <w:rPr>
          <w:rFonts w:ascii="Times New Roman;serif" w:hAnsi="Times New Roman;serif"/>
          <w:b w:val="false"/>
          <w:color w:val="000000"/>
          <w:sz w:val="24"/>
          <w:u w:val="single"/>
        </w:rPr>
        <w:t>Qualifying Termination</w:t>
      </w:r>
      <w:r>
        <w:rPr>
          <w:color w:val="000000"/>
        </w:rPr>
        <w:t>”</w:t>
      </w:r>
      <w:r>
        <w:rPr>
          <w:rFonts w:ascii="Times New Roman;serif" w:hAnsi="Times New Roman;serif"/>
          <w:b w:val="false"/>
          <w:color w:val="000000"/>
          <w:sz w:val="24"/>
        </w:rPr>
        <w:t xml:space="preserve">), in each case, prior to a Change in Control, a pro-rata portion of the Performance Stock Units, based on the number of days elapsed in the Performance Period prior to the date of termination of Service, shall remain outstanding and eligible to vest in accordance with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 xml:space="preserve">(without regard to the continued Service requirement) or, if earlier, upon a Change in Control. For purposes of this Agreement, “Good Reason” [and “Cause”] shall have the meaning(s)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240" w:after="283"/>
        <w:ind w:left="0" w:right="0" w:hanging="18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Death, Disability or Qualifying Termination Following A Change in Control</w:t>
      </w:r>
      <w:r>
        <w:rPr>
          <w:rFonts w:ascii="Times New Roman;serif" w:hAnsi="Times New Roman;serif"/>
          <w:b w:val="false"/>
          <w:color w:val="000000"/>
          <w:sz w:val="24"/>
        </w:rPr>
        <w:t xml:space="preserve">. If the Participant’s Service is terminated due to death or Disability or as a result of a Qualifying Termination, in each case, on or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6415"/>
                <wp:effectExtent l="0" t="0" r="0" b="0"/>
                <wp:wrapNone/>
                <wp:docPr id="124" name="Frame4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within twenty-four (24) months following a Change in Control, all Performance Stock Units shall vest on the date of the Participant’s termination of Service.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Payment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Settlement</w:t>
      </w:r>
      <w:r>
        <w:rPr>
          <w:rFonts w:ascii="Times New Roman;serif" w:hAnsi="Times New Roman;serif"/>
          <w:b w:val="false"/>
          <w:color w:val="000000"/>
          <w:sz w:val="24"/>
        </w:rPr>
        <w:t xml:space="preserve">. Within sixty days following the earlier of (i) the last day of the Performance Period and (ii) the date of the Participant’s termination of Service in the event the Performance Stock Units vest in accordance with </w:t>
      </w:r>
      <w:r>
        <w:rPr>
          <w:rFonts w:ascii="Times New Roman;serif" w:hAnsi="Times New Roman;serif"/>
          <w:b w:val="false"/>
          <w:color w:val="000000"/>
          <w:sz w:val="24"/>
          <w:u w:val="single"/>
        </w:rPr>
        <w:t>Section 2(c)(iv)</w:t>
      </w:r>
      <w:r>
        <w:rPr>
          <w:rFonts w:ascii="Times New Roman;serif" w:hAnsi="Times New Roman;serif"/>
          <w:b w:val="false"/>
          <w:color w:val="000000"/>
          <w:sz w:val="24"/>
        </w:rPr>
        <w:t xml:space="preserve">, the Company shall deliver to the Participant a number of shares of Common Stock equal to the aggregate number of Performance Stock Units that have been earned and vested pursuant to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No fractional shares of Common Stock shall be delivered. The Company may deliver such shares of Common Stock either through book entry accounts held by, or in the name of, the Participant or cause to be issued a certificate or certificates representing the number of shares to be issued in respect of the Performance Stock Units, registered in the name of the Participant. Notwithstanding the foregoing, in the event the Performance Stock Units fully vest in connection with the Change in Control, the Performance Stock Units shall be settled in shares of Common Stock prior to the closing of the Change in Control or shall be settled in accordance in accordance with the terms of the definitive agreement for such Change in Control, but in no event later than thirty (30) days following such Change in Control.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Withholding Requirements</w:t>
      </w:r>
      <w:r>
        <w:rPr>
          <w:rFonts w:ascii="Times New Roman;serif" w:hAnsi="Times New Roman;serif"/>
          <w:b w:val="false"/>
          <w:color w:val="000000"/>
          <w:sz w:val="24"/>
        </w:rPr>
        <w:t xml:space="preserve">. The Company shall have the right to deduct or withhold from any shares of Common Stock deliverable under this Agreement, or in its discretion to require the Participant to remit to the Company, amounts necessary to satisfy all federal, state and local taxes required to be withheld in connection with the settlement of the Performance Stock Units. In addition,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Section 280G</w:t>
      </w:r>
      <w:r>
        <w:rPr>
          <w:rFonts w:ascii="Times New Roman;serif" w:hAnsi="Times New Roman;serif"/>
          <w:b w:val="false"/>
          <w:color w:val="000000"/>
          <w:sz w:val="24"/>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be subject to the excise tax imposed under Section 4999 of the Code (or any successor provision thereto) or any similar tax imposed by state or local law or any interest or penalties with respect to such taxes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then the amounts of 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6415"/>
                <wp:effectExtent l="0" t="0" r="0" b="0"/>
                <wp:wrapNone/>
                <wp:docPr id="125" name="Frame4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val="false"/>
          <w:color w:val="000000"/>
          <w:sz w:val="24"/>
        </w:rPr>
        <w:t xml:space="preserve">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shall be made in a manner that results in the greatest economic benefit for the Participant and is consistent with the requirements of Section 409A. Any determination required under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shall be made in writing in good faith by a nationally recognized public accounting firm selected the Company. The Company and the Participant shall provide the accounting firm with such information and documents as the accounting firm may reasonably request in order to make a determination under this </w:t>
      </w:r>
      <w:r>
        <w:rPr>
          <w:rFonts w:ascii="Times New Roman;serif" w:hAnsi="Times New Roman;serif"/>
          <w:b w:val="false"/>
          <w:color w:val="000000"/>
          <w:sz w:val="24"/>
          <w:u w:val="single"/>
        </w:rPr>
        <w:t>Section 4</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Miscellaneous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Rights of a Shareholder; Dividend Equivalents</w:t>
      </w:r>
      <w:r>
        <w:rPr>
          <w:rFonts w:ascii="Times New Roman;serif" w:hAnsi="Times New Roman;serif"/>
          <w:b w:val="false"/>
          <w:color w:val="000000"/>
          <w:sz w:val="24"/>
        </w:rPr>
        <w:t>. Prior to settlement of the Performance Stock Units in shares of Common Stock, neither the Participant nor the Participant’s representative will have any rights as a shareholder of the Company with respect to any shares of Common Stock underlying the Performance Stock Units. If cash dividends or other cash distributions are paid in respect of the shares of Common Stock underlying unvested Performance Stock Units, then a dividend equivalent equal to the amount paid in respect of one Share shall accumulate and be paid with respect to each Earned PSU at time of settlement; provided that any dividend equivalent rights granted shall be subject to the same vesting terms as the related Performance Stock Units.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Transfer Restrictions</w:t>
      </w:r>
      <w:r>
        <w:rPr>
          <w:rFonts w:ascii="Times New Roman;serif" w:hAnsi="Times New Roman;serif"/>
          <w:b w:val="false"/>
          <w:color w:val="000000"/>
          <w:sz w:val="24"/>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Clawback Policy</w:t>
      </w:r>
      <w:r>
        <w:rPr>
          <w:rFonts w:ascii="Times New Roman;serif" w:hAnsi="Times New Roman;serif"/>
          <w:b w:val="false"/>
          <w:color w:val="000000"/>
          <w:sz w:val="24"/>
        </w:rPr>
        <w:t xml:space="preserve">.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126" name="Frame4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requirements adopted thereunder by the Securities and Exchange Commission and/or any national securities exchange on which the Company’s equity securities may be listed. In October 2023, the Company adopted an Incentive-Based Compensation Recovery Policy, which is available as an exhibit to the Company’s 2025 Form 10-K filed on February 24, 2026, and is amended from time to time.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Adjustments</w:t>
      </w:r>
      <w:r>
        <w:rPr>
          <w:rFonts w:ascii="Times New Roman;serif" w:hAnsi="Times New Roman;serif"/>
          <w:b w:val="false"/>
          <w:color w:val="000000"/>
          <w:sz w:val="24"/>
        </w:rPr>
        <w:t xml:space="preserve">. In the event of any change with respect to the outstanding shares of Common Stock contemplated by Section 4.4 of the Plan, the Performance Stock Units may be adjusted in accordance with Section 4.4 of the Plan.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Right to Continued Service</w:t>
      </w:r>
      <w:r>
        <w:rPr>
          <w:rFonts w:ascii="Times New Roman;serif" w:hAnsi="Times New Roman;serif"/>
          <w:b w:val="false"/>
          <w:color w:val="000000"/>
          <w:sz w:val="24"/>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provisions of this Agreement will inure to the benefit of, and be binding upon, the Company and its successors and assigns and upon the Participant, the Participant’s executor, personal representative(s), distributes, administrator, permitted transferees, permitted assignees, beneficiaries, and legatee(s), as applicable, whether or not any such person will have become a party to this Agreement and have agreed in writing to be joined herein and be bound by the terms hereof.</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are severable, and if any one or more provisions are determined to be illegal or otherwise unenforceable, in whole or in part, then the remaining provisions will nevertheless be binding and enforceable.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Amendment</w:t>
      </w:r>
      <w:r>
        <w:rPr>
          <w:rFonts w:ascii="Times New Roman;serif" w:hAnsi="Times New Roman;serif"/>
          <w:b w:val="false"/>
          <w:color w:val="000000"/>
          <w:sz w:val="24"/>
        </w:rPr>
        <w:t>. Except as otherwise provided in the Plan, this Agreement will not be amended unless the amendment is agreed to in writing by both the Participant and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Choice of Law; Jurisdiction</w:t>
      </w:r>
      <w:r>
        <w:rPr>
          <w:rFonts w:ascii="Times New Roman;serif" w:hAnsi="Times New Roman;serif"/>
          <w:b w:val="false"/>
          <w:color w:val="000000"/>
          <w:sz w:val="24"/>
        </w:rPr>
        <w:t xml:space="preserve">.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Signature in Counterparts</w:t>
      </w:r>
      <w:r>
        <w:rPr>
          <w:rFonts w:ascii="Times New Roman;serif" w:hAnsi="Times New Roman;serif"/>
          <w:b w:val="false"/>
          <w:color w:val="000000"/>
          <w:sz w:val="24"/>
        </w:rPr>
        <w:t>. This Agreement may be signed in counterparts, manually or electronically, each of which will be an original, with the same effect as if the signatures to each were upon the same instrument.</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6415"/>
                <wp:effectExtent l="0" t="0" r="0" b="0"/>
                <wp:wrapNone/>
                <wp:docPr id="127" name="Frame4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Electronic Delivery</w:t>
      </w:r>
      <w:r>
        <w:rPr>
          <w:rFonts w:ascii="Times New Roman;serif" w:hAnsi="Times New Roman;serif"/>
          <w:b w:val="false"/>
          <w:color w:val="000000"/>
          <w:sz w:val="22"/>
        </w:rPr>
        <w:t xml:space="preserve">. </w:t>
      </w:r>
      <w:r>
        <w:rPr>
          <w:rFonts w:ascii="Times New Roman;serif" w:hAnsi="Times New Roman;serif"/>
          <w:b w:val="false"/>
          <w:color w:val="000000"/>
          <w:sz w:val="24"/>
        </w:rPr>
        <w:t xml:space="preserve">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 </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Acceptance</w:t>
      </w:r>
      <w:r>
        <w:rPr>
          <w:rFonts w:ascii="Times New Roman;serif" w:hAnsi="Times New Roman;serif"/>
          <w:b w:val="false"/>
          <w:color w:val="000000"/>
          <w:sz w:val="24"/>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Company and the Participant have executed this Performance Stock Unit Award Agreement as of the dates set forth below. </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PARTICIPANT                 PORTILLO’S INC.</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___________________________             By: ____________________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Date:____________________             Date: ___________________</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6415"/>
                <wp:effectExtent l="0" t="0" r="0" b="0"/>
                <wp:wrapNone/>
                <wp:docPr id="128" name="Frame4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333"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Good Reason</w:t>
      </w:r>
    </w:p>
    <w:p>
      <w:pPr>
        <w:pStyle w:val="TextBody"/>
        <w:bidi w:val="0"/>
        <w:spacing w:lineRule="auto" w:line="333" w:before="0" w:after="0"/>
        <w:jc w:val="both"/>
        <w:rPr/>
      </w:pPr>
      <w:r>
        <w:rPr>
          <w:color w:val="000000"/>
        </w:rPr>
        <w:t>“</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 xml:space="preserve">shall mean the occurrence of any of the following events without the consent of the Participant: (i) a material reduction in the Participant’s base salary (other than a reduction affecting all similarly situated employees, which reduction does not exceed 10% of current base salary), (ii) a material diminution in the Participant’s position and duties, which shall not include a change in reporting structure, or (iii) a requirement that the Participant relocate his or her current office outside a radius of fifty (50) miles from the Participant’s current office location. The Participant may not resign or otherwise terminate his or her employment for any reason set forth above as Good Reason unless the Participant (x) notifies the Company in reasonable detail within sixty (60) days following his or her initial knowledge of an event that would constitute Good Reason, (y) the Company fails to remedy such event within 30 days following receipt of such notice, and (z) the Participant terminates employment within 30 days following the end of such 30-day remedy period. Notwithstanding the foregoing, if the Participant is subject to an employment agreement, consulting agreement, change in control agreement or similar agreement in effect between the Company or an Affiliate that defines Good Reason, then Good Reason shall have the meaning set forth therein, otherwise Good Reason as shall have the meaning defined in this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Cause</w:t>
      </w:r>
    </w:p>
    <w:p>
      <w:pPr>
        <w:pStyle w:val="TextBody"/>
        <w:bidi w:val="0"/>
        <w:spacing w:before="0" w:after="0"/>
        <w:jc w:val="center"/>
        <w:rPr/>
      </w:pPr>
      <w:r>
        <w:rPr/>
      </w:r>
    </w:p>
    <w:p>
      <w:pPr>
        <w:pStyle w:val="TextBody"/>
        <w:bidi w:val="0"/>
        <w:spacing w:lineRule="auto" w:line="333"/>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means (a) in the case 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in the good faith judgment of the Company, is likely to significantly injure the reputation, business or a business relationship of the Company or any of its Affiliates, that continues after receipt of written notice from the Company and a ten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(x) material breach or violation of any agreement with the Company or its Affiliates, including any restrictive covenant agreement applicable to Participant, or (y) significant violation of the code of conduct or similar written policy, including, without limitation, any sexual harassment policy, of the Company or its Affiliates; or (6) other conduct, acts or omissions that, in the good faith judgment of the Company, are likely to significantly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Delaware law. Any voluntary termination of Service by the Participant in anticipation of an involuntary termination of the Participant’s Service for Cause shall be deemed to be a termination for Cause.]</w:t>
      </w:r>
      <w:r>
        <w:rPr>
          <w:rFonts w:ascii="Times New Roman;serif" w:hAnsi="Times New Roman;serif"/>
          <w:b w:val="false"/>
          <w:color w:val="000000"/>
          <w:sz w:val="14"/>
        </w:rPr>
        <w:t>1</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6415"/>
                <wp:effectExtent l="0" t="0" r="0" b="0"/>
                <wp:wrapNone/>
                <wp:docPr id="129" name="Frame4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both"/>
        <w:rPr/>
      </w:pPr>
      <w:r>
        <w:rPr/>
      </w:r>
    </w:p>
    <w:p>
      <w:pPr>
        <w:pStyle w:val="TextBody"/>
        <w:bidi w:val="0"/>
        <w:spacing w:lineRule="auto" w:line="333" w:before="200" w:after="240"/>
        <w:jc w:val="both"/>
        <w:rPr>
          <w:rFonts w:ascii="Times New Roman;serif" w:hAnsi="Times New Roman;serif"/>
          <w:b w:val="false"/>
          <w:color w:val="000000"/>
          <w:sz w:val="20"/>
        </w:rPr>
      </w:pPr>
      <w:r>
        <w:rPr>
          <w:rFonts w:ascii="Times New Roman;serif" w:hAnsi="Times New Roman;serif"/>
          <w:b w:val="false"/>
          <w:color w:val="000000"/>
          <w:sz w:val="20"/>
        </w:rPr>
        <w:t>1 NTD: Include for executive-level employees only. All other employees will be subject to standard definition of Cause in the Plan.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6415"/>
                <wp:effectExtent l="0" t="0" r="0" b="0"/>
                <wp:wrapNone/>
                <wp:docPr id="130" name="Frame4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0" w:after="0"/>
        <w:jc w:val="left"/>
        <w:rPr/>
      </w:pPr>
      <w:r>
        <w:rPr>
          <w:rFonts w:ascii="sans-serif" w:hAnsi="sans-serif"/>
          <w:b w:val="false"/>
          <w:color w:val="000000"/>
          <w:sz w:val="20"/>
        </w:rPr>
        <w:t xml:space="preserve">This </w:t>
      </w:r>
      <w:r>
        <w:rPr>
          <w:rFonts w:ascii="sans-serif" w:hAnsi="sans-serif"/>
          <w:b w:val="false"/>
          <w:color w:val="000000"/>
          <w:sz w:val="20"/>
          <w:u w:val="single"/>
        </w:rPr>
        <w:t>Exhibit B</w:t>
      </w:r>
      <w:r>
        <w:rPr>
          <w:color w:val="000000"/>
        </w:rPr>
        <w:t xml:space="preserve"> </w:t>
      </w:r>
      <w:r>
        <w:rPr>
          <w:rFonts w:ascii="sans-serif" w:hAnsi="sans-serif"/>
          <w:b w:val="false"/>
          <w:color w:val="000000"/>
          <w:sz w:val="20"/>
        </w:rPr>
        <w:t>sets forth the performance goals (“</w:t>
      </w:r>
      <w:r>
        <w:rPr>
          <w:rFonts w:ascii="sans-serif" w:hAnsi="sans-serif"/>
          <w:b w:val="false"/>
          <w:color w:val="000000"/>
          <w:sz w:val="20"/>
          <w:u w:val="single"/>
        </w:rPr>
        <w:t>Performance Goals</w:t>
      </w:r>
      <w:r>
        <w:rPr>
          <w:color w:val="000000"/>
        </w:rPr>
        <w:t>”</w:t>
      </w:r>
      <w:r>
        <w:rPr>
          <w:rFonts w:ascii="sans-serif" w:hAnsi="sans-serif"/>
          <w:b w:val="false"/>
          <w:color w:val="000000"/>
          <w:sz w:val="20"/>
        </w:rPr>
        <w:t xml:space="preserve">) for the Performance Stock Units and shall determine the extent to which the Performance Goals are achieved and the extent to which the Performance Stock Units will be eligible for vesting, if at all, at the end of the Performance Period.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PSUs awarded in 2026 are earned based on a combination of performance goals achievement for each year and for cumulative three-year performance period and at the end of year three, consisting of:</w:t>
      </w:r>
    </w:p>
    <w:p>
      <w:pPr>
        <w:pStyle w:val="TextBody"/>
        <w:bidi w:val="0"/>
        <w:spacing w:before="0" w:after="0"/>
        <w:jc w:val="center"/>
        <w:rPr/>
      </w:pPr>
      <w:r>
        <w:rPr/>
      </w:r>
    </w:p>
    <w:tbl>
      <w:tblPr>
        <w:tblW w:w="3553" w:type="dxa"/>
        <w:jc w:val="left"/>
        <w:tblInd w:w="0" w:type="dxa"/>
        <w:tblLayout w:type="fixed"/>
        <w:tblCellMar>
          <w:top w:w="28" w:type="dxa"/>
          <w:left w:w="28" w:type="dxa"/>
          <w:bottom w:w="28" w:type="dxa"/>
          <w:right w:w="28" w:type="dxa"/>
        </w:tblCellMar>
      </w:tblPr>
      <w:tblGrid>
        <w:gridCol w:w="934"/>
        <w:gridCol w:w="821"/>
        <w:gridCol w:w="824"/>
        <w:gridCol w:w="285"/>
        <w:gridCol w:w="285"/>
        <w:gridCol w:w="40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Performance Goal</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sans-serif" w:hAnsi="sans-serif"/>
                <w:b/>
                <w:color w:val="000000"/>
                <w:sz w:val="20"/>
              </w:rPr>
              <w:t>Weight</w:t>
            </w:r>
            <w:r>
              <w:rPr>
                <w:color w:val="000000"/>
              </w:rPr>
              <w:t xml:space="preserve"> </w:t>
            </w:r>
          </w:p>
        </w:tc>
      </w:tr>
      <w:tr>
        <w:trPr/>
        <w:tc>
          <w:tcPr>
            <w:tcW w:w="257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Adjusted EBITDA Growth </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50%</w:t>
            </w:r>
          </w:p>
        </w:tc>
      </w:tr>
      <w:tr>
        <w:trPr/>
        <w:tc>
          <w:tcPr>
            <w:tcW w:w="2579"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Total Revenue Growth </w:t>
            </w:r>
          </w:p>
        </w:tc>
        <w:tc>
          <w:tcPr>
            <w:tcW w:w="9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50%</w:t>
            </w:r>
          </w:p>
        </w:tc>
      </w:tr>
    </w:tbl>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Subject to the terms and conditions hereof and of the Plan, the Portion of Performance Stock Units Eligible to be Earned on Adjusted EBITDA growth and Total Revenue growth for each Measurement Period are measured on four separate periods that each begin on January 1 and end on December 31 of calendar years 2026, 2027 and 2028, respectively, with a cumulative period running from January 1, 2026 through December 31, 2028 (each individually, a “Measurement Period” and collectively the “Measurement Periods”).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8"/>
        <w:gridCol w:w="648"/>
        <w:gridCol w:w="650"/>
        <w:gridCol w:w="645"/>
        <w:gridCol w:w="645"/>
        <w:gridCol w:w="647"/>
        <w:gridCol w:w="770"/>
        <w:gridCol w:w="770"/>
        <w:gridCol w:w="771"/>
        <w:gridCol w:w="1145"/>
        <w:gridCol w:w="1145"/>
        <w:gridCol w:w="1631"/>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Measurement Period(s)</w:t>
            </w:r>
          </w:p>
        </w:tc>
        <w:tc>
          <w:tcPr>
            <w:tcW w:w="19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 xml:space="preserve">Measurement Period </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Start Date</w:t>
            </w:r>
          </w:p>
        </w:tc>
        <w:tc>
          <w:tcPr>
            <w:tcW w:w="23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Measurement Period End Date</w:t>
            </w:r>
          </w:p>
        </w:tc>
        <w:tc>
          <w:tcPr>
            <w:tcW w:w="392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Portion of Adjusted EBITDA / Total Revenue Stock Units Eligible to be Earned</w:t>
            </w:r>
          </w:p>
        </w:tc>
      </w:tr>
      <w:tr>
        <w:trPr/>
        <w:tc>
          <w:tcPr>
            <w:tcW w:w="2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Period 1</w:t>
            </w:r>
          </w:p>
        </w:tc>
        <w:tc>
          <w:tcPr>
            <w:tcW w:w="193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29, 2025</w:t>
            </w:r>
          </w:p>
        </w:tc>
        <w:tc>
          <w:tcPr>
            <w:tcW w:w="23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27, 2026</w:t>
            </w:r>
          </w:p>
        </w:tc>
        <w:tc>
          <w:tcPr>
            <w:tcW w:w="39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w:t>
            </w:r>
          </w:p>
        </w:tc>
      </w:tr>
      <w:tr>
        <w:trPr/>
        <w:tc>
          <w:tcPr>
            <w:tcW w:w="2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Period 2</w:t>
            </w:r>
          </w:p>
        </w:tc>
        <w:tc>
          <w:tcPr>
            <w:tcW w:w="193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28, 2026</w:t>
            </w:r>
          </w:p>
        </w:tc>
        <w:tc>
          <w:tcPr>
            <w:tcW w:w="23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sans-serif" w:hAnsi="sans-serif"/>
                <w:b w:val="false"/>
                <w:color w:val="000000"/>
                <w:sz w:val="20"/>
              </w:rPr>
            </w:pPr>
            <w:r>
              <w:rPr>
                <w:rFonts w:ascii="sans-serif" w:hAnsi="sans-serif"/>
                <w:b w:val="false"/>
                <w:color w:val="000000"/>
                <w:sz w:val="20"/>
              </w:rPr>
              <w:t>December 26, 2027</w:t>
            </w:r>
          </w:p>
        </w:tc>
        <w:tc>
          <w:tcPr>
            <w:tcW w:w="39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w:t>
            </w:r>
          </w:p>
        </w:tc>
      </w:tr>
      <w:tr>
        <w:trPr/>
        <w:tc>
          <w:tcPr>
            <w:tcW w:w="203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Period 3</w:t>
            </w:r>
          </w:p>
        </w:tc>
        <w:tc>
          <w:tcPr>
            <w:tcW w:w="19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sans-serif" w:hAnsi="sans-serif"/>
                <w:b w:val="false"/>
                <w:color w:val="000000"/>
                <w:sz w:val="20"/>
              </w:rPr>
            </w:pPr>
            <w:r>
              <w:rPr>
                <w:rFonts w:ascii="sans-serif" w:hAnsi="sans-serif"/>
                <w:b w:val="false"/>
                <w:color w:val="000000"/>
                <w:sz w:val="20"/>
              </w:rPr>
              <w:t>December 27, 2027</w:t>
            </w:r>
          </w:p>
        </w:tc>
        <w:tc>
          <w:tcPr>
            <w:tcW w:w="231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31, 2028</w:t>
            </w:r>
          </w:p>
        </w:tc>
        <w:tc>
          <w:tcPr>
            <w:tcW w:w="39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30%</w:t>
            </w:r>
          </w:p>
        </w:tc>
      </w:tr>
      <w:tr>
        <w:trPr/>
        <w:tc>
          <w:tcPr>
            <w:tcW w:w="203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Period 4</w:t>
            </w:r>
          </w:p>
        </w:tc>
        <w:tc>
          <w:tcPr>
            <w:tcW w:w="1937"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29, 2025</w:t>
            </w:r>
          </w:p>
        </w:tc>
        <w:tc>
          <w:tcPr>
            <w:tcW w:w="231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December 31, 2028</w:t>
            </w:r>
          </w:p>
        </w:tc>
        <w:tc>
          <w:tcPr>
            <w:tcW w:w="392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Adjusted EBITDA Growth and Total Revenue Growth are measured on a constant growth rate basis, with three individual annual targets for each performance goal established at the beginning of the three-year performance period expressed as a growth rate over the previous year’s actual result and one cumulative period measuring the three-year period achievement.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Each year’s annual achievement for the Adjusted EBITDA Growth and Total Revenue Growth metrics are then “banked” until the three-year performance period is complete, at which time the achievement for each Measurement Period is averaged to determine the final payout for each metric.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Performance for each metric is measured independently, so PSUs can be earned as long as the threshold is satisfied for at least one metric. Payouts in each year are multiplied by respective weightings and totaled at the end of the period.</w:t>
      </w:r>
    </w:p>
    <w:p>
      <w:pPr>
        <w:pStyle w:val="TextBody"/>
        <w:bidi w:val="0"/>
        <w:spacing w:lineRule="auto" w:line="288" w:before="0" w:after="0"/>
        <w:jc w:val="center"/>
        <w:rPr>
          <w:rFonts w:ascii="sans-serif" w:hAnsi="sans-serif"/>
          <w:b/>
          <w:color w:val="000000"/>
          <w:sz w:val="20"/>
          <w:u w:val="single"/>
        </w:rPr>
      </w:pPr>
      <w:r>
        <w:rPr>
          <w:rFonts w:ascii="sans-serif" w:hAnsi="sans-serif"/>
          <w:b/>
          <w:color w:val="000000"/>
          <w:sz w:val="20"/>
          <w:u w:val="single"/>
        </w:rPr>
        <w:t>Adjusted EBITDA Growth</w:t>
      </w:r>
    </w:p>
    <w:p>
      <w:pPr>
        <w:pStyle w:val="TextBody"/>
        <w:bidi w:val="0"/>
        <w:spacing w:lineRule="auto" w:line="288"/>
        <w:jc w:val="left"/>
        <w:rPr/>
      </w:pPr>
      <w:r>
        <w:rPr>
          <w:color w:val="000000"/>
        </w:rPr>
        <w:t>“</w:t>
      </w:r>
      <w:r>
        <w:rPr>
          <w:rFonts w:ascii="sans-serif" w:hAnsi="sans-serif"/>
          <w:b/>
          <w:color w:val="000000"/>
          <w:sz w:val="20"/>
          <w:u w:val="single"/>
        </w:rPr>
        <w:t>Adjusted EBITDA Growth</w:t>
      </w:r>
      <w:r>
        <w:rPr>
          <w:color w:val="000000"/>
        </w:rPr>
        <w:t xml:space="preserve">” </w:t>
      </w:r>
      <w:r>
        <w:rPr>
          <w:rFonts w:ascii="sans-serif" w:hAnsi="sans-serif"/>
          <w:b w:val="false"/>
          <w:color w:val="000000"/>
          <w:sz w:val="20"/>
        </w:rPr>
        <w:t>shall be interpreted to mean</w:t>
      </w:r>
      <w:r>
        <w:rPr>
          <w:color w:val="242424"/>
        </w:rPr>
        <w:t xml:space="preserve"> </w:t>
      </w:r>
      <w:r>
        <w:rPr>
          <w:rFonts w:ascii="sans-serif" w:hAnsi="sans-serif"/>
          <w:b w:val="false"/>
          <w:color w:val="242424"/>
          <w:sz w:val="20"/>
        </w:rPr>
        <w:t>for the Performance Period the Company’s constant growth rate basis expressed as achieving the growth rate over the prior year. Adjusted EBITDA is defined as earnings before interest, taxes, depreciation, and amortization, and before stock-based compensation, acquisition expenses and similar non-recurring items, in a manner consistent with the Company’s publicly reported adjusted EBITDA.</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6415"/>
                <wp:effectExtent l="0" t="0" r="0" b="0"/>
                <wp:wrapNone/>
                <wp:docPr id="131" name="Frame4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sans-serif" w:hAnsi="sans-serif"/>
          <w:b/>
          <w:i/>
          <w:color w:val="000000"/>
          <w:sz w:val="20"/>
        </w:rPr>
      </w:pPr>
      <w:r>
        <w:rPr>
          <w:rFonts w:ascii="sans-serif" w:hAnsi="sans-serif"/>
          <w:b/>
          <w:i/>
          <w:color w:val="000000"/>
          <w:sz w:val="20"/>
        </w:rPr>
        <w:t xml:space="preserve">Adjusted EBITDA Growth </w:t>
      </w:r>
    </w:p>
    <w:p>
      <w:pPr>
        <w:pStyle w:val="TextBody"/>
        <w:bidi w:val="0"/>
        <w:spacing w:lineRule="auto" w:line="288" w:before="0" w:after="0"/>
        <w:jc w:val="center"/>
        <w:rPr/>
      </w:pPr>
      <w:r>
        <w:rPr>
          <w:rFonts w:ascii="sans-serif" w:hAnsi="sans-serif"/>
          <w:b/>
          <w:i/>
          <w:color w:val="000000"/>
          <w:sz w:val="20"/>
        </w:rPr>
        <w:t>For the Performance Period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33"/>
        <w:gridCol w:w="556"/>
        <w:gridCol w:w="558"/>
        <w:gridCol w:w="568"/>
        <w:gridCol w:w="568"/>
        <w:gridCol w:w="570"/>
        <w:gridCol w:w="631"/>
        <w:gridCol w:w="631"/>
        <w:gridCol w:w="632"/>
        <w:gridCol w:w="631"/>
        <w:gridCol w:w="631"/>
        <w:gridCol w:w="632"/>
        <w:gridCol w:w="595"/>
        <w:gridCol w:w="595"/>
        <w:gridCol w:w="596"/>
        <w:gridCol w:w="341"/>
        <w:gridCol w:w="341"/>
        <w:gridCol w:w="496"/>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Achievement Level</w:t>
            </w:r>
          </w:p>
        </w:tc>
        <w:tc>
          <w:tcPr>
            <w:tcW w:w="1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Period 1 Adjusted EBITDA</w:t>
            </w:r>
          </w:p>
          <w:p>
            <w:pPr>
              <w:pStyle w:val="TableContents"/>
              <w:bidi w:val="0"/>
              <w:spacing w:lineRule="auto" w:line="288" w:before="0" w:after="0"/>
              <w:jc w:val="center"/>
              <w:rPr/>
            </w:pPr>
            <w:r>
              <w:rPr>
                <w:rFonts w:ascii="sans-serif" w:hAnsi="sans-serif"/>
                <w:b/>
                <w:color w:val="000000"/>
                <w:sz w:val="20"/>
              </w:rPr>
              <w:t>Performance Goal</w:t>
            </w:r>
            <w:r>
              <w:rPr>
                <w:color w:val="000000"/>
              </w:rPr>
              <w:t xml:space="preserve"> </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Period 2 Total Adjusted EBITDA Growth</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Performance Goal</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Period 3 Total Adjusted EBITDA Growth</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Performance Goal</w:t>
            </w:r>
          </w:p>
        </w:tc>
        <w:tc>
          <w:tcPr>
            <w:tcW w:w="17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Period 4 Total Adjusted EBITDA</w:t>
            </w:r>
          </w:p>
          <w:p>
            <w:pPr>
              <w:pStyle w:val="TableContents"/>
              <w:bidi w:val="0"/>
              <w:spacing w:lineRule="auto" w:line="288" w:before="0" w:after="0"/>
              <w:jc w:val="center"/>
              <w:rPr/>
            </w:pPr>
            <w:r>
              <w:rPr>
                <w:rFonts w:ascii="sans-serif" w:hAnsi="sans-serif"/>
                <w:b/>
                <w:color w:val="000000"/>
                <w:sz w:val="20"/>
              </w:rPr>
              <w:t>Cumulative</w:t>
            </w:r>
            <w:r>
              <w:rPr>
                <w:color w:val="000000"/>
              </w:rPr>
              <w:t xml:space="preserve"> </w:t>
            </w:r>
            <w:r>
              <w:rPr>
                <w:rFonts w:ascii="sans-serif" w:hAnsi="sans-serif"/>
                <w:b/>
                <w:color w:val="000000"/>
                <w:sz w:val="20"/>
              </w:rPr>
              <w:t>Performance Goal</w:t>
            </w:r>
          </w:p>
        </w:tc>
        <w:tc>
          <w:tcPr>
            <w:tcW w:w="117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Earned Percent (%)</w:t>
            </w:r>
          </w:p>
        </w:tc>
      </w:tr>
      <w:tr>
        <w:trPr/>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Below Threshold </w:t>
            </w:r>
          </w:p>
        </w:tc>
        <w:tc>
          <w:tcPr>
            <w:tcW w:w="17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&lt;$95M</w:t>
            </w:r>
          </w:p>
        </w:tc>
        <w:tc>
          <w:tcPr>
            <w:tcW w:w="18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&lt;4.0%</w:t>
            </w:r>
          </w:p>
        </w:tc>
        <w:tc>
          <w:tcPr>
            <w:tcW w:w="18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&lt;2.0%</w:t>
            </w:r>
          </w:p>
        </w:tc>
        <w:tc>
          <w:tcPr>
            <w:tcW w:w="17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&lt;$308M</w:t>
            </w:r>
          </w:p>
        </w:tc>
        <w:tc>
          <w:tcPr>
            <w:tcW w:w="1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w:t>
            </w:r>
          </w:p>
        </w:tc>
      </w:tr>
      <w:tr>
        <w:trPr/>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Threshold</w:t>
            </w:r>
          </w:p>
        </w:tc>
        <w:tc>
          <w:tcPr>
            <w:tcW w:w="17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$95M</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w:t>
            </w:r>
          </w:p>
        </w:tc>
        <w:tc>
          <w:tcPr>
            <w:tcW w:w="17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$308M</w:t>
            </w:r>
          </w:p>
        </w:tc>
        <w:tc>
          <w:tcPr>
            <w:tcW w:w="1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r>
      <w:tr>
        <w:trPr/>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Between Threshold and Target </w:t>
            </w:r>
          </w:p>
        </w:tc>
        <w:tc>
          <w:tcPr>
            <w:tcW w:w="17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$96M</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+8.0%</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+4.0%</w:t>
            </w:r>
          </w:p>
        </w:tc>
        <w:tc>
          <w:tcPr>
            <w:tcW w:w="17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$315M</w:t>
            </w:r>
          </w:p>
        </w:tc>
        <w:tc>
          <w:tcPr>
            <w:tcW w:w="1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r>
      <w:tr>
        <w:trPr/>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Target </w:t>
            </w:r>
          </w:p>
        </w:tc>
        <w:tc>
          <w:tcPr>
            <w:tcW w:w="17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$97.4M</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+12.0%</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+8.0%</w:t>
            </w:r>
          </w:p>
        </w:tc>
        <w:tc>
          <w:tcPr>
            <w:tcW w:w="17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$324M</w:t>
            </w:r>
          </w:p>
        </w:tc>
        <w:tc>
          <w:tcPr>
            <w:tcW w:w="1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7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Above Target</w:t>
            </w:r>
          </w:p>
        </w:tc>
        <w:tc>
          <w:tcPr>
            <w:tcW w:w="17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$101M</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+16.0%</w:t>
            </w:r>
          </w:p>
        </w:tc>
        <w:tc>
          <w:tcPr>
            <w:tcW w:w="1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+12.0%</w:t>
            </w:r>
          </w:p>
        </w:tc>
        <w:tc>
          <w:tcPr>
            <w:tcW w:w="17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$336M</w:t>
            </w:r>
          </w:p>
        </w:tc>
        <w:tc>
          <w:tcPr>
            <w:tcW w:w="117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150%</w:t>
            </w:r>
          </w:p>
        </w:tc>
      </w:tr>
      <w:tr>
        <w:trPr/>
        <w:tc>
          <w:tcPr>
            <w:tcW w:w="174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Maximum </w:t>
            </w:r>
          </w:p>
        </w:tc>
        <w:tc>
          <w:tcPr>
            <w:tcW w:w="17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$105M</w:t>
            </w:r>
          </w:p>
        </w:tc>
        <w:tc>
          <w:tcPr>
            <w:tcW w:w="18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+18.0%</w:t>
            </w:r>
          </w:p>
        </w:tc>
        <w:tc>
          <w:tcPr>
            <w:tcW w:w="18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+15.0%</w:t>
            </w:r>
          </w:p>
        </w:tc>
        <w:tc>
          <w:tcPr>
            <w:tcW w:w="17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$345M</w:t>
            </w:r>
          </w:p>
        </w:tc>
        <w:tc>
          <w:tcPr>
            <w:tcW w:w="117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200%</w:t>
            </w:r>
          </w:p>
        </w:tc>
      </w:tr>
    </w:tbl>
    <w:p>
      <w:pPr>
        <w:pStyle w:val="TextBody"/>
        <w:bidi w:val="0"/>
        <w:spacing w:lineRule="auto" w:line="288" w:before="0" w:after="0"/>
        <w:jc w:val="left"/>
        <w:rPr/>
      </w:pPr>
      <w:r>
        <w:rPr>
          <w:rFonts w:ascii="sans-serif" w:hAnsi="sans-serif"/>
          <w:b w:val="false"/>
          <w:color w:val="000000"/>
          <w:sz w:val="20"/>
        </w:rPr>
        <w:t xml:space="preserve">If, for the Performance Period, </w:t>
      </w:r>
      <w:r>
        <w:rPr>
          <w:rFonts w:ascii="sans-serif" w:hAnsi="sans-serif"/>
          <w:b/>
          <w:color w:val="000000"/>
          <w:sz w:val="20"/>
        </w:rPr>
        <w:t>Adjusted EBITDA Growth</w:t>
      </w:r>
      <w:r>
        <w:rPr>
          <w:color w:val="000000"/>
        </w:rPr>
        <w:t xml:space="preserve"> </w:t>
      </w:r>
      <w:r>
        <w:rPr>
          <w:rFonts w:ascii="sans-serif" w:hAnsi="sans-serif"/>
          <w:b w:val="false"/>
          <w:color w:val="000000"/>
          <w:sz w:val="20"/>
        </w:rPr>
        <w:t xml:space="preserve">is greater than the Threshold achievement level set forth above but less than the Target achievement level set forth above or is greater than the Target achievement level set forth above but less than the Maximum achievement level set forth above, then the Earned Percent eligible to vest shall be determined using linear interpolation. </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u w:val="single"/>
        </w:rPr>
      </w:pPr>
      <w:r>
        <w:rPr>
          <w:rFonts w:ascii="sans-serif" w:hAnsi="sans-serif"/>
          <w:b/>
          <w:color w:val="000000"/>
          <w:sz w:val="20"/>
          <w:u w:val="single"/>
        </w:rPr>
        <w:t>Total Revenue Growth</w:t>
      </w:r>
    </w:p>
    <w:p>
      <w:pPr>
        <w:pStyle w:val="TextBody"/>
        <w:bidi w:val="0"/>
        <w:spacing w:lineRule="auto" w:line="288" w:before="0" w:after="0"/>
        <w:jc w:val="left"/>
        <w:rPr/>
      </w:pPr>
      <w:r>
        <w:rPr>
          <w:color w:val="000000"/>
        </w:rPr>
        <w:t>“</w:t>
      </w:r>
      <w:r>
        <w:rPr>
          <w:rFonts w:ascii="sans-serif" w:hAnsi="sans-serif"/>
          <w:b/>
          <w:color w:val="000000"/>
          <w:sz w:val="20"/>
          <w:u w:val="single"/>
        </w:rPr>
        <w:t>Total Revenue Growth</w:t>
      </w:r>
      <w:r>
        <w:rPr>
          <w:color w:val="000000"/>
        </w:rPr>
        <w:t xml:space="preserve">” </w:t>
      </w:r>
      <w:r>
        <w:rPr>
          <w:rFonts w:ascii="sans-serif" w:hAnsi="sans-serif"/>
          <w:b w:val="false"/>
          <w:color w:val="000000"/>
          <w:sz w:val="20"/>
        </w:rPr>
        <w:t xml:space="preserve">is measured on a constant growth rate basis with annual targets expressed as a growth rate over the previous year’s actual result, over the Performance Period. </w:t>
      </w:r>
    </w:p>
    <w:p>
      <w:pPr>
        <w:pStyle w:val="TextBody"/>
        <w:bidi w:val="0"/>
        <w:spacing w:lineRule="auto" w:line="288" w:before="0" w:after="0"/>
        <w:jc w:val="center"/>
        <w:rPr>
          <w:rFonts w:ascii="sans-serif" w:hAnsi="sans-serif"/>
          <w:b/>
          <w:i/>
          <w:color w:val="000000"/>
          <w:sz w:val="20"/>
        </w:rPr>
      </w:pPr>
      <w:r>
        <w:rPr>
          <w:rFonts w:ascii="sans-serif" w:hAnsi="sans-serif"/>
          <w:b/>
          <w:i/>
          <w:color w:val="000000"/>
          <w:sz w:val="20"/>
        </w:rPr>
        <w:t>Total Revenue Growth</w:t>
      </w:r>
    </w:p>
    <w:p>
      <w:pPr>
        <w:pStyle w:val="TextBody"/>
        <w:bidi w:val="0"/>
        <w:spacing w:lineRule="auto" w:line="288" w:before="0" w:after="0"/>
        <w:jc w:val="center"/>
        <w:rPr/>
      </w:pPr>
      <w:r>
        <w:rPr>
          <w:rFonts w:ascii="sans-serif" w:hAnsi="sans-serif"/>
          <w:b/>
          <w:i/>
          <w:color w:val="000000"/>
          <w:sz w:val="20"/>
        </w:rPr>
        <w:t>For the Performance Period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55"/>
        <w:gridCol w:w="575"/>
        <w:gridCol w:w="578"/>
        <w:gridCol w:w="543"/>
        <w:gridCol w:w="543"/>
        <w:gridCol w:w="545"/>
        <w:gridCol w:w="618"/>
        <w:gridCol w:w="618"/>
        <w:gridCol w:w="619"/>
        <w:gridCol w:w="618"/>
        <w:gridCol w:w="618"/>
        <w:gridCol w:w="619"/>
        <w:gridCol w:w="610"/>
        <w:gridCol w:w="610"/>
        <w:gridCol w:w="611"/>
        <w:gridCol w:w="355"/>
        <w:gridCol w:w="355"/>
        <w:gridCol w:w="515"/>
      </w:tblGrid>
      <w:tr>
        <w:trPr/>
        <w:tc>
          <w:tcPr>
            <w:tcW w:w="6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Achievement Level</w:t>
            </w:r>
          </w:p>
        </w:tc>
        <w:tc>
          <w:tcPr>
            <w:tcW w:w="16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Period 1 Revenue</w:t>
            </w:r>
          </w:p>
          <w:p>
            <w:pPr>
              <w:pStyle w:val="TableContents"/>
              <w:bidi w:val="0"/>
              <w:spacing w:lineRule="auto" w:line="288" w:before="0" w:after="0"/>
              <w:jc w:val="center"/>
              <w:rPr/>
            </w:pPr>
            <w:r>
              <w:rPr>
                <w:rFonts w:ascii="sans-serif" w:hAnsi="sans-serif"/>
                <w:b/>
                <w:color w:val="000000"/>
                <w:sz w:val="20"/>
              </w:rPr>
              <w:t>Performance Goal</w:t>
            </w:r>
            <w:r>
              <w:rPr>
                <w:color w:val="000000"/>
              </w:rPr>
              <w:t xml:space="preserve"> </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Period 2 Total Revenue Growth</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Performance Goal</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Period 3 Total Revenue Growth</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Performance Goal</w:t>
            </w:r>
          </w:p>
        </w:tc>
        <w:tc>
          <w:tcPr>
            <w:tcW w:w="18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 xml:space="preserve">Period 4 Total Revenue </w:t>
            </w:r>
          </w:p>
          <w:p>
            <w:pPr>
              <w:pStyle w:val="TableContents"/>
              <w:bidi w:val="0"/>
              <w:spacing w:lineRule="auto" w:line="288" w:before="0" w:after="0"/>
              <w:jc w:val="center"/>
              <w:rPr/>
            </w:pPr>
            <w:r>
              <w:rPr>
                <w:rFonts w:ascii="sans-serif" w:hAnsi="sans-serif"/>
                <w:b/>
                <w:color w:val="000000"/>
                <w:sz w:val="20"/>
              </w:rPr>
              <w:t>Cumulative</w:t>
            </w:r>
            <w:r>
              <w:rPr>
                <w:color w:val="000000"/>
              </w:rPr>
              <w:t xml:space="preserve"> </w:t>
            </w:r>
            <w:r>
              <w:rPr>
                <w:rFonts w:ascii="sans-serif" w:hAnsi="sans-serif"/>
                <w:b/>
                <w:color w:val="000000"/>
                <w:sz w:val="20"/>
              </w:rPr>
              <w:t>Performance Goal</w:t>
            </w:r>
          </w:p>
        </w:tc>
        <w:tc>
          <w:tcPr>
            <w:tcW w:w="122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Earned Percent (%)</w:t>
            </w:r>
          </w:p>
        </w:tc>
      </w:tr>
      <w:tr>
        <w:trPr/>
        <w:tc>
          <w:tcPr>
            <w:tcW w:w="18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Below Threshold </w:t>
            </w:r>
          </w:p>
        </w:tc>
        <w:tc>
          <w:tcPr>
            <w:tcW w:w="1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&lt;$770M</w:t>
            </w:r>
          </w:p>
        </w:tc>
        <w:tc>
          <w:tcPr>
            <w:tcW w:w="1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&lt;2.0%</w:t>
            </w:r>
          </w:p>
        </w:tc>
        <w:tc>
          <w:tcPr>
            <w:tcW w:w="1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&lt;1.0%</w:t>
            </w:r>
          </w:p>
        </w:tc>
        <w:tc>
          <w:tcPr>
            <w:tcW w:w="18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&lt;$2,423M</w:t>
            </w:r>
          </w:p>
        </w:tc>
        <w:tc>
          <w:tcPr>
            <w:tcW w:w="1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0%</w:t>
            </w:r>
          </w:p>
        </w:tc>
      </w:tr>
      <w:tr>
        <w:trPr/>
        <w:tc>
          <w:tcPr>
            <w:tcW w:w="18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Threshold</w:t>
            </w:r>
          </w:p>
        </w:tc>
        <w:tc>
          <w:tcPr>
            <w:tcW w:w="1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$770M</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w:t>
            </w:r>
          </w:p>
        </w:tc>
        <w:tc>
          <w:tcPr>
            <w:tcW w:w="18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$2,423M</w:t>
            </w:r>
          </w:p>
        </w:tc>
        <w:tc>
          <w:tcPr>
            <w:tcW w:w="1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35%</w:t>
            </w:r>
          </w:p>
        </w:tc>
      </w:tr>
      <w:tr>
        <w:trPr/>
        <w:tc>
          <w:tcPr>
            <w:tcW w:w="18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Between Threshold and Target </w:t>
            </w:r>
          </w:p>
        </w:tc>
        <w:tc>
          <w:tcPr>
            <w:tcW w:w="1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$778.5M</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+3.0%</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w:t>
            </w:r>
          </w:p>
        </w:tc>
        <w:tc>
          <w:tcPr>
            <w:tcW w:w="18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$2,448.5M</w:t>
            </w:r>
          </w:p>
        </w:tc>
        <w:tc>
          <w:tcPr>
            <w:tcW w:w="1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50%</w:t>
            </w:r>
          </w:p>
        </w:tc>
      </w:tr>
      <w:tr>
        <w:trPr/>
        <w:tc>
          <w:tcPr>
            <w:tcW w:w="18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Target </w:t>
            </w:r>
          </w:p>
        </w:tc>
        <w:tc>
          <w:tcPr>
            <w:tcW w:w="1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$787M</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+7.0%</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+6.0%</w:t>
            </w:r>
          </w:p>
        </w:tc>
        <w:tc>
          <w:tcPr>
            <w:tcW w:w="18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$2,521.5M</w:t>
            </w:r>
          </w:p>
        </w:tc>
        <w:tc>
          <w:tcPr>
            <w:tcW w:w="1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180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Above Target</w:t>
            </w:r>
          </w:p>
        </w:tc>
        <w:tc>
          <w:tcPr>
            <w:tcW w:w="1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$793M</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c>
          <w:tcPr>
            <w:tcW w:w="18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+8.0%</w:t>
            </w:r>
          </w:p>
        </w:tc>
        <w:tc>
          <w:tcPr>
            <w:tcW w:w="18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$2,568M</w:t>
            </w:r>
          </w:p>
        </w:tc>
        <w:tc>
          <w:tcPr>
            <w:tcW w:w="12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150%</w:t>
            </w:r>
          </w:p>
        </w:tc>
      </w:tr>
      <w:tr>
        <w:trPr/>
        <w:tc>
          <w:tcPr>
            <w:tcW w:w="180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Maximum </w:t>
            </w:r>
          </w:p>
        </w:tc>
        <w:tc>
          <w:tcPr>
            <w:tcW w:w="16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$800M</w:t>
            </w:r>
          </w:p>
        </w:tc>
        <w:tc>
          <w:tcPr>
            <w:tcW w:w="18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+12.0%</w:t>
            </w:r>
          </w:p>
        </w:tc>
        <w:tc>
          <w:tcPr>
            <w:tcW w:w="18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+9.0%</w:t>
            </w:r>
          </w:p>
        </w:tc>
        <w:tc>
          <w:tcPr>
            <w:tcW w:w="18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$2,599M</w:t>
            </w:r>
          </w:p>
        </w:tc>
        <w:tc>
          <w:tcPr>
            <w:tcW w:w="12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200%</w:t>
            </w:r>
          </w:p>
        </w:tc>
      </w:tr>
    </w:tbl>
    <w:p>
      <w:pPr>
        <w:pStyle w:val="TextBody"/>
        <w:bidi w:val="0"/>
        <w:spacing w:before="0" w:after="0"/>
        <w:jc w:val="center"/>
        <w:rPr/>
      </w:pPr>
      <w:r>
        <w:rPr/>
      </w:r>
    </w:p>
    <w:p>
      <w:pPr>
        <w:pStyle w:val="TextBody"/>
        <w:bidi w:val="0"/>
        <w:spacing w:lineRule="auto" w:line="288" w:before="0" w:after="0"/>
        <w:jc w:val="left"/>
        <w:rPr/>
      </w:pPr>
      <w:r>
        <w:rPr>
          <w:rFonts w:ascii="sans-serif" w:hAnsi="sans-serif"/>
          <w:b w:val="false"/>
          <w:color w:val="000000"/>
          <w:sz w:val="20"/>
        </w:rPr>
        <w:t xml:space="preserve">If, for the Performance Period, </w:t>
      </w:r>
      <w:r>
        <w:rPr>
          <w:rFonts w:ascii="sans-serif" w:hAnsi="sans-serif"/>
          <w:b/>
          <w:color w:val="000000"/>
          <w:sz w:val="20"/>
        </w:rPr>
        <w:t>Total Revenue Growth</w:t>
      </w:r>
      <w:r>
        <w:rPr>
          <w:color w:val="000000"/>
        </w:rPr>
        <w:t xml:space="preserve"> </w:t>
      </w:r>
      <w:r>
        <w:rPr>
          <w:rFonts w:ascii="sans-serif" w:hAnsi="sans-serif"/>
          <w:b w:val="false"/>
          <w:color w:val="000000"/>
          <w:sz w:val="20"/>
        </w:rPr>
        <w:t xml:space="preserve">is greater than the Threshold achievement level set forth above but less than the Target achievement level set forth above or is greater than the Target achievement level set forth above but less than the Maximum achievement level set forth above, then the Earned Percent eligible to vest shall be determined using linear interpolation.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605" cy="14605"/>
                <wp:effectExtent l="0" t="0" r="0" b="0"/>
                <wp:wrapNone/>
                <wp:docPr id="132" name="Frame5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r>
        <w:rPr>
          <w:rFonts w:ascii="sans-serif" w:hAnsi="sans-serif"/>
          <w:b/>
          <w:i/>
          <w:color w:val="000000"/>
          <w:sz w:val="20"/>
        </w:rPr>
        <w:t>Determining Number of PSUs that Vest</w:t>
      </w:r>
      <w:r>
        <w:rPr>
          <w:color w:val="000000"/>
        </w:rPr>
        <w:t xml:space="preserve"> </w:t>
      </w:r>
    </w:p>
    <w:p>
      <w:pPr>
        <w:pStyle w:val="TextBody"/>
        <w:bidi w:val="0"/>
        <w:spacing w:lineRule="auto" w:line="288" w:before="0" w:after="160"/>
        <w:jc w:val="left"/>
        <w:rPr/>
      </w:pPr>
      <w:r>
        <w:rPr>
          <w:rFonts w:ascii="sans-serif" w:hAnsi="sans-serif"/>
          <w:b w:val="false"/>
          <w:color w:val="000000"/>
          <w:sz w:val="20"/>
        </w:rPr>
        <w:t xml:space="preserve">After the Earned Percent for </w:t>
      </w:r>
      <w:r>
        <w:rPr>
          <w:rFonts w:ascii="sans-serif" w:hAnsi="sans-serif"/>
          <w:b/>
          <w:color w:val="000000"/>
          <w:sz w:val="20"/>
        </w:rPr>
        <w:t>Adjusted EBITDA Growth</w:t>
      </w:r>
      <w:r>
        <w:rPr>
          <w:rFonts w:ascii="sans-serif" w:hAnsi="sans-serif"/>
          <w:b w:val="false"/>
          <w:color w:val="000000"/>
          <w:sz w:val="20"/>
        </w:rPr>
        <w:t xml:space="preserve">, and </w:t>
      </w:r>
      <w:r>
        <w:rPr>
          <w:rFonts w:ascii="sans-serif" w:hAnsi="sans-serif"/>
          <w:b/>
          <w:color w:val="000000"/>
          <w:sz w:val="20"/>
        </w:rPr>
        <w:t xml:space="preserve">Total Revenue Growth </w:t>
      </w:r>
      <w:r>
        <w:rPr>
          <w:rFonts w:ascii="sans-serif" w:hAnsi="sans-serif"/>
          <w:b w:val="false"/>
          <w:color w:val="000000"/>
          <w:sz w:val="20"/>
        </w:rPr>
        <w:t>for the Performance Period are determined based on the above tables, each Earned Percent will be multiplied by the Weight for each respective Performance Measure and then added to get the Total Earned Percent. The Target Number of Performance Share Units will then be multiplied by the Total Earned Percent to arrive at the total number of Performance Share Units that will vest based on performance achieved (“</w:t>
      </w:r>
      <w:r>
        <w:rPr>
          <w:rFonts w:ascii="sans-serif" w:hAnsi="sans-serif"/>
          <w:b w:val="false"/>
          <w:color w:val="000000"/>
          <w:sz w:val="20"/>
          <w:u w:val="single"/>
        </w:rPr>
        <w:t>Earned PSUs</w:t>
      </w:r>
      <w:r>
        <w:rPr>
          <w:color w:val="000000"/>
        </w:rPr>
        <w:t>”</w:t>
      </w:r>
      <w:r>
        <w:rPr>
          <w:rFonts w:ascii="sans-serif" w:hAnsi="sans-serif"/>
          <w:b w:val="false"/>
          <w:color w:val="000000"/>
          <w:sz w:val="20"/>
        </w:rPr>
        <w:t>) at the end of the Performance Period.</w:t>
      </w:r>
    </w:p>
    <w:tbl>
      <w:tblPr>
        <w:tblW w:w="8413" w:type="dxa"/>
        <w:jc w:val="left"/>
        <w:tblInd w:w="0" w:type="dxa"/>
        <w:tblLayout w:type="fixed"/>
        <w:tblCellMar>
          <w:top w:w="28" w:type="dxa"/>
          <w:left w:w="28" w:type="dxa"/>
          <w:bottom w:w="28" w:type="dxa"/>
          <w:right w:w="28" w:type="dxa"/>
        </w:tblCellMar>
      </w:tblPr>
      <w:tblGrid>
        <w:gridCol w:w="934"/>
        <w:gridCol w:w="821"/>
        <w:gridCol w:w="824"/>
        <w:gridCol w:w="290"/>
        <w:gridCol w:w="290"/>
        <w:gridCol w:w="291"/>
        <w:gridCol w:w="749"/>
        <w:gridCol w:w="749"/>
        <w:gridCol w:w="751"/>
        <w:gridCol w:w="794"/>
        <w:gridCol w:w="794"/>
        <w:gridCol w:w="1126"/>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Performance Goal</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Weight</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(AA)</w:t>
            </w:r>
          </w:p>
        </w:tc>
        <w:tc>
          <w:tcPr>
            <w:tcW w:w="22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Earned Percent (%)</w:t>
              <w:br/>
              <w:t>(BB)</w:t>
            </w:r>
          </w:p>
        </w:tc>
        <w:tc>
          <w:tcPr>
            <w:tcW w:w="27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 xml:space="preserve">Total Earned PSUs (%) </w:t>
              <w:br/>
              <w:t>(AA x BB)</w:t>
            </w:r>
          </w:p>
        </w:tc>
      </w:tr>
      <w:tr>
        <w:trPr/>
        <w:tc>
          <w:tcPr>
            <w:tcW w:w="25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Adjusted EBITDA Growth </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50%</w:t>
            </w:r>
          </w:p>
        </w:tc>
        <w:tc>
          <w:tcPr>
            <w:tcW w:w="224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A%</w:t>
            </w:r>
          </w:p>
        </w:tc>
        <w:tc>
          <w:tcPr>
            <w:tcW w:w="27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X%</w:t>
            </w:r>
          </w:p>
        </w:tc>
      </w:tr>
      <w:tr>
        <w:trPr/>
        <w:tc>
          <w:tcPr>
            <w:tcW w:w="257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Total Revenue Growth </w:t>
            </w:r>
          </w:p>
        </w:tc>
        <w:tc>
          <w:tcPr>
            <w:tcW w:w="8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50%</w:t>
            </w:r>
          </w:p>
        </w:tc>
        <w:tc>
          <w:tcPr>
            <w:tcW w:w="224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B%</w:t>
            </w:r>
          </w:p>
        </w:tc>
        <w:tc>
          <w:tcPr>
            <w:tcW w:w="27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Y%</w:t>
            </w:r>
          </w:p>
        </w:tc>
      </w:tr>
      <w:tr>
        <w:trPr/>
        <w:tc>
          <w:tcPr>
            <w:tcW w:w="5699" w:type="dxa"/>
            <w:gridSpan w:val="9"/>
            <w:tcBorders>
              <w:left w:val="single" w:sz="4" w:space="0" w:color="000000"/>
              <w:bottom w:val="single" w:sz="4" w:space="0" w:color="000000"/>
            </w:tcBorders>
            <w:tcMar>
              <w:top w:w="0" w:type="dxa"/>
              <w:left w:w="75"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PSUs Earned Percentage (Sum of Above)</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ZZ%</w:t>
            </w:r>
          </w:p>
        </w:tc>
      </w:tr>
    </w:tbl>
    <w:p>
      <w:pPr>
        <w:pStyle w:val="TextBody"/>
        <w:bidi w:val="0"/>
        <w:spacing w:before="0" w:after="160"/>
        <w:jc w:val="left"/>
        <w:rPr/>
      </w:pPr>
      <w:r>
        <w:rPr/>
      </w:r>
    </w:p>
    <w:p>
      <w:pPr>
        <w:pStyle w:val="TextBody"/>
        <w:bidi w:val="0"/>
        <w:spacing w:lineRule="auto" w:line="288" w:before="0" w:after="160"/>
        <w:jc w:val="left"/>
        <w:rPr>
          <w:rFonts w:ascii="sans-serif" w:hAnsi="sans-serif"/>
          <w:b w:val="false"/>
          <w:color w:val="000000"/>
          <w:sz w:val="20"/>
        </w:rPr>
      </w:pPr>
      <w:r>
        <w:rPr>
          <w:rFonts w:ascii="sans-serif" w:hAnsi="sans-serif"/>
          <w:b w:val="false"/>
          <w:color w:val="000000"/>
          <w:sz w:val="20"/>
        </w:rPr>
        <w:t>Number of PSUs that Vest = Total PSUs Earned Percentage x Target # of PSUs</w:t>
      </w:r>
    </w:p>
    <w:p>
      <w:pPr>
        <w:pStyle w:val="TextBody"/>
        <w:bidi w:val="0"/>
        <w:spacing w:before="0" w:after="160"/>
        <w:jc w:val="left"/>
        <w:rPr/>
      </w:pPr>
      <w:r>
        <w:rPr/>
      </w:r>
    </w:p>
    <w:p>
      <w:pPr>
        <w:pStyle w:val="TextBody"/>
        <w:bidi w:val="0"/>
        <w:spacing w:lineRule="auto" w:line="319" w:before="0" w:after="160"/>
        <w:jc w:val="left"/>
        <w:rPr>
          <w:rFonts w:ascii="sans-serif" w:hAnsi="sans-serif"/>
          <w:b/>
          <w:i/>
          <w:color w:val="000000"/>
          <w:sz w:val="20"/>
        </w:rPr>
      </w:pPr>
      <w:r>
        <w:rPr>
          <w:rFonts w:ascii="sans-serif" w:hAnsi="sans-serif"/>
          <w:b/>
          <w:i/>
          <w:color w:val="000000"/>
          <w:sz w:val="20"/>
        </w:rPr>
        <w:t>Determining the Number of PSUs that Vest or Convert into Time-Vesting Awards upon a Change in Control</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In the event of a Change in Control, for purposes of measuring achievement of the Performance Goals, the Performance Period shall be deemed to end as of the date of the Change in Control or at such earlier date within 14 days prior to a Change in Control as may be necessary to allow the Company to measure performance and effect the treatment of the Performance Stock Units in connection with the Change in Control.</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6415"/>
                <wp:effectExtent l="0" t="0" r="0" b="0"/>
                <wp:wrapNone/>
                <wp:docPr id="133" name="Frame5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CERTIFICATION OF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 UNDER THE SECURITIES EXCHANGE ACT OF 1934,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ADOPTED PURSUANT TO SECTION 302 OF THE SARBANES-OXLEY ACT OF 2002</w:t>
      </w:r>
    </w:p>
    <w:p>
      <w:pPr>
        <w:pStyle w:val="TextBody"/>
        <w:bidi w:val="0"/>
        <w:spacing w:lineRule="auto" w:line="288" w:before="264" w:after="283"/>
        <w:jc w:val="left"/>
        <w:rPr>
          <w:rFonts w:ascii="Arial Narrow;sans-serif" w:hAnsi="Arial Narrow;sans-serif"/>
          <w:b w:val="false"/>
          <w:color w:val="000000"/>
          <w:sz w:val="20"/>
        </w:rPr>
      </w:pPr>
      <w:r>
        <w:rPr>
          <w:rFonts w:ascii="Arial Narrow;sans-serif" w:hAnsi="Arial Narrow;sans-serif"/>
          <w:b w:val="false"/>
          <w:color w:val="000000"/>
          <w:sz w:val="20"/>
        </w:rPr>
        <w:t>I, Brett Patterson,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05"/>
        <w:gridCol w:w="2602"/>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 have reviewed this Quarterly Report on Form 10-Q for the quarterly period ended June 28, 2026 of Portillo's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center"/>
        <w:rPr>
          <w:color w:val="000000"/>
        </w:rPr>
      </w:pPr>
      <w:r>
        <w:rPr>
          <w:color w:val="000000"/>
        </w:rPr>
        <w:t> </w:t>
      </w:r>
    </w:p>
    <w:tbl>
      <w:tblPr>
        <w:tblW w:w="5414" w:type="dxa"/>
        <w:jc w:val="left"/>
        <w:tblInd w:w="0" w:type="dxa"/>
        <w:tblLayout w:type="fixed"/>
        <w:tblCellMar>
          <w:top w:w="28" w:type="dxa"/>
          <w:left w:w="28" w:type="dxa"/>
          <w:bottom w:w="28" w:type="dxa"/>
          <w:right w:w="28" w:type="dxa"/>
        </w:tblCellMar>
      </w:tblPr>
      <w:tblGrid>
        <w:gridCol w:w="592"/>
        <w:gridCol w:w="518"/>
        <w:gridCol w:w="525"/>
        <w:gridCol w:w="110"/>
        <w:gridCol w:w="110"/>
        <w:gridCol w:w="110"/>
        <w:gridCol w:w="1009"/>
        <w:gridCol w:w="1009"/>
        <w:gridCol w:w="1431"/>
      </w:tblGrid>
      <w:tr>
        <w:trPr/>
        <w:tc>
          <w:tcPr>
            <w:tcW w:w="5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August 5, 2026</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Brett Patterson</w:t>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Brett Patterson</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13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CERTIFICATION OF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 UNDER THE SECURITIES EXCHANGE ACT OF 1934,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ADOPTED PURSUANT TO SECTION 302 OF THE SARBANES-OXLEY ACT OF 2002</w:t>
      </w:r>
    </w:p>
    <w:p>
      <w:pPr>
        <w:pStyle w:val="TextBody"/>
        <w:bidi w:val="0"/>
        <w:spacing w:lineRule="auto" w:line="288" w:before="264" w:after="283"/>
        <w:jc w:val="left"/>
        <w:rPr>
          <w:rFonts w:ascii="Arial Narrow;sans-serif" w:hAnsi="Arial Narrow;sans-serif"/>
          <w:b w:val="false"/>
          <w:color w:val="000000"/>
          <w:sz w:val="20"/>
        </w:rPr>
      </w:pPr>
      <w:r>
        <w:rPr>
          <w:rFonts w:ascii="Arial Narrow;sans-serif" w:hAnsi="Arial Narrow;sans-serif"/>
          <w:b w:val="false"/>
          <w:color w:val="000000"/>
          <w:sz w:val="20"/>
        </w:rPr>
        <w:t>I, Pamela Smith,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54"/>
        <w:gridCol w:w="2623"/>
        <w:gridCol w:w="37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 have reviewed this Quarterly Report on Form 10-Q for the quarterly period ended June 28, 2026 of Portillo's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center"/>
        <w:rPr>
          <w:color w:val="000000"/>
        </w:rPr>
      </w:pPr>
      <w:r>
        <w:rPr>
          <w:color w:val="000000"/>
        </w:rPr>
        <w:t> </w:t>
      </w:r>
    </w:p>
    <w:tbl>
      <w:tblPr>
        <w:tblW w:w="6314" w:type="dxa"/>
        <w:jc w:val="left"/>
        <w:tblInd w:w="0" w:type="dxa"/>
        <w:tblLayout w:type="fixed"/>
        <w:tblCellMar>
          <w:top w:w="28" w:type="dxa"/>
          <w:left w:w="28" w:type="dxa"/>
          <w:bottom w:w="28" w:type="dxa"/>
          <w:right w:w="28" w:type="dxa"/>
        </w:tblCellMar>
      </w:tblPr>
      <w:tblGrid>
        <w:gridCol w:w="592"/>
        <w:gridCol w:w="518"/>
        <w:gridCol w:w="525"/>
        <w:gridCol w:w="110"/>
        <w:gridCol w:w="110"/>
        <w:gridCol w:w="110"/>
        <w:gridCol w:w="1267"/>
        <w:gridCol w:w="1267"/>
        <w:gridCol w:w="1815"/>
      </w:tblGrid>
      <w:tr>
        <w:trPr/>
        <w:tc>
          <w:tcPr>
            <w:tcW w:w="5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August 5, 2026</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Pamela Smith</w:t>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Pamela Smith</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Interim Chief Financial Officer and Treasurer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13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4" w:after="283"/>
        <w:jc w:val="center"/>
        <w:rPr>
          <w:rFonts w:ascii="Arial Narrow;sans-serif" w:hAnsi="Arial Narrow;sans-serif"/>
          <w:b/>
          <w:color w:val="000000"/>
          <w:sz w:val="20"/>
        </w:rPr>
      </w:pPr>
      <w:r>
        <w:rPr>
          <w:rFonts w:ascii="Arial Narrow;sans-serif" w:hAnsi="Arial Narrow;sans-serif"/>
          <w:b/>
          <w:color w:val="000000"/>
          <w:sz w:val="20"/>
        </w:rPr>
        <w:t>CERTIFICATION PURSUANT TO 18 U.S.C. SECTION 1350,</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on Form 10-Q of Portillo's Inc. (the “Company”), for the quarterly period ended June 28, 2026,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center"/>
        <w:rPr/>
      </w:pPr>
      <w:r>
        <w:rPr/>
      </w:r>
    </w:p>
    <w:tbl>
      <w:tblPr>
        <w:tblW w:w="5414" w:type="dxa"/>
        <w:jc w:val="center"/>
        <w:tblInd w:w="0" w:type="dxa"/>
        <w:tblLayout w:type="fixed"/>
        <w:tblCellMar>
          <w:top w:w="28" w:type="dxa"/>
          <w:left w:w="28" w:type="dxa"/>
          <w:bottom w:w="28" w:type="dxa"/>
          <w:right w:w="28" w:type="dxa"/>
        </w:tblCellMar>
      </w:tblPr>
      <w:tblGrid>
        <w:gridCol w:w="592"/>
        <w:gridCol w:w="518"/>
        <w:gridCol w:w="525"/>
        <w:gridCol w:w="110"/>
        <w:gridCol w:w="110"/>
        <w:gridCol w:w="110"/>
        <w:gridCol w:w="1009"/>
        <w:gridCol w:w="1009"/>
        <w:gridCol w:w="1431"/>
      </w:tblGrid>
      <w:tr>
        <w:trPr/>
        <w:tc>
          <w:tcPr>
            <w:tcW w:w="5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August 5, 2026</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Brett Patterson</w:t>
            </w:r>
          </w:p>
        </w:tc>
      </w:tr>
      <w:tr>
        <w:trPr/>
        <w:tc>
          <w:tcPr>
            <w:tcW w:w="163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Brett Patterson</w:t>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br/>
              <w:t>(Principal Executive Officer)</w:t>
            </w:r>
          </w:p>
        </w:tc>
      </w:tr>
    </w:tbl>
    <w:p>
      <w:pPr>
        <w:pStyle w:val="TextBody"/>
        <w:bidi w:val="0"/>
        <w:spacing w:lineRule="auto" w:line="288" w:before="0" w:after="0"/>
        <w:jc w:val="left"/>
        <w:rPr>
          <w:color w:val="000000"/>
        </w:rPr>
      </w:pPr>
      <w:r>
        <w:rPr>
          <w:color w:val="000000"/>
        </w:rPr>
        <w:t> </w:t>
      </w:r>
    </w:p>
    <w:tbl>
      <w:tblPr>
        <w:tblW w:w="6314" w:type="dxa"/>
        <w:jc w:val="left"/>
        <w:tblInd w:w="0" w:type="dxa"/>
        <w:tblLayout w:type="fixed"/>
        <w:tblCellMar>
          <w:top w:w="28" w:type="dxa"/>
          <w:left w:w="28" w:type="dxa"/>
          <w:bottom w:w="28" w:type="dxa"/>
          <w:right w:w="28" w:type="dxa"/>
        </w:tblCellMar>
      </w:tblPr>
      <w:tblGrid>
        <w:gridCol w:w="592"/>
        <w:gridCol w:w="518"/>
        <w:gridCol w:w="525"/>
        <w:gridCol w:w="110"/>
        <w:gridCol w:w="110"/>
        <w:gridCol w:w="110"/>
        <w:gridCol w:w="1267"/>
        <w:gridCol w:w="1267"/>
        <w:gridCol w:w="1815"/>
      </w:tblGrid>
      <w:tr>
        <w:trPr/>
        <w:tc>
          <w:tcPr>
            <w:tcW w:w="59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August 5, 2026</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Pamela Smith</w:t>
            </w:r>
          </w:p>
        </w:tc>
      </w:tr>
      <w:tr>
        <w:trPr/>
        <w:tc>
          <w:tcPr>
            <w:tcW w:w="1635"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Pamela Smith</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Interim Chief Financial Officer and Treasurer</w:t>
              <w:b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13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2.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3.jpeg"/><Relationship Id="rId74" Type="http://schemas.openxmlformats.org/officeDocument/2006/relationships/image" Target="media/image3.jpeg"/><Relationship Id="rId75" Type="http://schemas.openxmlformats.org/officeDocument/2006/relationships/image" Target="media/image3.jpeg"/><Relationship Id="rId76" Type="http://schemas.openxmlformats.org/officeDocument/2006/relationships/image" Target="media/image3.jpeg"/><Relationship Id="rId77" Type="http://schemas.openxmlformats.org/officeDocument/2006/relationships/image" Target="media/image2.jpeg"/><Relationship Id="rId78" Type="http://schemas.openxmlformats.org/officeDocument/2006/relationships/image" Target="media/image3.jpeg"/><Relationship Id="rId79" Type="http://schemas.openxmlformats.org/officeDocument/2006/relationships/image" Target="media/image3.jpeg"/><Relationship Id="rId80" Type="http://schemas.openxmlformats.org/officeDocument/2006/relationships/hyperlink" Target="https://www.sec.gov/Archives/edgar/data/1871509/000187150921000009/exhibit31amendedandrestate.htm" TargetMode="External"/><Relationship Id="rId81" Type="http://schemas.openxmlformats.org/officeDocument/2006/relationships/hyperlink" Target="https://www.sec.gov/Archives/edgar/data/1871509/000187150921000009/exhibit31amendedandrestate.htm" TargetMode="External"/><Relationship Id="rId82" Type="http://schemas.openxmlformats.org/officeDocument/2006/relationships/hyperlink" Target="https://www.sec.gov/Archives/edgar/data/1871509/000187150921000009/exhibit32amendedandrestate.htm" TargetMode="External"/><Relationship Id="rId83" Type="http://schemas.openxmlformats.org/officeDocument/2006/relationships/hyperlink" Target="https://www.sec.gov/Archives/edgar/data/1871509/000187150921000009/exhibit32amendedandrestate.htm" TargetMode="External"/><Relationship Id="rId84" Type="http://schemas.openxmlformats.org/officeDocument/2006/relationships/hyperlink" Target="https://www.sec.gov/Archives/edgar/data/1871509/000187150926000037/exhibit101-independentcont.htm" TargetMode="External"/><Relationship Id="rId85" Type="http://schemas.openxmlformats.org/officeDocument/2006/relationships/hyperlink" Target="https://www.sec.gov/Archives/edgar/data/1871509/000187150926000037/exhibit101-independentcont.htm" TargetMode="External"/><Relationship Id="rId86" Type="http://schemas.openxmlformats.org/officeDocument/2006/relationships/hyperlink" Target="https://www.sec.gov/Archives/edgar/data/1871509/000187150926000043/exhibit101amendmenttoindep.htm" TargetMode="External"/><Relationship Id="rId87" Type="http://schemas.openxmlformats.org/officeDocument/2006/relationships/hyperlink" Target="https://www.sec.gov/Archives/edgar/data/1871509/000187150926000043/exhibit101amendmenttoindep.htm" TargetMode="External"/><Relationship Id="rId88" Type="http://schemas.openxmlformats.org/officeDocument/2006/relationships/hyperlink" Target="https://www.sec.gov/Archives/edgar/data/1871509/000187150926000043/exhibit101amendmenttoindep.htm" TargetMode="External"/><Relationship Id="rId89" Type="http://schemas.openxmlformats.org/officeDocument/2006/relationships/image" Target="media/image3.jpeg"/><Relationship Id="rId90" Type="http://schemas.openxmlformats.org/officeDocument/2006/relationships/image" Target="media/image3.jpeg"/><Relationship Id="rId91" Type="http://schemas.openxmlformats.org/officeDocument/2006/relationships/image" Target="media/image3.jpeg"/><Relationship Id="rId92" Type="http://schemas.openxmlformats.org/officeDocument/2006/relationships/image" Target="media/image3.jpeg"/><Relationship Id="rId93" Type="http://schemas.openxmlformats.org/officeDocument/2006/relationships/fontTable" Target="fontTable.xml"/><Relationship Id="rId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24207</Words>
  <Characters>132880</Characters>
  <CharactersWithSpaces>155733</CharactersWithSpaces>
  <Paragraphs>2830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