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7.png" ContentType="image/pn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38.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UNITED STATES</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SECURITIES AND EXCHANGE COMMISSION</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spacing w:before="0" w:after="0"/>
        <w:jc w:val="center"/>
        <w:rPr/>
      </w:pPr>
      <w:r>
        <w:rPr/>
      </w:r>
    </w:p>
    <w:tbl>
      <w:tblPr>
        <w:tblW w:w="2129" w:type="dxa"/>
        <w:jc w:val="center"/>
        <w:tblInd w:w="0" w:type="dxa"/>
        <w:tblCellMar>
          <w:top w:w="28" w:type="dxa"/>
          <w:left w:w="28" w:type="dxa"/>
          <w:bottom w:w="28" w:type="dxa"/>
          <w:right w:w="28" w:type="dxa"/>
        </w:tblCellMar>
      </w:tblPr>
      <w:tblGrid>
        <w:gridCol w:w="682"/>
        <w:gridCol w:w="598"/>
        <w:gridCol w:w="849"/>
      </w:tblGrid>
      <w:tr>
        <w:trPr/>
        <w:tc>
          <w:tcPr>
            <w:tcW w:w="68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Arial Narrow;sans-serif" w:hAnsi="Arial Narrow;sans-serif"/>
                <w:b/>
                <w:color w:val="000000"/>
                <w:sz w:val="44"/>
              </w:rPr>
            </w:pPr>
            <w:r>
              <w:rPr>
                <w:rFonts w:ascii="Arial Narrow;sans-serif" w:hAnsi="Arial Narrow;sans-serif"/>
                <w:b/>
                <w:color w:val="000000"/>
                <w:sz w:val="44"/>
              </w:rPr>
              <w:t>FORM 10-Q</w:t>
            </w:r>
          </w:p>
        </w:tc>
      </w:tr>
    </w:tbl>
    <w:p>
      <w:pPr>
        <w:pStyle w:val="TextBody"/>
        <w:spacing w:before="0" w:after="0"/>
        <w:jc w:val="center"/>
        <w:rPr/>
      </w:pPr>
      <w:r>
        <w:rPr/>
      </w:r>
    </w:p>
    <w:p>
      <w:pPr>
        <w:pStyle w:val="TextBody"/>
        <w:spacing w:lineRule="auto" w:line="288" w:before="0" w:after="0"/>
        <w:jc w:val="center"/>
        <w:rPr/>
      </w:pPr>
      <w:r>
        <w:rPr>
          <w:color w:val="000000"/>
        </w:rPr>
        <w:t>☒     </w:t>
      </w:r>
      <w:r>
        <w:rPr>
          <w:rFonts w:ascii="Arial Narrow;sans-serif" w:hAnsi="Arial Narrow;sans-serif"/>
          <w:b w:val="false"/>
          <w:color w:val="000000"/>
          <w:sz w:val="22"/>
        </w:rPr>
        <w:t>QUARTERLY REPORT 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Arial Narrow;sans-serif" w:hAnsi="Arial Narrow;sans-serif"/>
          <w:b/>
          <w:color w:val="000000"/>
          <w:sz w:val="22"/>
        </w:rPr>
      </w:pPr>
      <w:r>
        <w:rPr>
          <w:rFonts w:ascii="Arial Narrow;sans-serif" w:hAnsi="Arial Narrow;sans-serif"/>
          <w:b/>
          <w:color w:val="000000"/>
          <w:sz w:val="22"/>
        </w:rPr>
        <w:t>FOR THE QUARTERLY PERIOD ENDED March 26, 2023</w:t>
      </w:r>
    </w:p>
    <w:p>
      <w:pPr>
        <w:pStyle w:val="TextBody"/>
        <w:spacing w:before="0" w:after="0"/>
        <w:jc w:val="center"/>
        <w:rPr/>
      </w:pPr>
      <w:r>
        <w:rPr/>
      </w:r>
    </w:p>
    <w:p>
      <w:pPr>
        <w:pStyle w:val="TextBody"/>
        <w:spacing w:lineRule="auto" w:line="288" w:before="0" w:after="0"/>
        <w:jc w:val="center"/>
        <w:rPr/>
      </w:pPr>
      <w:r>
        <w:rPr>
          <w:color w:val="000000"/>
        </w:rPr>
        <w:t>☐     </w:t>
      </w:r>
      <w:r>
        <w:rPr>
          <w:rFonts w:ascii="Arial Narrow;sans-serif" w:hAnsi="Arial Narrow;sans-serif"/>
          <w:b w:val="false"/>
          <w:color w:val="000000"/>
          <w:sz w:val="22"/>
        </w:rPr>
        <w:t>TRANSITION REPORT PURSUANT TO SECTION 13 OR 15(d) OF THE SECURITIES EXCHANGE ACT OF 1934 FOR THE TRANSITION PERIOD FROM         TO</w:t>
      </w:r>
    </w:p>
    <w:p>
      <w:pPr>
        <w:pStyle w:val="TextBody"/>
        <w:spacing w:before="0" w:after="0"/>
        <w:rPr/>
      </w:pPr>
      <w:r>
        <w:rPr/>
      </w:r>
    </w:p>
    <w:p>
      <w:pPr>
        <w:pStyle w:val="TextBody"/>
        <w:spacing w:lineRule="auto" w:line="288" w:before="0" w:after="0"/>
        <w:jc w:val="center"/>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COMMISSION FILE NUMBER: 001-40951</w:t>
      </w:r>
    </w:p>
    <w:p>
      <w:pPr>
        <w:pStyle w:val="TextBody"/>
        <w:spacing w:before="0" w:after="0"/>
        <w:jc w:val="center"/>
        <w:rPr/>
      </w:pPr>
      <w:r>
        <w:rPr/>
        <w:drawing>
          <wp:inline distT="0" distB="63500" distL="0" distR="0">
            <wp:extent cx="25336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33650" cy="723900"/>
                    </a:xfrm>
                    <a:prstGeom prst="rect">
                      <a:avLst/>
                    </a:prstGeom>
                  </pic:spPr>
                </pic:pic>
              </a:graphicData>
            </a:graphic>
          </wp:inline>
        </w:drawing>
      </w:r>
    </w:p>
    <w:p>
      <w:pPr>
        <w:pStyle w:val="TextBody"/>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PORTILLO'S INC.</w:t>
      </w:r>
    </w:p>
    <w:p>
      <w:pPr>
        <w:pStyle w:val="TextBody"/>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(Exact name of registrant as specified in its charter)</w:t>
      </w:r>
    </w:p>
    <w:tbl>
      <w:tblPr>
        <w:tblW w:w="6417" w:type="dxa"/>
        <w:jc w:val="center"/>
        <w:tblInd w:w="0" w:type="dxa"/>
        <w:tblCellMar>
          <w:top w:w="28" w:type="dxa"/>
          <w:left w:w="28" w:type="dxa"/>
          <w:bottom w:w="28" w:type="dxa"/>
          <w:right w:w="28" w:type="dxa"/>
        </w:tblCellMar>
      </w:tblPr>
      <w:tblGrid>
        <w:gridCol w:w="1350"/>
        <w:gridCol w:w="1186"/>
        <w:gridCol w:w="1199"/>
        <w:gridCol w:w="109"/>
        <w:gridCol w:w="109"/>
        <w:gridCol w:w="109"/>
        <w:gridCol w:w="688"/>
        <w:gridCol w:w="688"/>
        <w:gridCol w:w="979"/>
      </w:tblGrid>
      <w:tr>
        <w:trPr/>
        <w:tc>
          <w:tcPr>
            <w:tcW w:w="1350"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9"/>
              </w:rPr>
            </w:pPr>
            <w:r>
              <w:rPr>
                <w:rFonts w:ascii="Arial Narrow;sans-serif" w:hAnsi="Arial Narrow;sans-serif"/>
                <w:b/>
                <w:color w:val="000000"/>
                <w:sz w:val="19"/>
              </w:rPr>
              <w:t xml:space="preserve">Delaware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9"/>
              </w:rPr>
            </w:pPr>
            <w:r>
              <w:rPr>
                <w:rFonts w:ascii="Arial Narrow;sans-serif" w:hAnsi="Arial Narrow;sans-serif"/>
                <w:b/>
                <w:color w:val="000000"/>
                <w:sz w:val="19"/>
              </w:rPr>
              <w:t>87-1104304</w:t>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6417"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 Narrow;sans-serif" w:hAnsi="Arial Narrow;sans-serif"/>
                <w:b/>
                <w:color w:val="000000"/>
                <w:sz w:val="19"/>
              </w:rPr>
            </w:pPr>
            <w:r>
              <w:rPr>
                <w:rFonts w:ascii="Arial Narrow;sans-serif" w:hAnsi="Arial Narrow;sans-serif"/>
                <w:b/>
                <w:color w:val="000000"/>
                <w:sz w:val="19"/>
              </w:rPr>
              <w:t>2001 Spring Road, Suite 400, Oak Brook, Illinois 60523</w:t>
            </w:r>
          </w:p>
        </w:tc>
      </w:tr>
      <w:tr>
        <w:trPr/>
        <w:tc>
          <w:tcPr>
            <w:tcW w:w="641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r>
    </w:tbl>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(630) 954-3773</w:t>
      </w:r>
    </w:p>
    <w:p>
      <w:pPr>
        <w:pStyle w:val="TextBody"/>
        <w:spacing w:lineRule="auto" w:line="288" w:before="0" w:after="0"/>
        <w:jc w:val="center"/>
        <w:rPr>
          <w:rFonts w:ascii="Arial Narrow;sans-serif" w:hAnsi="Arial Narrow;sans-serif"/>
          <w:b w:val="false"/>
          <w:color w:val="000000"/>
          <w:sz w:val="16"/>
        </w:rPr>
      </w:pPr>
      <w:r>
        <w:rPr>
          <w:rFonts w:ascii="Arial Narrow;sans-serif" w:hAnsi="Arial Narrow;sans-serif"/>
          <w:b w:val="false"/>
          <w:color w:val="000000"/>
          <w:sz w:val="16"/>
        </w:rPr>
        <w:t>(Registrant’s telephone number, including area code)</w:t>
      </w:r>
    </w:p>
    <w:tbl>
      <w:tblPr>
        <w:tblW w:w="5325" w:type="dxa"/>
        <w:jc w:val="center"/>
        <w:tblInd w:w="0" w:type="dxa"/>
        <w:tblCellMar>
          <w:top w:w="28" w:type="dxa"/>
          <w:left w:w="28" w:type="dxa"/>
          <w:bottom w:w="28" w:type="dxa"/>
          <w:right w:w="28" w:type="dxa"/>
        </w:tblCellMar>
      </w:tblPr>
      <w:tblGrid>
        <w:gridCol w:w="1703"/>
        <w:gridCol w:w="1495"/>
        <w:gridCol w:w="2127"/>
      </w:tblGrid>
      <w:tr>
        <w:trPr/>
        <w:tc>
          <w:tcPr>
            <w:tcW w:w="1703"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2127"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N/A</w:t>
            </w:r>
          </w:p>
        </w:tc>
      </w:tr>
      <w:tr>
        <w:trPr/>
        <w:tc>
          <w:tcPr>
            <w:tcW w:w="53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6"/>
              </w:rPr>
            </w:pPr>
            <w:r>
              <w:rPr>
                <w:rFonts w:ascii="Arial Narrow;sans-serif" w:hAnsi="Arial Narrow;sans-serif"/>
                <w:b w:val="false"/>
                <w:color w:val="000000"/>
                <w:sz w:val="16"/>
              </w:rPr>
              <w:t>(Former name, former address and former fiscal year, if changed since last report)</w:t>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7708" w:type="dxa"/>
        <w:jc w:val="left"/>
        <w:tblInd w:w="0" w:type="dxa"/>
        <w:tblCellMar>
          <w:top w:w="28" w:type="dxa"/>
          <w:left w:w="28" w:type="dxa"/>
          <w:bottom w:w="28" w:type="dxa"/>
          <w:right w:w="28" w:type="dxa"/>
        </w:tblCellMar>
      </w:tblPr>
      <w:tblGrid>
        <w:gridCol w:w="1185"/>
        <w:gridCol w:w="1044"/>
        <w:gridCol w:w="1056"/>
        <w:gridCol w:w="409"/>
        <w:gridCol w:w="409"/>
        <w:gridCol w:w="411"/>
        <w:gridCol w:w="934"/>
        <w:gridCol w:w="934"/>
        <w:gridCol w:w="1326"/>
      </w:tblGrid>
      <w:tr>
        <w:trPr/>
        <w:tc>
          <w:tcPr>
            <w:tcW w:w="1185"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w:t>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PTLO</w:t>
            </w:r>
          </w:p>
        </w:tc>
        <w:tc>
          <w:tcPr>
            <w:tcW w:w="31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Nasdaq Global Select Market</w:t>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0" w:after="0"/>
        <w:rPr>
          <w:color w:val="000000"/>
        </w:rPr>
      </w:pPr>
      <w:r>
        <w:rPr>
          <w:color w:val="000000"/>
        </w:rPr>
        <w:t>☒     </w:t>
      </w:r>
      <w:r>
        <w:rPr>
          <w:rFonts w:ascii="Arial Narrow;sans-serif" w:hAnsi="Arial Narrow;sans-serif"/>
          <w:b w:val="false"/>
          <w:color w:val="000000"/>
          <w:sz w:val="18"/>
        </w:rPr>
        <w:t>Yes ☐     No</w:t>
      </w:r>
    </w:p>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11" w:type="dxa"/>
        <w:jc w:val="left"/>
        <w:tblInd w:w="0" w:type="dxa"/>
        <w:tblCellMar>
          <w:top w:w="28" w:type="dxa"/>
          <w:left w:w="28" w:type="dxa"/>
          <w:bottom w:w="28" w:type="dxa"/>
          <w:right w:w="28" w:type="dxa"/>
        </w:tblCellMar>
      </w:tblPr>
      <w:tblGrid>
        <w:gridCol w:w="542"/>
        <w:gridCol w:w="478"/>
        <w:gridCol w:w="480"/>
        <w:gridCol w:w="109"/>
        <w:gridCol w:w="109"/>
        <w:gridCol w:w="109"/>
        <w:gridCol w:w="109"/>
        <w:gridCol w:w="109"/>
        <w:gridCol w:w="109"/>
        <w:gridCol w:w="594"/>
        <w:gridCol w:w="594"/>
        <w:gridCol w:w="597"/>
        <w:gridCol w:w="109"/>
        <w:gridCol w:w="109"/>
        <w:gridCol w:w="154"/>
      </w:tblGrid>
      <w:tr>
        <w:trPr/>
        <w:tc>
          <w:tcPr>
            <w:tcW w:w="54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5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18"/>
              </w:rPr>
            </w:pPr>
            <w:r>
              <w:rPr>
                <w:rFonts w:ascii="Arial Narrow;sans-serif" w:hAnsi="Arial Narrow;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xml:space="preserve">Indicate by check mark whether the registrant is a shell company (as defined in Rule 12b-2 of the Exchange Act). </w:t>
      </w:r>
    </w:p>
    <w:p>
      <w:pPr>
        <w:pStyle w:val="TextBody"/>
        <w:spacing w:lineRule="auto" w:line="288" w:before="0" w:after="0"/>
        <w:jc w:val="center"/>
        <w:rPr>
          <w:color w:val="000000"/>
        </w:rPr>
      </w:pPr>
      <w:r>
        <w:rPr>
          <w:color w:val="000000"/>
        </w:rPr>
        <w:t>☐     </w:t>
      </w:r>
      <w:r>
        <w:rPr>
          <w:rFonts w:ascii="Arial Narrow;sans-serif" w:hAnsi="Arial Narrow;sans-serif"/>
          <w:b w:val="false"/>
          <w:color w:val="000000"/>
          <w:sz w:val="18"/>
        </w:rPr>
        <w:t xml:space="preserve">Yes     ☒     No </w:t>
      </w:r>
    </w:p>
    <w:p>
      <w:pPr>
        <w:pStyle w:val="TextBody"/>
        <w:spacing w:lineRule="auto" w:line="288" w:before="0" w:after="0"/>
        <w:rPr/>
      </w:pPr>
      <w:r>
        <w:rPr>
          <w:rFonts w:ascii="Arial Narrow;sans-serif" w:hAnsi="Arial Narrow;sans-serif"/>
          <w:b w:val="false"/>
          <w:color w:val="000000"/>
          <w:sz w:val="18"/>
          <w:highlight w:val="white"/>
        </w:rPr>
        <w:t>As of April</w:t>
      </w:r>
      <w:r>
        <w:rPr>
          <w:color w:val="000000"/>
        </w:rPr>
        <w:t xml:space="preserve"> </w:t>
      </w:r>
      <w:r>
        <w:rPr>
          <w:rFonts w:ascii="Arial Narrow;sans-serif" w:hAnsi="Arial Narrow;sans-serif"/>
          <w:b w:val="false"/>
          <w:color w:val="000000"/>
          <w:sz w:val="18"/>
        </w:rPr>
        <w:t>27, 2023</w:t>
      </w:r>
      <w:r>
        <w:rPr>
          <w:rFonts w:ascii="Arial Narrow;sans-serif" w:hAnsi="Arial Narrow;sans-serif"/>
          <w:b w:val="false"/>
          <w:color w:val="000000"/>
          <w:sz w:val="18"/>
          <w:highlight w:val="white"/>
        </w:rPr>
        <w:t xml:space="preserve">, there were </w:t>
      </w:r>
      <w:r>
        <w:rPr>
          <w:rFonts w:ascii="Arial Narrow;sans-serif" w:hAnsi="Arial Narrow;sans-serif"/>
          <w:b w:val="false"/>
          <w:color w:val="000000"/>
          <w:sz w:val="18"/>
        </w:rPr>
        <w:t>55,001,124</w:t>
      </w:r>
      <w:r>
        <w:rPr>
          <w:color w:val="000000"/>
          <w:highlight w:val="white"/>
        </w:rPr>
        <w:t xml:space="preserve"> </w:t>
      </w:r>
      <w:r>
        <w:rPr>
          <w:rFonts w:ascii="Arial Narrow;sans-serif" w:hAnsi="Arial Narrow;sans-serif"/>
          <w:b w:val="false"/>
          <w:color w:val="000000"/>
          <w:sz w:val="18"/>
          <w:highlight w:val="white"/>
        </w:rPr>
        <w:t xml:space="preserve">shares of the registrant's Class A common stock, par value $0.01 per share, issued and outstanding.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TABLE OF CONTENTS</w:t>
      </w:r>
    </w:p>
    <w:p>
      <w:pPr>
        <w:pStyle w:val="TextBody"/>
        <w:spacing w:before="0" w:after="0"/>
        <w:jc w:val="center"/>
        <w:rPr/>
      </w:pPr>
      <w:r>
        <w:rPr/>
        <w:drawing>
          <wp:inline distT="0" distB="63500" distL="0" distR="0">
            <wp:extent cx="6629400" cy="3619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629400" cy="361950"/>
                    </a:xfrm>
                    <a:prstGeom prst="rect">
                      <a:avLst/>
                    </a:prstGeom>
                  </pic:spPr>
                </pic:pic>
              </a:graphicData>
            </a:graphic>
          </wp:inline>
        </w:drawing>
      </w:r>
    </w:p>
    <w:p>
      <w:pPr>
        <w:pStyle w:val="TextBody"/>
        <w:spacing w:before="0" w:after="0"/>
        <w:jc w:val="center"/>
        <w:rPr/>
      </w:pPr>
      <w:r>
        <w:rPr/>
      </w:r>
    </w:p>
    <w:tbl>
      <w:tblPr>
        <w:tblW w:w="9831" w:type="dxa"/>
        <w:jc w:val="center"/>
        <w:tblInd w:w="0" w:type="dxa"/>
        <w:tblCellMar>
          <w:top w:w="28" w:type="dxa"/>
          <w:left w:w="28" w:type="dxa"/>
          <w:bottom w:w="28" w:type="dxa"/>
          <w:right w:w="28" w:type="dxa"/>
        </w:tblCellMar>
      </w:tblPr>
      <w:tblGrid>
        <w:gridCol w:w="579"/>
        <w:gridCol w:w="507"/>
        <w:gridCol w:w="507"/>
        <w:gridCol w:w="507"/>
        <w:gridCol w:w="507"/>
        <w:gridCol w:w="507"/>
        <w:gridCol w:w="2095"/>
        <w:gridCol w:w="2095"/>
        <w:gridCol w:w="2155"/>
        <w:gridCol w:w="109"/>
        <w:gridCol w:w="109"/>
        <w:gridCol w:w="154"/>
      </w:tblGrid>
      <w:tr>
        <w:trPr/>
        <w:tc>
          <w:tcPr>
            <w:tcW w:w="579"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59"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0">
              <w:r>
                <w:rPr>
                  <w:rStyle w:val="InternetLink"/>
                  <w:rFonts w:ascii="Arial Narrow;sans-serif" w:hAnsi="Arial Narrow;sans-serif"/>
                  <w:b/>
                  <w:color w:val="000000"/>
                  <w:sz w:val="20"/>
                  <w:u w:val="single"/>
                </w:rPr>
                <w:t>Cautionary Note Regarding Forward-Looking Information</w:t>
              </w:r>
            </w:hyperlink>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0">
              <w:r>
                <w:rPr>
                  <w:rStyle w:val="InternetLink"/>
                  <w:rFonts w:ascii="Arial Narrow;sans-serif" w:hAnsi="Arial Narrow;sans-serif"/>
                  <w:b w:val="false"/>
                  <w:color w:val="000000"/>
                  <w:sz w:val="20"/>
                  <w:u w:val="single"/>
                </w:rPr>
                <w:t>1</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
              <w:r>
                <w:rPr>
                  <w:rStyle w:val="InternetLink"/>
                  <w:rFonts w:ascii="Arial Narrow;sans-serif" w:hAnsi="Arial Narrow;sans-serif"/>
                  <w:b/>
                  <w:color w:val="000000"/>
                  <w:sz w:val="22"/>
                  <w:u w:val="single"/>
                </w:rPr>
                <w:t>Part I</w:t>
              </w:r>
            </w:hyperlink>
          </w:p>
        </w:tc>
        <w:tc>
          <w:tcPr>
            <w:tcW w:w="7866" w:type="dxa"/>
            <w:gridSpan w:val="6"/>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22"/>
                <w:u w:val="single"/>
              </w:rPr>
            </w:pPr>
            <w:r>
              <w:rPr>
                <w:rFonts w:ascii="Arial Narrow;sans-serif" w:hAnsi="Arial Narrow;sans-serif"/>
                <w:b/>
                <w:color w:val="000000"/>
                <w:sz w:val="22"/>
                <w:u w:val="single"/>
              </w:rPr>
              <w:t>Financial Information</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6">
              <w:r>
                <w:rPr>
                  <w:rStyle w:val="InternetLink"/>
                  <w:rFonts w:ascii="Arial Narrow;sans-serif" w:hAnsi="Arial Narrow;sans-serif"/>
                  <w:b w:val="false"/>
                  <w:color w:val="000000"/>
                  <w:sz w:val="20"/>
                  <w:u w:val="single"/>
                </w:rPr>
                <w:t>Item 1.</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6">
              <w:r>
                <w:rPr>
                  <w:rStyle w:val="InternetLink"/>
                  <w:rFonts w:ascii="Arial Narrow;sans-serif" w:hAnsi="Arial Narrow;sans-serif"/>
                  <w:b w:val="false"/>
                  <w:color w:val="000000"/>
                  <w:sz w:val="20"/>
                  <w:u w:val="single"/>
                </w:rPr>
                <w:t>Financial Statements (Unaudited)</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9">
              <w:r>
                <w:rPr>
                  <w:rStyle w:val="InternetLink"/>
                  <w:rFonts w:ascii="Arial Narrow;sans-serif" w:hAnsi="Arial Narrow;sans-serif"/>
                  <w:b w:val="false"/>
                  <w:color w:val="000000"/>
                  <w:sz w:val="20"/>
                  <w:u w:val="single"/>
                </w:rPr>
                <w:t>3</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9">
              <w:r>
                <w:rPr>
                  <w:rStyle w:val="InternetLink"/>
                  <w:rFonts w:ascii="Arial Narrow;sans-serif" w:hAnsi="Arial Narrow;sans-serif"/>
                  <w:b w:val="false"/>
                  <w:color w:val="000000"/>
                  <w:sz w:val="20"/>
                  <w:u w:val="single"/>
                </w:rPr>
                <w:t>Condensed Consolidated Balance Sheets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9">
              <w:r>
                <w:rPr>
                  <w:rStyle w:val="InternetLink"/>
                  <w:rFonts w:ascii="Arial Narrow;sans-serif" w:hAnsi="Arial Narrow;sans-serif"/>
                  <w:b w:val="false"/>
                  <w:color w:val="000000"/>
                  <w:sz w:val="20"/>
                  <w:u w:val="single"/>
                </w:rPr>
                <w:t>3</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22">
              <w:r>
                <w:rPr>
                  <w:rStyle w:val="InternetLink"/>
                  <w:rFonts w:ascii="Arial Narrow;sans-serif" w:hAnsi="Arial Narrow;sans-serif"/>
                  <w:b w:val="false"/>
                  <w:color w:val="000000"/>
                  <w:sz w:val="20"/>
                  <w:u w:val="single"/>
                </w:rPr>
                <w:t>Condensed Consolidated Statements of Operations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22">
              <w:r>
                <w:rPr>
                  <w:rStyle w:val="InternetLink"/>
                  <w:rFonts w:ascii="Arial Narrow;sans-serif" w:hAnsi="Arial Narrow;sans-serif"/>
                  <w:b w:val="false"/>
                  <w:color w:val="000000"/>
                  <w:sz w:val="20"/>
                  <w:u w:val="single"/>
                </w:rPr>
                <w:t>4</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075">
              <w:r>
                <w:rPr>
                  <w:rStyle w:val="InternetLink"/>
                  <w:rFonts w:ascii="Arial Narrow;sans-serif" w:hAnsi="Arial Narrow;sans-serif"/>
                  <w:b w:val="false"/>
                  <w:color w:val="000000"/>
                  <w:sz w:val="20"/>
                  <w:u w:val="single"/>
                </w:rPr>
                <w:t>Condensed Consolidated Statements of Stockholders' Equity</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075">
              <w:r>
                <w:rPr>
                  <w:rStyle w:val="InternetLink"/>
                  <w:rFonts w:ascii="Arial Narrow;sans-serif" w:hAnsi="Arial Narrow;sans-serif"/>
                  <w:b w:val="false"/>
                  <w:color w:val="000000"/>
                  <w:sz w:val="20"/>
                  <w:u w:val="single"/>
                </w:rPr>
                <w:t>5</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28">
              <w:r>
                <w:rPr>
                  <w:rStyle w:val="InternetLink"/>
                  <w:rFonts w:ascii="Arial Narrow;sans-serif" w:hAnsi="Arial Narrow;sans-serif"/>
                  <w:b w:val="false"/>
                  <w:color w:val="000000"/>
                  <w:sz w:val="20"/>
                  <w:u w:val="single"/>
                </w:rPr>
                <w:t>Condensed Consolidated Statements of Cash Flows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28">
              <w:r>
                <w:rPr>
                  <w:rStyle w:val="InternetLink"/>
                  <w:rFonts w:ascii="Arial Narrow;sans-serif" w:hAnsi="Arial Narrow;sans-serif"/>
                  <w:b w:val="false"/>
                  <w:color w:val="000000"/>
                  <w:sz w:val="20"/>
                  <w:u w:val="single"/>
                </w:rPr>
                <w:t>6</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31">
              <w:r>
                <w:rPr>
                  <w:rStyle w:val="InternetLink"/>
                  <w:rFonts w:ascii="Arial Narrow;sans-serif" w:hAnsi="Arial Narrow;sans-serif"/>
                  <w:b w:val="false"/>
                  <w:color w:val="000000"/>
                  <w:sz w:val="20"/>
                  <w:u w:val="single"/>
                </w:rPr>
                <w:t>Notes to Condensed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31">
              <w:r>
                <w:rPr>
                  <w:rStyle w:val="InternetLink"/>
                  <w:rFonts w:ascii="Arial Narrow;sans-serif" w:hAnsi="Arial Narrow;sans-serif"/>
                  <w:b w:val="false"/>
                  <w:color w:val="000000"/>
                  <w:sz w:val="20"/>
                  <w:u w:val="single"/>
                </w:rPr>
                <w:t>8</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91">
              <w:r>
                <w:rPr>
                  <w:rStyle w:val="InternetLink"/>
                  <w:rFonts w:ascii="Arial Narrow;sans-serif" w:hAnsi="Arial Narrow;sans-serif"/>
                  <w:b w:val="false"/>
                  <w:color w:val="000000"/>
                  <w:sz w:val="20"/>
                  <w:u w:val="single"/>
                </w:rPr>
                <w:t>Item 2.</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91">
              <w:r>
                <w:rPr>
                  <w:rStyle w:val="InternetLink"/>
                  <w:rFonts w:ascii="Arial Narrow;sans-serif" w:hAnsi="Arial Narrow;sans-serif"/>
                  <w:b w:val="false"/>
                  <w:color w:val="000000"/>
                  <w:sz w:val="20"/>
                  <w:u w:val="single"/>
                </w:rPr>
                <w:t>Management's Discussion and Analysis of Financial Condition and Results of Operations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91">
              <w:r>
                <w:rPr>
                  <w:rStyle w:val="InternetLink"/>
                  <w:rFonts w:ascii="Arial Narrow;sans-serif" w:hAnsi="Arial Narrow;sans-serif"/>
                  <w:b w:val="false"/>
                  <w:color w:val="000000"/>
                  <w:sz w:val="20"/>
                  <w:u w:val="single"/>
                </w:rPr>
                <w:t>22</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27">
              <w:r>
                <w:rPr>
                  <w:rStyle w:val="InternetLink"/>
                  <w:rFonts w:ascii="Arial Narrow;sans-serif" w:hAnsi="Arial Narrow;sans-serif"/>
                  <w:b w:val="false"/>
                  <w:color w:val="000000"/>
                  <w:sz w:val="20"/>
                  <w:u w:val="single"/>
                </w:rPr>
                <w:t>Item 3.</w:t>
              </w:r>
            </w:hyperlink>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27">
              <w:r>
                <w:rPr>
                  <w:rStyle w:val="InternetLink"/>
                  <w:rFonts w:ascii="Arial Narrow;sans-serif" w:hAnsi="Arial Narrow;sans-serif"/>
                  <w:b w:val="false"/>
                  <w:color w:val="000000"/>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27">
              <w:r>
                <w:rPr>
                  <w:rStyle w:val="InternetLink"/>
                  <w:rFonts w:ascii="Arial Narrow;sans-serif" w:hAnsi="Arial Narrow;sans-serif"/>
                  <w:b w:val="false"/>
                  <w:color w:val="000000"/>
                  <w:sz w:val="20"/>
                  <w:u w:val="single"/>
                </w:rPr>
                <w:t>35</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0">
              <w:r>
                <w:rPr>
                  <w:rStyle w:val="InternetLink"/>
                  <w:rFonts w:ascii="Arial Narrow;sans-serif" w:hAnsi="Arial Narrow;sans-serif"/>
                  <w:b w:val="false"/>
                  <w:color w:val="000000"/>
                  <w:sz w:val="20"/>
                  <w:u w:val="single"/>
                </w:rPr>
                <w:t>Item 4.</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0">
              <w:r>
                <w:rPr>
                  <w:rStyle w:val="InternetLink"/>
                  <w:rFonts w:ascii="Arial Narrow;sans-serif" w:hAnsi="Arial Narrow;sans-serif"/>
                  <w:b w:val="false"/>
                  <w:color w:val="000000"/>
                  <w:sz w:val="20"/>
                  <w:u w:val="single"/>
                </w:rPr>
                <w:t>Controls and Procedures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30">
              <w:r>
                <w:rPr>
                  <w:rStyle w:val="InternetLink"/>
                  <w:rFonts w:ascii="Arial Narrow;sans-serif" w:hAnsi="Arial Narrow;sans-serif"/>
                  <w:b w:val="false"/>
                  <w:color w:val="000000"/>
                  <w:sz w:val="20"/>
                  <w:u w:val="single"/>
                </w:rPr>
                <w:t>35</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3"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3">
              <w:r>
                <w:rPr>
                  <w:rStyle w:val="InternetLink"/>
                  <w:rFonts w:ascii="Arial Narrow;sans-serif" w:hAnsi="Arial Narrow;sans-serif"/>
                  <w:b/>
                  <w:color w:val="000000"/>
                  <w:sz w:val="22"/>
                  <w:u w:val="single"/>
                </w:rPr>
                <w:t>Part II</w:t>
              </w:r>
            </w:hyperlink>
          </w:p>
        </w:tc>
        <w:tc>
          <w:tcPr>
            <w:tcW w:w="7866" w:type="dxa"/>
            <w:gridSpan w:val="6"/>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22"/>
                <w:u w:val="single"/>
              </w:rPr>
            </w:pPr>
            <w:r>
              <w:rPr>
                <w:rFonts w:ascii="Arial Narrow;sans-serif" w:hAnsi="Arial Narrow;sans-serif"/>
                <w:b/>
                <w:color w:val="000000"/>
                <w:sz w:val="22"/>
                <w:u w:val="single"/>
              </w:rPr>
              <w:t>Other Information</w:t>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6">
              <w:r>
                <w:rPr>
                  <w:rStyle w:val="InternetLink"/>
                  <w:rFonts w:ascii="Arial Narrow;sans-serif" w:hAnsi="Arial Narrow;sans-serif"/>
                  <w:b w:val="false"/>
                  <w:color w:val="000000"/>
                  <w:sz w:val="20"/>
                  <w:u w:val="single"/>
                </w:rPr>
                <w:t>Item 1.</w:t>
              </w:r>
            </w:hyperlink>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6">
              <w:r>
                <w:rPr>
                  <w:rStyle w:val="InternetLink"/>
                  <w:rFonts w:ascii="Arial Narrow;sans-serif" w:hAnsi="Arial Narrow;sans-serif"/>
                  <w:b w:val="false"/>
                  <w:color w:val="000000"/>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36">
              <w:r>
                <w:rPr>
                  <w:rStyle w:val="InternetLink"/>
                  <w:rFonts w:ascii="Arial Narrow;sans-serif" w:hAnsi="Arial Narrow;sans-serif"/>
                  <w:b w:val="false"/>
                  <w:color w:val="000000"/>
                  <w:sz w:val="20"/>
                  <w:u w:val="single"/>
                </w:rPr>
                <w:t>36</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9">
              <w:r>
                <w:rPr>
                  <w:rStyle w:val="InternetLink"/>
                  <w:rFonts w:ascii="Arial Narrow;sans-serif" w:hAnsi="Arial Narrow;sans-serif"/>
                  <w:b w:val="false"/>
                  <w:color w:val="000000"/>
                  <w:sz w:val="20"/>
                  <w:u w:val="single"/>
                </w:rPr>
                <w:t>Item 1A.</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39">
              <w:r>
                <w:rPr>
                  <w:rStyle w:val="InternetLink"/>
                  <w:rFonts w:ascii="Arial Narrow;sans-serif" w:hAnsi="Arial Narrow;sans-serif"/>
                  <w:b w:val="false"/>
                  <w:color w:val="000000"/>
                  <w:sz w:val="20"/>
                  <w:u w:val="single"/>
                </w:rPr>
                <w:t>Risk Factors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39">
              <w:r>
                <w:rPr>
                  <w:rStyle w:val="InternetLink"/>
                  <w:rFonts w:ascii="Arial Narrow;sans-serif" w:hAnsi="Arial Narrow;sans-serif"/>
                  <w:b w:val="false"/>
                  <w:color w:val="000000"/>
                  <w:sz w:val="20"/>
                  <w:u w:val="single"/>
                </w:rPr>
                <w:t>36</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2">
              <w:r>
                <w:rPr>
                  <w:rStyle w:val="InternetLink"/>
                  <w:rFonts w:ascii="Arial Narrow;sans-serif" w:hAnsi="Arial Narrow;sans-serif"/>
                  <w:b w:val="false"/>
                  <w:color w:val="000000"/>
                  <w:sz w:val="20"/>
                  <w:u w:val="single"/>
                </w:rPr>
                <w:t>Item 2.</w:t>
              </w:r>
            </w:hyperlink>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2">
              <w:r>
                <w:rPr>
                  <w:rStyle w:val="InternetLink"/>
                  <w:rFonts w:ascii="Arial Narrow;sans-serif" w:hAnsi="Arial Narrow;sans-serif"/>
                  <w:b w:val="false"/>
                  <w:color w:val="000000"/>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42">
              <w:r>
                <w:rPr>
                  <w:rStyle w:val="InternetLink"/>
                  <w:rFonts w:ascii="Arial Narrow;sans-serif" w:hAnsi="Arial Narrow;sans-serif"/>
                  <w:b w:val="false"/>
                  <w:color w:val="000000"/>
                  <w:sz w:val="20"/>
                  <w:u w:val="single"/>
                </w:rPr>
                <w:t>37</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5">
              <w:r>
                <w:rPr>
                  <w:rStyle w:val="InternetLink"/>
                  <w:rFonts w:ascii="Arial Narrow;sans-serif" w:hAnsi="Arial Narrow;sans-serif"/>
                  <w:b w:val="false"/>
                  <w:color w:val="000000"/>
                  <w:sz w:val="20"/>
                  <w:u w:val="single"/>
                </w:rPr>
                <w:t>Item 3.</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5">
              <w:r>
                <w:rPr>
                  <w:rStyle w:val="InternetLink"/>
                </w:rPr>
                <w:t xml:space="preserve">Defaults </w:t>
              </w:r>
            </w:hyperlink>
            <w:hyperlink w:anchor="i4ec9254f60b249f1b48963f80e29bf2f_145">
              <w:r>
                <w:rPr>
                  <w:rStyle w:val="InternetLink"/>
                </w:rPr>
                <w:t>U</w:t>
              </w:r>
            </w:hyperlink>
            <w:hyperlink w:anchor="i4ec9254f60b249f1b48963f80e29bf2f_145">
              <w:r>
                <w:rPr>
                  <w:rStyle w:val="InternetLink"/>
                </w:rPr>
                <w:t>pon Senior Securities</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45">
              <w:r>
                <w:rPr>
                  <w:rStyle w:val="InternetLink"/>
                  <w:rFonts w:ascii="Arial Narrow;sans-serif" w:hAnsi="Arial Narrow;sans-serif"/>
                  <w:b w:val="false"/>
                  <w:color w:val="000000"/>
                  <w:sz w:val="20"/>
                  <w:u w:val="single"/>
                </w:rPr>
                <w:t>38</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8">
              <w:r>
                <w:rPr>
                  <w:rStyle w:val="InternetLink"/>
                  <w:rFonts w:ascii="Arial Narrow;sans-serif" w:hAnsi="Arial Narrow;sans-serif"/>
                  <w:b w:val="false"/>
                  <w:color w:val="000000"/>
                  <w:sz w:val="20"/>
                  <w:u w:val="single"/>
                </w:rPr>
                <w:t>Item 4.</w:t>
              </w:r>
            </w:hyperlink>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48">
              <w:r>
                <w:rPr>
                  <w:rStyle w:val="InternetLink"/>
                  <w:rFonts w:ascii="Arial Narrow;sans-serif" w:hAnsi="Arial Narrow;sans-serif"/>
                  <w:b w:val="false"/>
                  <w:color w:val="000000"/>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48">
              <w:r>
                <w:rPr>
                  <w:rStyle w:val="InternetLink"/>
                  <w:rFonts w:ascii="Arial Narrow;sans-serif" w:hAnsi="Arial Narrow;sans-serif"/>
                  <w:b w:val="false"/>
                  <w:color w:val="000000"/>
                  <w:sz w:val="20"/>
                  <w:u w:val="single"/>
                </w:rPr>
                <w:t>38</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51">
              <w:r>
                <w:rPr>
                  <w:rStyle w:val="InternetLink"/>
                  <w:rFonts w:ascii="Arial Narrow;sans-serif" w:hAnsi="Arial Narrow;sans-serif"/>
                  <w:b w:val="false"/>
                  <w:color w:val="000000"/>
                  <w:sz w:val="20"/>
                  <w:u w:val="single"/>
                </w:rPr>
                <w:t>Item 5.</w:t>
              </w:r>
            </w:hyperlink>
          </w:p>
        </w:tc>
        <w:tc>
          <w:tcPr>
            <w:tcW w:w="634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51">
              <w:r>
                <w:rPr>
                  <w:rStyle w:val="InternetLink"/>
                  <w:rFonts w:ascii="Arial Narrow;sans-serif" w:hAnsi="Arial Narrow;sans-serif"/>
                  <w:b w:val="false"/>
                  <w:color w:val="000000"/>
                  <w:sz w:val="20"/>
                  <w:u w:val="single"/>
                </w:rPr>
                <w:t>Other Information</w:t>
              </w:r>
            </w:hyperlink>
          </w:p>
        </w:tc>
        <w:tc>
          <w:tcPr>
            <w:tcW w:w="372"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51">
              <w:r>
                <w:rPr>
                  <w:rStyle w:val="InternetLink"/>
                  <w:rFonts w:ascii="Arial Narrow;sans-serif" w:hAnsi="Arial Narrow;sans-serif"/>
                  <w:b w:val="false"/>
                  <w:color w:val="000000"/>
                  <w:sz w:val="20"/>
                  <w:u w:val="single"/>
                </w:rPr>
                <w:t>38</w:t>
              </w:r>
            </w:hyperlink>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54">
              <w:r>
                <w:rPr>
                  <w:rStyle w:val="InternetLink"/>
                  <w:rFonts w:ascii="Arial Narrow;sans-serif" w:hAnsi="Arial Narrow;sans-serif"/>
                  <w:b w:val="false"/>
                  <w:color w:val="000000"/>
                  <w:sz w:val="20"/>
                  <w:u w:val="single"/>
                </w:rPr>
                <w:t>Item 6.</w:t>
              </w:r>
            </w:hyperlink>
          </w:p>
        </w:tc>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54">
              <w:r>
                <w:rPr>
                  <w:rStyle w:val="InternetLink"/>
                  <w:rFonts w:ascii="Arial Narrow;sans-serif" w:hAnsi="Arial Narrow;sans-serif"/>
                  <w:b w:val="false"/>
                  <w:color w:val="000000"/>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54">
              <w:r>
                <w:rPr>
                  <w:rStyle w:val="InternetLink"/>
                  <w:rFonts w:ascii="Arial Narrow;sans-serif" w:hAnsi="Arial Narrow;sans-serif"/>
                  <w:b w:val="false"/>
                  <w:color w:val="000000"/>
                  <w:sz w:val="20"/>
                  <w:u w:val="single"/>
                </w:rPr>
                <w:t>39</w:t>
              </w:r>
            </w:hyperlink>
          </w:p>
        </w:tc>
      </w:tr>
      <w:tr>
        <w:trPr/>
        <w:tc>
          <w:tcPr>
            <w:tcW w:w="159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57">
              <w:r>
                <w:rPr>
                  <w:rStyle w:val="InternetLink"/>
                  <w:rFonts w:ascii="Arial Narrow;sans-serif" w:hAnsi="Arial Narrow;sans-serif"/>
                  <w:b w:val="false"/>
                  <w:color w:val="000000"/>
                  <w:sz w:val="20"/>
                  <w:u w:val="single"/>
                </w:rPr>
                <w:t>Signatures</w:t>
              </w:r>
            </w:hyperlink>
          </w:p>
        </w:tc>
        <w:tc>
          <w:tcPr>
            <w:tcW w:w="6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57">
              <w:r>
                <w:rPr>
                  <w:rStyle w:val="InternetLink"/>
                  <w:rFonts w:ascii="Arial Narrow;sans-serif" w:hAnsi="Arial Narrow;sans-serif"/>
                  <w:b w:val="false"/>
                  <w:color w:val="000000"/>
                  <w:sz w:val="20"/>
                  <w:u w:val="single"/>
                </w:rPr>
                <w:t>40</w:t>
              </w:r>
            </w:hyperlink>
          </w:p>
        </w:tc>
      </w:tr>
    </w:tbl>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Cautionary Note Regarding Forward-Looking Information</w:t>
      </w:r>
    </w:p>
    <w:p>
      <w:pPr>
        <w:pStyle w:val="TextBody"/>
        <w:spacing w:before="0" w:after="0"/>
        <w:jc w:val="center"/>
        <w:rPr/>
      </w:pPr>
      <w:r>
        <w:rPr/>
        <w:drawing>
          <wp:inline distT="0" distB="63500" distL="0" distR="0">
            <wp:extent cx="6629400" cy="3619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629400" cy="361950"/>
                    </a:xfrm>
                    <a:prstGeom prst="rect">
                      <a:avLst/>
                    </a:prstGeom>
                  </pic:spPr>
                </pic:pic>
              </a:graphicData>
            </a:graphic>
          </wp:inline>
        </w:drawing>
      </w:r>
    </w:p>
    <w:p>
      <w:pPr>
        <w:pStyle w:val="TextBody"/>
        <w:spacing w:before="0" w:after="0"/>
        <w:jc w:val="center"/>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so you should not unduly rely on these statements. Important factors that could cause actual results to differ materially from those in the forward-looking statements include regional, national or global political, economic, business, competitive, market and regulatory conditions and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potential future impact of COVID-19 (including any variant) on our results of operations, supply chain or liquidity;</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risks related to or arising from our organizational structure;</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risks of food-borne illness and food safety and other health concerns about our food;</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impact of unionization activities of our restaurant workers on our operations and profitability;</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impact of recent bank failures on the marketplace, including the ability to access credit;</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risks associated with our reliance on certain information technology systems and potential failures or interruptions;</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privacy and cyber security risks related to our digital ordering and payment platforms for our delivery business;</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impact of competition, including from our competitors in the restaurant industry or our own restaurants;</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increasingly competitive labor market and our ability to attract and retain the best talent and qualified employees;</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the impact of federal, state or local government regulations relating to privacy, data protection, advertising and consumer protection, building and zoning requirements, costs or ability to open new restaurants, or sale of food and alcoholic beverage control regulations;</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our ability to achieve our growth strategy, such as the availability of suitable new restaurant sites in existing and new markets and opening of new restaurants at the anticipated rate and on the anticipated timeline;</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increases in food and other operating costs, tariffs and import taxes, and supply shortages; and</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other risks identified in our filings with the Securities and Exchange Commission (the “SEC”).</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25, 2022 filed with the SEC on March 2, 2023, which is available on the SEC's website at www.sec.gov.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2755"/>
                <wp:effectExtent l="0" t="0" r="0" b="0"/>
                <wp:wrapNone/>
                <wp:docPr id="6" name="Frame3"/>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before="0" w:after="0"/>
        <w:jc w:val="center"/>
        <w:rPr/>
      </w:pPr>
      <w:r>
        <w:rPr/>
      </w:r>
    </w:p>
    <w:p>
      <w:pPr>
        <w:pStyle w:val="TextBody"/>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PART I – FINANCIAL INFORMATION</w:t>
      </w:r>
    </w:p>
    <w:p>
      <w:pPr>
        <w:pStyle w:val="TextBody"/>
        <w:spacing w:before="0" w:after="0"/>
        <w:jc w:val="center"/>
        <w:rPr/>
      </w:pPr>
      <w:r>
        <w:rPr/>
        <w:drawing>
          <wp:inline distT="0" distB="63500" distL="0" distR="0">
            <wp:extent cx="6629400" cy="3619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6629400" cy="361950"/>
                    </a:xfrm>
                    <a:prstGeom prst="rect">
                      <a:avLst/>
                    </a:prstGeom>
                  </pic:spPr>
                </pic:pic>
              </a:graphicData>
            </a:graphic>
          </wp:inline>
        </w:drawing>
      </w:r>
    </w:p>
    <w:p>
      <w:pPr>
        <w:pStyle w:val="TextBody"/>
        <w:spacing w:before="0" w:after="0"/>
        <w:jc w:val="center"/>
        <w:rPr/>
      </w:pPr>
      <w:r>
        <w:rPr/>
      </w:r>
    </w:p>
    <w:tbl>
      <w:tblPr>
        <w:tblW w:w="4966" w:type="dxa"/>
        <w:jc w:val="center"/>
        <w:tblInd w:w="0" w:type="dxa"/>
        <w:tblCellMar>
          <w:top w:w="28" w:type="dxa"/>
          <w:left w:w="28" w:type="dxa"/>
          <w:bottom w:w="28" w:type="dxa"/>
          <w:right w:w="28" w:type="dxa"/>
        </w:tblCellMar>
      </w:tblPr>
      <w:tblGrid>
        <w:gridCol w:w="1604"/>
        <w:gridCol w:w="1409"/>
        <w:gridCol w:w="1412"/>
        <w:gridCol w:w="158"/>
        <w:gridCol w:w="158"/>
        <w:gridCol w:w="225"/>
      </w:tblGrid>
      <w:tr>
        <w:trPr/>
        <w:tc>
          <w:tcPr>
            <w:tcW w:w="1604"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24"/>
              </w:rPr>
            </w:pPr>
            <w:r>
              <w:rPr>
                <w:rFonts w:ascii="Arial Narrow;sans-serif" w:hAnsi="Arial Narrow;sans-serif"/>
                <w:b/>
                <w:color w:val="000000"/>
                <w:sz w:val="24"/>
              </w:rPr>
              <w:t>Item 1. Financial Statements (Unaudited)</w:t>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Page</w:t>
            </w:r>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9">
              <w:r>
                <w:rPr>
                  <w:rStyle w:val="InternetLink"/>
                  <w:rFonts w:ascii="Arial Narrow;sans-serif" w:hAnsi="Arial Narrow;sans-serif"/>
                  <w:b w:val="false"/>
                  <w:color w:val="000000"/>
                  <w:sz w:val="20"/>
                  <w:u w:val="single"/>
                </w:rPr>
                <w:t>Condensed Consolidated Balance Sheets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9">
              <w:r>
                <w:rPr>
                  <w:rStyle w:val="InternetLink"/>
                  <w:rFonts w:ascii="Arial Narrow;sans-serif" w:hAnsi="Arial Narrow;sans-serif"/>
                  <w:b w:val="false"/>
                  <w:color w:val="000000"/>
                  <w:sz w:val="20"/>
                  <w:u w:val="single"/>
                </w:rPr>
                <w:t>3</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22">
              <w:r>
                <w:rPr>
                  <w:rStyle w:val="InternetLink"/>
                  <w:rFonts w:ascii="Arial Narrow;sans-serif" w:hAnsi="Arial Narrow;sans-serif"/>
                  <w:b w:val="false"/>
                  <w:color w:val="000000"/>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22">
              <w:r>
                <w:rPr>
                  <w:rStyle w:val="InternetLink"/>
                  <w:rFonts w:ascii="Arial Narrow;sans-serif" w:hAnsi="Arial Narrow;sans-serif"/>
                  <w:b w:val="false"/>
                  <w:color w:val="000000"/>
                  <w:sz w:val="20"/>
                  <w:u w:val="single"/>
                </w:rPr>
                <w:t>4</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1075">
              <w:r>
                <w:rPr>
                  <w:rStyle w:val="InternetLink"/>
                  <w:rFonts w:ascii="Arial Narrow;sans-serif" w:hAnsi="Arial Narrow;sans-serif"/>
                  <w:b w:val="false"/>
                  <w:color w:val="000000"/>
                  <w:sz w:val="20"/>
                  <w:u w:val="single"/>
                </w:rPr>
                <w:t>Condensed Consolidated Statements of Stockholders' Equity</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1075">
              <w:r>
                <w:rPr>
                  <w:rStyle w:val="InternetLink"/>
                  <w:rFonts w:ascii="Arial Narrow;sans-serif" w:hAnsi="Arial Narrow;sans-serif"/>
                  <w:b w:val="false"/>
                  <w:color w:val="000000"/>
                  <w:sz w:val="20"/>
                  <w:u w:val="single"/>
                </w:rPr>
                <w:t>5</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28">
              <w:r>
                <w:rPr>
                  <w:rStyle w:val="InternetLink"/>
                  <w:rFonts w:ascii="Arial Narrow;sans-serif" w:hAnsi="Arial Narrow;sans-serif"/>
                  <w:b w:val="false"/>
                  <w:color w:val="000000"/>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28">
              <w:r>
                <w:rPr>
                  <w:rStyle w:val="InternetLink"/>
                  <w:rFonts w:ascii="Arial Narrow;sans-serif" w:hAnsi="Arial Narrow;sans-serif"/>
                  <w:b w:val="false"/>
                  <w:color w:val="000000"/>
                  <w:sz w:val="20"/>
                  <w:u w:val="single"/>
                </w:rPr>
                <w:t>6</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31">
              <w:r>
                <w:rPr>
                  <w:rStyle w:val="InternetLink"/>
                  <w:rFonts w:ascii="Arial Narrow;sans-serif" w:hAnsi="Arial Narrow;sans-serif"/>
                  <w:b w:val="false"/>
                  <w:color w:val="000000"/>
                  <w:sz w:val="20"/>
                  <w:u w:val="single"/>
                </w:rPr>
                <w:t>Notes to Condensed Consolidated Financial Statements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34">
              <w:r>
                <w:rPr>
                  <w:rStyle w:val="InternetLink"/>
                  <w:rFonts w:ascii="Arial Narrow;sans-serif" w:hAnsi="Arial Narrow;sans-serif"/>
                  <w:b w:val="false"/>
                  <w:color w:val="000000"/>
                  <w:sz w:val="20"/>
                  <w:u w:val="single"/>
                </w:rPr>
                <w:t>8</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34">
              <w:r>
                <w:rPr>
                  <w:rStyle w:val="InternetLink"/>
                  <w:rFonts w:ascii="Arial Narrow;sans-serif" w:hAnsi="Arial Narrow;sans-serif"/>
                  <w:b w:val="false"/>
                  <w:color w:val="000000"/>
                  <w:sz w:val="20"/>
                  <w:u w:val="single"/>
                </w:rPr>
                <w:t>Note 1. Description Of Business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34">
              <w:r>
                <w:rPr>
                  <w:rStyle w:val="InternetLink"/>
                  <w:rFonts w:ascii="Arial Narrow;sans-serif" w:hAnsi="Arial Narrow;sans-serif"/>
                  <w:b w:val="false"/>
                  <w:color w:val="000000"/>
                  <w:sz w:val="20"/>
                  <w:u w:val="single"/>
                </w:rPr>
                <w:t>8</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37">
              <w:r>
                <w:rPr>
                  <w:rStyle w:val="InternetLink"/>
                  <w:rFonts w:ascii="Arial Narrow;sans-serif" w:hAnsi="Arial Narrow;sans-serif"/>
                  <w:b w:val="false"/>
                  <w:color w:val="000000"/>
                  <w:sz w:val="20"/>
                  <w:u w:val="single"/>
                </w:rPr>
                <w:t>Note 2. Summary Of Significant Accounting Policies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37">
              <w:r>
                <w:rPr>
                  <w:rStyle w:val="InternetLink"/>
                  <w:rFonts w:ascii="Arial Narrow;sans-serif" w:hAnsi="Arial Narrow;sans-serif"/>
                  <w:b w:val="false"/>
                  <w:color w:val="000000"/>
                  <w:sz w:val="20"/>
                  <w:u w:val="single"/>
                </w:rPr>
                <w:t>9</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43">
              <w:r>
                <w:rPr>
                  <w:rStyle w:val="InternetLink"/>
                  <w:rFonts w:ascii="Arial Narrow;sans-serif" w:hAnsi="Arial Narrow;sans-serif"/>
                  <w:b w:val="false"/>
                  <w:color w:val="000000"/>
                  <w:sz w:val="20"/>
                  <w:u w:val="single"/>
                </w:rPr>
                <w:t>Note 3. Revenue Recognition</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43">
              <w:r>
                <w:rPr>
                  <w:rStyle w:val="InternetLink"/>
                  <w:rFonts w:ascii="Arial Narrow;sans-serif" w:hAnsi="Arial Narrow;sans-serif"/>
                  <w:b w:val="false"/>
                  <w:color w:val="000000"/>
                  <w:sz w:val="20"/>
                  <w:u w:val="single"/>
                </w:rPr>
                <w:t>10</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46">
              <w:r>
                <w:rPr>
                  <w:rStyle w:val="InternetLink"/>
                  <w:rFonts w:ascii="Arial Narrow;sans-serif" w:hAnsi="Arial Narrow;sans-serif"/>
                  <w:b w:val="false"/>
                  <w:color w:val="000000"/>
                  <w:sz w:val="20"/>
                  <w:u w:val="single"/>
                </w:rPr>
                <w:t>Note 4. Inventories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46">
              <w:r>
                <w:rPr>
                  <w:rStyle w:val="InternetLink"/>
                  <w:rFonts w:ascii="Arial Narrow;sans-serif" w:hAnsi="Arial Narrow;sans-serif"/>
                  <w:b w:val="false"/>
                  <w:color w:val="000000"/>
                  <w:sz w:val="20"/>
                  <w:u w:val="single"/>
                </w:rPr>
                <w:t>11</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49">
              <w:r>
                <w:rPr>
                  <w:rStyle w:val="InternetLink"/>
                  <w:rFonts w:ascii="Arial Narrow;sans-serif" w:hAnsi="Arial Narrow;sans-serif"/>
                  <w:b w:val="false"/>
                  <w:color w:val="000000"/>
                  <w:sz w:val="20"/>
                  <w:u w:val="single"/>
                </w:rPr>
                <w:t>Note 5. Property &amp; Equipment, Net</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49">
              <w:r>
                <w:rPr>
                  <w:rStyle w:val="InternetLink"/>
                  <w:rFonts w:ascii="Arial Narrow;sans-serif" w:hAnsi="Arial Narrow;sans-serif"/>
                  <w:b w:val="false"/>
                  <w:color w:val="000000"/>
                  <w:sz w:val="20"/>
                  <w:u w:val="single"/>
                </w:rPr>
                <w:t>11</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52">
              <w:r>
                <w:rPr>
                  <w:rStyle w:val="InternetLink"/>
                  <w:rFonts w:ascii="Arial Narrow;sans-serif" w:hAnsi="Arial Narrow;sans-serif"/>
                  <w:b w:val="false"/>
                  <w:color w:val="000000"/>
                  <w:sz w:val="20"/>
                  <w:u w:val="single"/>
                </w:rPr>
                <w:t>Note 6. Goodwill &amp; Intangible Assets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52">
              <w:r>
                <w:rPr>
                  <w:rStyle w:val="InternetLink"/>
                  <w:rFonts w:ascii="Arial Narrow;sans-serif" w:hAnsi="Arial Narrow;sans-serif"/>
                  <w:b w:val="false"/>
                  <w:color w:val="000000"/>
                  <w:sz w:val="20"/>
                  <w:u w:val="single"/>
                </w:rPr>
                <w:t>12</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58">
              <w:r>
                <w:rPr>
                  <w:rStyle w:val="InternetLink"/>
                  <w:rFonts w:ascii="Arial Narrow;sans-serif" w:hAnsi="Arial Narrow;sans-serif"/>
                  <w:b w:val="false"/>
                  <w:color w:val="000000"/>
                  <w:sz w:val="20"/>
                  <w:u w:val="single"/>
                </w:rPr>
                <w:t>Note 7. Fair Value of Financial Instruments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58">
              <w:r>
                <w:rPr>
                  <w:rStyle w:val="InternetLink"/>
                  <w:rFonts w:ascii="Arial Narrow;sans-serif" w:hAnsi="Arial Narrow;sans-serif"/>
                  <w:b w:val="false"/>
                  <w:color w:val="000000"/>
                  <w:sz w:val="20"/>
                  <w:u w:val="single"/>
                </w:rPr>
                <w:t>13</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61">
              <w:r>
                <w:rPr>
                  <w:rStyle w:val="InternetLink"/>
                  <w:rFonts w:ascii="Arial Narrow;sans-serif" w:hAnsi="Arial Narrow;sans-serif"/>
                  <w:b w:val="false"/>
                  <w:color w:val="000000"/>
                  <w:sz w:val="20"/>
                  <w:u w:val="single"/>
                </w:rPr>
                <w:t>Note 8. Debt</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61">
              <w:r>
                <w:rPr>
                  <w:rStyle w:val="InternetLink"/>
                  <w:rFonts w:ascii="Arial Narrow;sans-serif" w:hAnsi="Arial Narrow;sans-serif"/>
                  <w:b w:val="false"/>
                  <w:color w:val="000000"/>
                  <w:sz w:val="20"/>
                  <w:u w:val="single"/>
                </w:rPr>
                <w:t>14</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64">
              <w:r>
                <w:rPr>
                  <w:rStyle w:val="InternetLink"/>
                </w:rPr>
                <w:t xml:space="preserve">Note </w:t>
              </w:r>
            </w:hyperlink>
            <w:hyperlink w:anchor="i4ec9254f60b249f1b48963f80e29bf2f_64">
              <w:r>
                <w:rPr>
                  <w:rStyle w:val="InternetLink"/>
                </w:rPr>
                <w:t>9</w:t>
              </w:r>
            </w:hyperlink>
            <w:hyperlink w:anchor="i4ec9254f60b249f1b48963f80e29bf2f_64">
              <w:r>
                <w:rPr>
                  <w:rStyle w:val="InternetLink"/>
                </w:rPr>
                <w:t>. Leases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64">
              <w:r>
                <w:rPr>
                  <w:rStyle w:val="InternetLink"/>
                  <w:rFonts w:ascii="Arial Narrow;sans-serif" w:hAnsi="Arial Narrow;sans-serif"/>
                  <w:b w:val="false"/>
                  <w:color w:val="000000"/>
                  <w:sz w:val="20"/>
                  <w:u w:val="single"/>
                </w:rPr>
                <w:t>16</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67">
              <w:r>
                <w:rPr>
                  <w:rStyle w:val="InternetLink"/>
                </w:rPr>
                <w:t xml:space="preserve">Note </w:t>
              </w:r>
            </w:hyperlink>
            <w:hyperlink w:anchor="i4ec9254f60b249f1b48963f80e29bf2f_67">
              <w:r>
                <w:rPr>
                  <w:rStyle w:val="InternetLink"/>
                </w:rPr>
                <w:t>10</w:t>
              </w:r>
            </w:hyperlink>
            <w:hyperlink w:anchor="i4ec9254f60b249f1b48963f80e29bf2f_67">
              <w:r>
                <w:rPr>
                  <w:rStyle w:val="InternetLink"/>
                </w:rPr>
                <w:t>. Non-Controlling Interests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67">
              <w:r>
                <w:rPr>
                  <w:rStyle w:val="InternetLink"/>
                  <w:rFonts w:ascii="Arial Narrow;sans-serif" w:hAnsi="Arial Narrow;sans-serif"/>
                  <w:b w:val="false"/>
                  <w:color w:val="000000"/>
                  <w:sz w:val="20"/>
                  <w:u w:val="single"/>
                </w:rPr>
                <w:t>17</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70">
              <w:r>
                <w:rPr>
                  <w:rStyle w:val="InternetLink"/>
                </w:rPr>
                <w:t>Note 1</w:t>
              </w:r>
            </w:hyperlink>
            <w:hyperlink w:anchor="i4ec9254f60b249f1b48963f80e29bf2f_70">
              <w:r>
                <w:rPr>
                  <w:rStyle w:val="InternetLink"/>
                </w:rPr>
                <w:t>1</w:t>
              </w:r>
            </w:hyperlink>
            <w:hyperlink w:anchor="i4ec9254f60b249f1b48963f80e29bf2f_70">
              <w:r>
                <w:rPr>
                  <w:rStyle w:val="InternetLink"/>
                </w:rPr>
                <w:t>. Equity-Based Compensation</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70">
              <w:r>
                <w:rPr>
                  <w:rStyle w:val="InternetLink"/>
                  <w:rFonts w:ascii="Arial Narrow;sans-serif" w:hAnsi="Arial Narrow;sans-serif"/>
                  <w:b w:val="false"/>
                  <w:color w:val="000000"/>
                  <w:sz w:val="20"/>
                  <w:u w:val="single"/>
                </w:rPr>
                <w:t>18</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76">
              <w:r>
                <w:rPr>
                  <w:rStyle w:val="InternetLink"/>
                </w:rPr>
                <w:t>Note 1</w:t>
              </w:r>
            </w:hyperlink>
            <w:hyperlink w:anchor="i4ec9254f60b249f1b48963f80e29bf2f_76">
              <w:r>
                <w:rPr>
                  <w:rStyle w:val="InternetLink"/>
                </w:rPr>
                <w:t>2</w:t>
              </w:r>
            </w:hyperlink>
            <w:hyperlink w:anchor="i4ec9254f60b249f1b48963f80e29bf2f_76">
              <w:r>
                <w:rPr>
                  <w:rStyle w:val="InternetLink"/>
                </w:rPr>
                <w:t>. Income Taxes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76">
              <w:r>
                <w:rPr>
                  <w:rStyle w:val="InternetLink"/>
                  <w:rFonts w:ascii="Arial Narrow;sans-serif" w:hAnsi="Arial Narrow;sans-serif"/>
                  <w:b w:val="false"/>
                  <w:color w:val="000000"/>
                  <w:sz w:val="20"/>
                  <w:u w:val="single"/>
                </w:rPr>
                <w:t>18</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79">
              <w:r>
                <w:rPr>
                  <w:rStyle w:val="InternetLink"/>
                </w:rPr>
                <w:t>Note 1</w:t>
              </w:r>
            </w:hyperlink>
            <w:hyperlink w:anchor="i4ec9254f60b249f1b48963f80e29bf2f_79">
              <w:r>
                <w:rPr>
                  <w:rStyle w:val="InternetLink"/>
                </w:rPr>
                <w:t>3</w:t>
              </w:r>
            </w:hyperlink>
            <w:hyperlink w:anchor="i4ec9254f60b249f1b48963f80e29bf2f_79">
              <w:r>
                <w:rPr>
                  <w:rStyle w:val="InternetLink"/>
                </w:rPr>
                <w:t>. Earnings Per Share</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79">
              <w:r>
                <w:rPr>
                  <w:rStyle w:val="InternetLink"/>
                  <w:rFonts w:ascii="Arial Narrow;sans-serif" w:hAnsi="Arial Narrow;sans-serif"/>
                  <w:b w:val="false"/>
                  <w:color w:val="000000"/>
                  <w:sz w:val="20"/>
                  <w:u w:val="single"/>
                </w:rPr>
                <w:t>19</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82">
              <w:r>
                <w:rPr>
                  <w:rStyle w:val="InternetLink"/>
                </w:rPr>
                <w:t>Note 1</w:t>
              </w:r>
            </w:hyperlink>
            <w:hyperlink w:anchor="i4ec9254f60b249f1b48963f80e29bf2f_82">
              <w:r>
                <w:rPr>
                  <w:rStyle w:val="InternetLink"/>
                </w:rPr>
                <w:t>4</w:t>
              </w:r>
            </w:hyperlink>
            <w:hyperlink w:anchor="i4ec9254f60b249f1b48963f80e29bf2f_82">
              <w:r>
                <w:rPr>
                  <w:rStyle w:val="InternetLink"/>
                </w:rPr>
                <w:t>. Contingencies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82">
              <w:r>
                <w:rPr>
                  <w:rStyle w:val="InternetLink"/>
                  <w:rFonts w:ascii="Arial Narrow;sans-serif" w:hAnsi="Arial Narrow;sans-serif"/>
                  <w:b w:val="false"/>
                  <w:color w:val="000000"/>
                  <w:sz w:val="20"/>
                  <w:u w:val="single"/>
                </w:rPr>
                <w:t>20</w:t>
              </w:r>
            </w:hyperlink>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85">
              <w:r>
                <w:rPr>
                  <w:rStyle w:val="InternetLink"/>
                </w:rPr>
                <w:t>Note 1</w:t>
              </w:r>
            </w:hyperlink>
            <w:hyperlink w:anchor="i4ec9254f60b249f1b48963f80e29bf2f_85">
              <w:r>
                <w:rPr>
                  <w:rStyle w:val="InternetLink"/>
                </w:rPr>
                <w:t>5</w:t>
              </w:r>
            </w:hyperlink>
            <w:hyperlink w:anchor="i4ec9254f60b249f1b48963f80e29bf2f_85">
              <w:r>
                <w:rPr>
                  <w:rStyle w:val="InternetLink"/>
                </w:rPr>
                <w:t>. Related Party Transactions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85">
              <w:r>
                <w:rPr>
                  <w:rStyle w:val="InternetLink"/>
                  <w:rFonts w:ascii="Arial Narrow;sans-serif" w:hAnsi="Arial Narrow;sans-serif"/>
                  <w:b w:val="false"/>
                  <w:color w:val="000000"/>
                  <w:sz w:val="20"/>
                  <w:u w:val="single"/>
                </w:rPr>
                <w:t>20</w:t>
              </w:r>
            </w:hyperlink>
          </w:p>
        </w:tc>
      </w:tr>
      <w:tr>
        <w:trPr/>
        <w:tc>
          <w:tcPr>
            <w:tcW w:w="4425"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pPr>
            <w:hyperlink w:anchor="i4ec9254f60b249f1b48963f80e29bf2f_88">
              <w:r>
                <w:rPr>
                  <w:rStyle w:val="InternetLink"/>
                  <w:rFonts w:ascii="Arial Narrow;sans-serif" w:hAnsi="Arial Narrow;sans-serif"/>
                  <w:b w:val="false"/>
                  <w:color w:val="000000"/>
                  <w:sz w:val="20"/>
                  <w:u w:val="single"/>
                </w:rPr>
                <w:t>Note 16. Subsequent Events</w:t>
              </w:r>
            </w:hyperlink>
          </w:p>
        </w:tc>
        <w:tc>
          <w:tcPr>
            <w:tcW w:w="541" w:type="dxa"/>
            <w:gridSpan w:val="3"/>
            <w:tcBorders/>
            <w:shd w:fill="DBDBDB" w:val="clear"/>
            <w:tcMar>
              <w:top w:w="0" w:type="dxa"/>
              <w:left w:w="0" w:type="dxa"/>
              <w:bottom w:w="0" w:type="dxa"/>
              <w:right w:w="0" w:type="dxa"/>
            </w:tcMar>
            <w:vAlign w:val="center"/>
          </w:tcPr>
          <w:p>
            <w:pPr>
              <w:pStyle w:val="TableContents"/>
              <w:spacing w:lineRule="auto" w:line="288" w:before="0" w:after="0"/>
              <w:jc w:val="center"/>
              <w:rPr/>
            </w:pPr>
            <w:hyperlink w:anchor="i4ec9254f60b249f1b48963f80e29bf2f_88">
              <w:r>
                <w:rPr>
                  <w:rStyle w:val="InternetLink"/>
                  <w:rFonts w:ascii="Arial Narrow;sans-serif" w:hAnsi="Arial Narrow;sans-serif"/>
                  <w:b w:val="false"/>
                  <w:color w:val="000000"/>
                  <w:sz w:val="20"/>
                  <w:u w:val="single"/>
                </w:rPr>
                <w:t>21</w:t>
              </w:r>
            </w:hyperlink>
          </w:p>
        </w:tc>
      </w:tr>
    </w:tbl>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2755"/>
                <wp:effectExtent l="0" t="0" r="0" b="0"/>
                <wp:wrapNone/>
                <wp:docPr id="10" name="Frame4"/>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w:t>
                      </w:r>
                    </w:p>
                  </w:txbxContent>
                </v:textbox>
              </v:rect>
            </w:pict>
          </mc:Fallback>
        </mc:AlternateConten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PORTILLO'S INC.</w: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0" w:after="0"/>
        <w:rPr/>
      </w:pPr>
      <w:r>
        <w:rPr>
          <w:rFonts w:ascii="Arial Narrow;sans-serif" w:hAnsi="Arial Narrow;sans-serif"/>
          <w:b w:val="false"/>
          <w:i/>
          <w:color w:val="000000"/>
          <w:sz w:val="18"/>
        </w:rPr>
        <w:t>(In</w:t>
      </w:r>
      <w:r>
        <w:rPr>
          <w:color w:val="000000"/>
        </w:rPr>
        <w:t xml:space="preserve"> </w:t>
      </w:r>
      <w:r>
        <w:rPr>
          <w:rFonts w:ascii="Arial Narrow;sans-serif" w:hAnsi="Arial Narrow;sans-serif"/>
          <w:b w:val="false"/>
          <w:i/>
          <w:color w:val="000000"/>
          <w:sz w:val="18"/>
        </w:rPr>
        <w:t>thousands, except share and per share data)</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87"/>
        <w:gridCol w:w="2298"/>
        <w:gridCol w:w="2336"/>
        <w:gridCol w:w="185"/>
        <w:gridCol w:w="786"/>
        <w:gridCol w:w="111"/>
        <w:gridCol w:w="109"/>
        <w:gridCol w:w="109"/>
        <w:gridCol w:w="109"/>
        <w:gridCol w:w="208"/>
        <w:gridCol w:w="884"/>
        <w:gridCol w:w="183"/>
      </w:tblGrid>
      <w:tr>
        <w:trPr/>
        <w:tc>
          <w:tcPr>
            <w:tcW w:w="2887"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8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w:t>
            </w:r>
          </w:p>
        </w:tc>
        <w:tc>
          <w:tcPr>
            <w:tcW w:w="18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10,129 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8,590 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7,387 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5,879 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4,922 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65,326 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237,216 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227,036 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166,808 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394,298 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intangible assets, net</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31,078 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31,800 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method investment</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16,238 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16,274 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185,943 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150,497 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3,713 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4,119 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855,195 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820,913 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1,301,703 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1,280,083 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8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18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22,130 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30,273 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long-term debt</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4,155 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Tax Receivable Agreement liability</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6,309 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debt</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deferred revenue</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7,292 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operating lease liability</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5,088 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4,849 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27,592 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29,915 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83,739 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77,297 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LIABILITIES:</w:t>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 of current portion</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288,979 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314,425 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292,490 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252,003 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operating lease liability</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210,682 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200,166 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2,827 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3,291 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liabilities</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794,978 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769,885 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878,717 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847,182 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14)</w:t>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8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Preferred stock, $0.01 par value per share, 10,000,000 shares authorized, none issued or outstanding</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common stock, $0.01 par value per share, 380,000,000 shares authorized, and 54,467,951 and 48,420,723 shares issued and outstanding at March 26, 2023 and December 25, 2022, respectively.</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common stock, $0.00001 par value per share, 50,000,000 shares authorized, and 17,943,562 and 23,837,162 shares issued and outstanding at March 26, 2023 and December 25, 2022, respectively.</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paid-in-capital</w:t>
            </w:r>
          </w:p>
        </w:tc>
        <w:tc>
          <w:tcPr>
            <w:tcW w:w="97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294,984 </w:t>
            </w:r>
          </w:p>
        </w:tc>
        <w:tc>
          <w:tcPr>
            <w:tcW w:w="11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260,664 </w:t>
            </w:r>
          </w:p>
        </w:tc>
        <w:tc>
          <w:tcPr>
            <w:tcW w:w="1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(5,326)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(4,812)</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 attributable to Portillo's Inc.</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290,203 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256,336 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9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132,783 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176,565 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9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422,986 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432,901 </w:t>
            </w:r>
          </w:p>
        </w:tc>
        <w:tc>
          <w:tcPr>
            <w:tcW w:w="1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LIABILITIES AND STOCKHOLDERS' EQUITY</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1,301,703 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1,280,083 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2755"/>
                <wp:effectExtent l="0" t="0" r="0" b="0"/>
                <wp:wrapNone/>
                <wp:docPr id="13" name="Frame5"/>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w:t>
                      </w:r>
                    </w:p>
                  </w:txbxContent>
                </v:textbox>
              </v:rect>
            </w:pict>
          </mc:Fallback>
        </mc:AlternateConten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PORTILLO'S INC</w: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CONDENSED CONSOLIDATED STATEMENT OF OPERATIONS</w:t>
      </w:r>
    </w:p>
    <w:p>
      <w:pPr>
        <w:pStyle w:val="TextBody"/>
        <w:spacing w:lineRule="auto" w:line="288" w:before="0" w:after="0"/>
        <w:rPr>
          <w:rFonts w:ascii="Arial Narrow;sans-serif" w:hAnsi="Arial Narrow;sans-serif"/>
          <w:b/>
          <w:color w:val="000000"/>
          <w:sz w:val="20"/>
        </w:rPr>
      </w:pPr>
      <w:r>
        <w:rPr>
          <w:rFonts w:ascii="Arial Narrow;sans-serif" w:hAnsi="Arial Narrow;sans-serif"/>
          <w:b/>
          <w:color w:val="000000"/>
          <w:sz w:val="20"/>
        </w:rPr>
        <w:t>(UNAUDITED)</w:t>
      </w:r>
    </w:p>
    <w:p>
      <w:pPr>
        <w:pStyle w:val="TextBody"/>
        <w:spacing w:lineRule="auto" w:line="288" w:before="0" w:after="0"/>
        <w:rPr>
          <w:rFonts w:ascii="Arial Narrow;sans-serif" w:hAnsi="Arial Narrow;sans-serif"/>
          <w:b w:val="false"/>
          <w:i/>
          <w:color w:val="000000"/>
          <w:sz w:val="18"/>
        </w:rPr>
      </w:pPr>
      <w:r>
        <w:rPr>
          <w:rFonts w:ascii="Arial Narrow;sans-serif" w:hAnsi="Arial Narrow;sans-serif"/>
          <w:b w:val="false"/>
          <w:i/>
          <w:color w:val="000000"/>
          <w:sz w:val="18"/>
        </w:rPr>
        <w:t>(In thousands, except share and per share data)</w:t>
      </w:r>
    </w:p>
    <w:p>
      <w:pPr>
        <w:pStyle w:val="TextBody"/>
        <w:spacing w:before="0" w:after="0"/>
        <w:rPr/>
      </w:pPr>
      <w:r>
        <w:rPr/>
      </w:r>
    </w:p>
    <w:tbl>
      <w:tblPr>
        <w:tblW w:w="7376" w:type="dxa"/>
        <w:jc w:val="left"/>
        <w:tblInd w:w="0" w:type="dxa"/>
        <w:tblCellMar>
          <w:top w:w="28" w:type="dxa"/>
          <w:left w:w="28" w:type="dxa"/>
          <w:bottom w:w="28" w:type="dxa"/>
          <w:right w:w="28" w:type="dxa"/>
        </w:tblCellMar>
      </w:tblPr>
      <w:tblGrid>
        <w:gridCol w:w="1574"/>
        <w:gridCol w:w="1382"/>
        <w:gridCol w:w="1393"/>
        <w:gridCol w:w="109"/>
        <w:gridCol w:w="109"/>
        <w:gridCol w:w="109"/>
        <w:gridCol w:w="109"/>
        <w:gridCol w:w="214"/>
        <w:gridCol w:w="766"/>
        <w:gridCol w:w="129"/>
        <w:gridCol w:w="109"/>
        <w:gridCol w:w="109"/>
        <w:gridCol w:w="109"/>
        <w:gridCol w:w="213"/>
        <w:gridCol w:w="761"/>
        <w:gridCol w:w="181"/>
      </w:tblGrid>
      <w:tr>
        <w:trPr/>
        <w:tc>
          <w:tcPr>
            <w:tcW w:w="1574"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7" w:type="dxa"/>
            <w:gridSpan w:val="5"/>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2" w:type="dxa"/>
            <w:gridSpan w:val="6"/>
            <w:tcBorders/>
            <w:shd w:fill="auto" w:val="clea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43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156,061 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134,482 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COST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goods sold,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53,626 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46,266 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40,459 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37,313 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7,755 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18,704 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15,165 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restaurant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121,240 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106,499 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15,687 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2,344 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556 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6,814 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7,444 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6,099 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(584)</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(LOSS) 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(759)</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(LOSS) INCOME ATTRIBUTABLE TO PORTILLO'S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per common share attributable to Portillo's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doub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doub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doub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1" w:type="dxa"/>
            <w:tcBorders>
              <w:top w:val="doub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0.00 </w:t>
            </w:r>
          </w:p>
        </w:tc>
        <w:tc>
          <w:tcPr>
            <w:tcW w:w="181" w:type="dxa"/>
            <w:tcBorders>
              <w:top w:val="doub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49,599,074 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35,807,171 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4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0"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49,599,074 </w:t>
            </w:r>
          </w:p>
        </w:tc>
        <w:tc>
          <w:tcPr>
            <w:tcW w:w="12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2"/>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39,944,086 </w:t>
            </w:r>
          </w:p>
        </w:tc>
        <w:tc>
          <w:tcPr>
            <w:tcW w:w="18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2755"/>
                <wp:effectExtent l="0" t="0" r="0" b="0"/>
                <wp:wrapNone/>
                <wp:docPr id="16" name="Frame6"/>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4</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CONDENSED CONSOLIDATED STATEMENTS OF STOCKHOLDERS' EQUITY</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(UNAUDITED)</w:t>
      </w:r>
    </w:p>
    <w:p>
      <w:pPr>
        <w:pStyle w:val="TextBody"/>
        <w:spacing w:before="0" w:after="0"/>
        <w:rPr/>
      </w:pPr>
      <w:r>
        <w:rPr/>
      </w:r>
    </w:p>
    <w:tbl>
      <w:tblPr>
        <w:tblW w:w="12063" w:type="dxa"/>
        <w:jc w:val="center"/>
        <w:tblInd w:w="0" w:type="dxa"/>
        <w:tblCellMar>
          <w:top w:w="28" w:type="dxa"/>
          <w:left w:w="28" w:type="dxa"/>
          <w:bottom w:w="28" w:type="dxa"/>
          <w:right w:w="28" w:type="dxa"/>
        </w:tblCellMar>
      </w:tblPr>
      <w:tblGrid>
        <w:gridCol w:w="534"/>
        <w:gridCol w:w="258"/>
        <w:gridCol w:w="259"/>
        <w:gridCol w:w="109"/>
        <w:gridCol w:w="109"/>
        <w:gridCol w:w="109"/>
        <w:gridCol w:w="109"/>
        <w:gridCol w:w="109"/>
        <w:gridCol w:w="109"/>
        <w:gridCol w:w="109"/>
        <w:gridCol w:w="150"/>
        <w:gridCol w:w="150"/>
        <w:gridCol w:w="551"/>
        <w:gridCol w:w="290"/>
        <w:gridCol w:w="151"/>
        <w:gridCol w:w="109"/>
        <w:gridCol w:w="109"/>
        <w:gridCol w:w="109"/>
        <w:gridCol w:w="181"/>
        <w:gridCol w:w="376"/>
        <w:gridCol w:w="109"/>
        <w:gridCol w:w="109"/>
        <w:gridCol w:w="109"/>
        <w:gridCol w:w="109"/>
        <w:gridCol w:w="420"/>
        <w:gridCol w:w="421"/>
        <w:gridCol w:w="196"/>
        <w:gridCol w:w="109"/>
        <w:gridCol w:w="109"/>
        <w:gridCol w:w="109"/>
        <w:gridCol w:w="181"/>
        <w:gridCol w:w="406"/>
        <w:gridCol w:w="109"/>
        <w:gridCol w:w="109"/>
        <w:gridCol w:w="109"/>
        <w:gridCol w:w="109"/>
        <w:gridCol w:w="181"/>
        <w:gridCol w:w="646"/>
        <w:gridCol w:w="109"/>
        <w:gridCol w:w="109"/>
        <w:gridCol w:w="109"/>
        <w:gridCol w:w="109"/>
        <w:gridCol w:w="211"/>
        <w:gridCol w:w="667"/>
        <w:gridCol w:w="128"/>
        <w:gridCol w:w="109"/>
        <w:gridCol w:w="109"/>
        <w:gridCol w:w="109"/>
        <w:gridCol w:w="238"/>
        <w:gridCol w:w="849"/>
        <w:gridCol w:w="144"/>
        <w:gridCol w:w="109"/>
        <w:gridCol w:w="109"/>
        <w:gridCol w:w="109"/>
        <w:gridCol w:w="202"/>
        <w:gridCol w:w="721"/>
        <w:gridCol w:w="173"/>
      </w:tblGrid>
      <w:tr>
        <w:trPr/>
        <w:tc>
          <w:tcPr>
            <w:tcW w:w="53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7749" w:type="dxa"/>
            <w:gridSpan w:val="3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Quarters Ended March 26, 2023 and March 27, 2022</w:t>
            </w:r>
          </w:p>
        </w:tc>
        <w:tc>
          <w:tcPr>
            <w:tcW w:w="4314" w:type="dxa"/>
            <w:gridSpan w:val="18"/>
            <w:tcBorders/>
            <w:shd w:fill="auto" w:val="clea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2"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u w:val="single"/>
              </w:rPr>
            </w:pPr>
            <w:r>
              <w:rPr>
                <w:rFonts w:ascii="Arial Narrow;sans-serif" w:hAnsi="Arial Narrow;sans-serif"/>
                <w:b/>
                <w:color w:val="000000"/>
                <w:sz w:val="18"/>
                <w:u w:val="single"/>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6"/>
            <w:tcBorders/>
            <w:shd w:fill="auto" w:val="clea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 xml:space="preserve">Shares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Total Stockholders' Equity</w:t>
            </w:r>
          </w:p>
        </w:tc>
      </w:tr>
      <w:tr>
        <w:trPr/>
        <w:tc>
          <w:tcPr>
            <w:tcW w:w="105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December 26, 2021</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35,807,171 </w:t>
            </w:r>
          </w:p>
        </w:tc>
        <w:tc>
          <w:tcPr>
            <w:tcW w:w="15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35,673,321 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186,856 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(15,950)</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252,142 </w:t>
            </w:r>
          </w:p>
        </w:tc>
        <w:tc>
          <w:tcPr>
            <w:tcW w:w="14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423,406 </w:t>
            </w:r>
          </w:p>
        </w:tc>
        <w:tc>
          <w:tcPr>
            <w:tcW w:w="17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1,896 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1,889 </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March 27,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35,807,171 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35,673,321 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188,752 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(15,756)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254,387 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427,741 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December 25,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48,420,723 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23,837,162 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260,664 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(4,812)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176,565 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432,901 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c>
          <w:tcPr>
            <w:tcW w:w="1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(759)</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Equity-based compensation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3,537 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153,628 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713 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Redemption of LLC Units in connection with the secondary offering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5,893,600 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(5,893,600)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43,736 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(43,736)</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(12,493)</w:t>
            </w:r>
          </w:p>
        </w:tc>
        <w:tc>
          <w:tcPr>
            <w:tcW w:w="17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Balance at March 26, 2023</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54,467,951 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17,943,562 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294,984 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(5,326)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132,783 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422,986 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2755"/>
                <wp:effectExtent l="0" t="0" r="0" b="0"/>
                <wp:wrapNone/>
                <wp:docPr id="19" name="Frame7"/>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5</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CONDENSED CONSOLIDATED STATEMENTS OF CASH FLOWS</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(UNAUDITED)</w:t>
      </w:r>
    </w:p>
    <w:p>
      <w:pPr>
        <w:pStyle w:val="TextBody"/>
        <w:spacing w:lineRule="auto" w:line="288" w:before="0" w:after="0"/>
        <w:rPr>
          <w:rFonts w:ascii="Arial Narrow;sans-serif" w:hAnsi="Arial Narrow;sans-serif"/>
          <w:b w:val="false"/>
          <w:i/>
          <w:color w:val="000000"/>
          <w:sz w:val="18"/>
        </w:rPr>
      </w:pPr>
      <w:r>
        <w:rPr>
          <w:rFonts w:ascii="Arial Narrow;sans-serif" w:hAnsi="Arial Narrow;sans-serif"/>
          <w:b w:val="false"/>
          <w:i/>
          <w:color w:val="000000"/>
          <w:sz w:val="18"/>
        </w:rPr>
        <w:t>(In thousands)</w:t>
      </w:r>
    </w:p>
    <w:p>
      <w:pPr>
        <w:pStyle w:val="TextBody"/>
        <w:spacing w:before="0" w:after="0"/>
        <w:rPr/>
      </w:pPr>
      <w:r>
        <w:rPr/>
      </w:r>
    </w:p>
    <w:tbl>
      <w:tblPr>
        <w:tblW w:w="9279" w:type="dxa"/>
        <w:jc w:val="left"/>
        <w:tblInd w:w="0" w:type="dxa"/>
        <w:tblCellMar>
          <w:top w:w="28" w:type="dxa"/>
          <w:left w:w="28" w:type="dxa"/>
          <w:bottom w:w="28" w:type="dxa"/>
          <w:right w:w="28" w:type="dxa"/>
        </w:tblCellMar>
      </w:tblPr>
      <w:tblGrid>
        <w:gridCol w:w="2424"/>
        <w:gridCol w:w="2130"/>
        <w:gridCol w:w="2135"/>
        <w:gridCol w:w="233"/>
        <w:gridCol w:w="736"/>
        <w:gridCol w:w="140"/>
        <w:gridCol w:w="109"/>
        <w:gridCol w:w="109"/>
        <w:gridCol w:w="109"/>
        <w:gridCol w:w="230"/>
        <w:gridCol w:w="728"/>
        <w:gridCol w:w="196"/>
      </w:tblGrid>
      <w:tr>
        <w:trPr/>
        <w:tc>
          <w:tcPr>
            <w:tcW w:w="2424"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r>
      <w:tr>
        <w:trPr/>
        <w:tc>
          <w:tcPr>
            <w:tcW w:w="6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110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w:t>
            </w:r>
          </w:p>
        </w:tc>
        <w:tc>
          <w:tcPr>
            <w:tcW w:w="2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(loss) income to net cash provided by operating activities:</w:t>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issuance costs and discount</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431 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621 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sales of assets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3,537 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rent and tenant allowance</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1,253 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 (benefit) expense</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lease incentives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(105)</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 breakage</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debt extinguishment</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3,465 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w:t>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499 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1,816 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Receivables from related parties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2,128 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931 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assets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(957)</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2,081 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(3,160)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(3,708)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liabilities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(4,513)</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(9,745)</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lease incentives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600 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and liabilities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PROVIDED BY OPERATING ACTIVITIES</w:t>
            </w:r>
          </w:p>
        </w:tc>
        <w:tc>
          <w:tcPr>
            <w:tcW w:w="96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6,486 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800 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property and equipment</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(20,216)</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(6,279)</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the sale of property and equipment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USED IN INVESTING ACTIVITIES</w:t>
            </w:r>
          </w:p>
        </w:tc>
        <w:tc>
          <w:tcPr>
            <w:tcW w:w="96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(20,190)</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(6,279)</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bookmarkStart w:id="0" w:name="i90b5308298fe4374b10973e9022be420_33-0-1"/>
            <w:bookmarkEnd w:id="0"/>
            <w:r>
              <w:rPr>
                <w:rFonts w:ascii="Arial Narrow;sans-serif" w:hAnsi="Arial Narrow;sans-serif"/>
                <w:b w:val="false"/>
                <w:color w:val="000000"/>
                <w:sz w:val="18"/>
              </w:rPr>
              <w:t>Proceeds from short-term debt, net</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long-term debt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long-term debt</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(322,428)</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(831)</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equity offering, net of underwriting discounts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166,400 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outstanding equity / Portillo's OpCo units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(166,400)</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stock option exercises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withholding taxes related to net settled equity awards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Employee Stock Purchase Plan purchases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Tax Receivable Agreement liability</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(813)</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deferred financing costs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initial public offering issuance costs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(771)</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CASH USED IN FINANCING ACTIVITIES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(16,112)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DECREASE IN CASH AND CASH EQUIVALENTS AND RESTRICTED CASH</w:t>
            </w:r>
          </w:p>
        </w:tc>
        <w:tc>
          <w:tcPr>
            <w:tcW w:w="96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(29,816)</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(7,081)</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BEGINNING OF THE PERIOD</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39,263 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89"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CASH AND CASH EQUIVALENTS AND RESTRICTED CASH AT END OF THE PERIOD</w:t>
            </w:r>
          </w:p>
        </w:tc>
        <w:tc>
          <w:tcPr>
            <w:tcW w:w="23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14,611 </w:t>
            </w:r>
          </w:p>
        </w:tc>
        <w:tc>
          <w:tcPr>
            <w:tcW w:w="1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32,182 </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2755"/>
                <wp:effectExtent l="0" t="0" r="0" b="0"/>
                <wp:wrapNone/>
                <wp:docPr id="22" name="Frame8"/>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6</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CONDENSED CONSOLIDATED STATEMENTS OF CASH FLOWS</w: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(UNAUDITED)</w:t>
      </w:r>
    </w:p>
    <w:p>
      <w:pPr>
        <w:pStyle w:val="TextBody"/>
        <w:spacing w:lineRule="auto" w:line="288" w:before="0" w:after="0"/>
        <w:rPr>
          <w:rFonts w:ascii="Arial Narrow;sans-serif" w:hAnsi="Arial Narrow;sans-serif"/>
          <w:b w:val="false"/>
          <w:i/>
          <w:color w:val="000000"/>
          <w:sz w:val="18"/>
        </w:rPr>
      </w:pPr>
      <w:r>
        <w:rPr>
          <w:rFonts w:ascii="Arial Narrow;sans-serif" w:hAnsi="Arial Narrow;sans-serif"/>
          <w:b w:val="false"/>
          <w:i/>
          <w:color w:val="000000"/>
          <w:sz w:val="18"/>
        </w:rPr>
        <w:t>(In thousands)</w:t>
      </w:r>
    </w:p>
    <w:p>
      <w:pPr>
        <w:pStyle w:val="TextBody"/>
        <w:spacing w:before="0" w:after="0"/>
        <w:rPr/>
      </w:pPr>
      <w:r>
        <w:rPr/>
      </w:r>
    </w:p>
    <w:tbl>
      <w:tblPr>
        <w:tblW w:w="6535" w:type="dxa"/>
        <w:jc w:val="left"/>
        <w:tblInd w:w="0" w:type="dxa"/>
        <w:tblCellMar>
          <w:top w:w="28" w:type="dxa"/>
          <w:left w:w="28" w:type="dxa"/>
          <w:bottom w:w="28" w:type="dxa"/>
          <w:right w:w="28" w:type="dxa"/>
        </w:tblCellMar>
      </w:tblPr>
      <w:tblGrid>
        <w:gridCol w:w="1428"/>
        <w:gridCol w:w="1255"/>
        <w:gridCol w:w="1261"/>
        <w:gridCol w:w="255"/>
        <w:gridCol w:w="701"/>
        <w:gridCol w:w="154"/>
        <w:gridCol w:w="109"/>
        <w:gridCol w:w="109"/>
        <w:gridCol w:w="109"/>
        <w:gridCol w:w="251"/>
        <w:gridCol w:w="689"/>
        <w:gridCol w:w="214"/>
      </w:tblGrid>
      <w:tr>
        <w:trPr/>
        <w:tc>
          <w:tcPr>
            <w:tcW w:w="1428"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SUPPLEMENTAL CASH FLOW INFORMATION</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paid</w:t>
            </w:r>
          </w:p>
        </w:tc>
        <w:tc>
          <w:tcPr>
            <w:tcW w:w="255"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5,703 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5,356 </w:t>
            </w:r>
          </w:p>
        </w:tc>
        <w:tc>
          <w:tcPr>
            <w:tcW w:w="2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paid</w:t>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NON-CASH INVESTING AND FINANCING ACTIVITIES:</w:t>
            </w:r>
          </w:p>
        </w:tc>
        <w:tc>
          <w:tcPr>
            <w:tcW w:w="111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capital expenditures</w:t>
            </w:r>
          </w:p>
        </w:tc>
        <w:tc>
          <w:tcPr>
            <w:tcW w:w="25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1,626 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w:t>
            </w:r>
          </w:p>
        </w:tc>
        <w:tc>
          <w:tcPr>
            <w:tcW w:w="95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47,380 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2755"/>
                <wp:effectExtent l="0" t="0" r="0" b="0"/>
                <wp:wrapNone/>
                <wp:docPr id="25" name="Frame9"/>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7</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ind w:left="0" w:right="0" w:hanging="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1.    DESCRIPTION OF BUSINESS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Portillo’s Inc. (the "Company") was formed and incorporated as a Delaware corporation on June 8, 2021. The Company was formed for the purpose of completing an initial public offering ("IPO") and related reorganization transactions </w:t>
      </w:r>
      <w:r>
        <w:rPr>
          <w:rFonts w:ascii="Arial Narrow;sans-serif" w:hAnsi="Arial Narrow;sans-serif"/>
          <w:b w:val="false"/>
          <w:color w:val="000000"/>
          <w:sz w:val="20"/>
          <w:highlight w:val="white"/>
        </w:rPr>
        <w:t>(collectively, the "Transactions”)</w:t>
      </w:r>
      <w:r>
        <w:rPr>
          <w:color w:val="000000"/>
        </w:rPr>
        <w:t xml:space="preserve"> </w:t>
      </w:r>
      <w:r>
        <w:rPr>
          <w:rFonts w:ascii="Arial Narrow;sans-serif" w:hAnsi="Arial Narrow;sans-serif"/>
          <w:b w:val="false"/>
          <w:color w:val="000000"/>
          <w:sz w:val="20"/>
        </w:rPr>
        <w:t xml:space="preserve">in order to carry on the business of PHD Group Holdings LLC and its subsidiaries ("Portillo's OpCo"). </w:t>
      </w:r>
      <w:r>
        <w:rPr>
          <w:rFonts w:ascii="Arial Narrow;sans-serif" w:hAnsi="Arial Narrow;sans-serif"/>
          <w:b w:val="false"/>
          <w:color w:val="000000"/>
          <w:sz w:val="20"/>
          <w:highlight w:val="white"/>
        </w:rPr>
        <w:t>Following the consummation of the Transactions on October 20, 2021, the Company became the sole managing member of Portillo’s OpCo, and a</w:t>
      </w:r>
      <w:r>
        <w:rPr>
          <w:rFonts w:ascii="Arial Narrow;sans-serif" w:hAnsi="Arial Narrow;sans-serif"/>
          <w:b w:val="false"/>
          <w:color w:val="000000"/>
          <w:sz w:val="20"/>
        </w:rPr>
        <w:t>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operates fast-casual restaurants in 10 states, along with two food production commissaries in Illinois. As of March 26, 2023 and December 25, 2022, the Company had 74 and 71 restaurants in operation, respectively, excluding a restaurant owned by C&amp;O Chicago, LLC ("C&amp;O"), of which Portillo's owns 50% of the equity. The Company also had two non-traditional locations in operation as of March 26, 2023 and December 25, 2022. These non-traditional locations include a food truck and a ghost kitchen (small kitchen with no store-front presence, used to fill online orders). Portillo's additionally has a 50% interest in a single restaurant owned by C&amp;O. The Company’s principal corporate offices are located in Oak Brook, Illinois.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2023, the Company completed a secondary offering of 8,000,000 shares of the Company's Class A common stock at an offering price of $21.05 per share (the "Q1 Secondary Offering"). The Company granted Morgan Stanley &amp; Co. LLC, the underwriter (the "Underwriter"), a 30-day option to purchase up to an additional 1,200,000 shares of Class A common stock. On April 5, 2023, the Underwriter exercised its overallotment option in part, to purchase an additional 620,493 shares of the Company's Class A common stock (see Note 16. Subsequent Events for additional details). We used all of the net proceeds from the Q1 Secondary Offering to purchase LLC Units and corresponding shares of Class B common stock from certain pre-IPO LLC Members and to repurchase shares of Class A common stock from the shareholders of the entities treated as corporations for U.S. tax purposes that held LLC Units prior to the Transactions ("Blocker Companies") at a price per LLC Unit or share of Class A common stock, as applicable, equal to the public offering price per share of Class A common stock, less the underwriting discounts and commissions. The proceeds from the Q1 Secondary Offering were used to (i) purchase 2,106,400 existing shares of Class A common stock from the shareholders of the Blocker Companies and (ii) redeem 5,893,600 LLC Units held by the pre-IPO LLC Members. In connection with the redemption, 5,893,600 shares of Class B common stock were surrendered by the pre-IPO LLC Members and canceled and the Company received 5,893,600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As of March 26, 2023, the Company owns 75.2% of Portillo's OpCo and the pre-IPO LLC Members own the remaining 24.8% of Portillo's OpCo.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2755"/>
                <wp:effectExtent l="0" t="0" r="0" b="0"/>
                <wp:wrapNone/>
                <wp:docPr id="28" name="Frame10"/>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8</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2.    SUMMARY OF SIGNIFICANT ACCOUNTING POLICIES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Basis of Presentation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The Company has prepared the accompanying unaudited condensed consolidated financial statements in accordance with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w:t>
      </w:r>
      <w:r>
        <w:rPr>
          <w:rFonts w:ascii="Arial Narrow;sans-serif" w:hAnsi="Arial Narrow;sans-serif"/>
          <w:b w:val="false"/>
          <w:color w:val="000000"/>
          <w:sz w:val="20"/>
          <w:highlight w:val="white"/>
        </w:rPr>
        <w:t>inancial statements and notes included in our Annual Report on Form 10-K for the fiscal year ended December 25, 2022.</w:t>
      </w:r>
    </w:p>
    <w:p>
      <w:pPr>
        <w:pStyle w:val="TextBody"/>
        <w:spacing w:before="0" w:after="0"/>
        <w:rPr/>
      </w:pPr>
      <w:r>
        <w:rPr/>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All intercompany balances and transactions have been eliminated in consolidation.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does not have any components of other comprehensive income (loss) recorded within its condensed consolidated financial statements, and therefore, does not separately present a statement of comprehensive income (loss).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Segment Reporting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Fiscal Year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uses a 52- or 53-week fiscal year ending on the Sunday prior to or on December 31. In a 52-week fiscal year, each quarterly period is comprised of 13 weeks. The additional week in a 53-week fiscal year is added to the fourth quarter. Fiscal 2023 and 2022 consist of 53 and 52 weeks, respectively. The fiscal periods presented in this report are the quarters ended March 26, 2023 and March 27, 2022, respectively.</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Use of Estimates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2755"/>
                <wp:effectExtent l="0" t="0" r="0" b="0"/>
                <wp:wrapNone/>
                <wp:docPr id="31" name="Frame11"/>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9</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Recently Adopted Accounting Standards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March 2020, the Financial Accounting Standards Board ("FASB") issued Accounting Standards Update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FASB has extended the sunset date to December 31, 2024. The Company does not believe the impact of the transition from LIBOR to alternative reference rates is material to its consolidated financial statements.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February 2016, the FASB issued ASU No. 2016-02, Leases (Topic 842) ("ASC 842"), along with related clarifications and improvements. The pronouncement requires lessees to recognize a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adopted this standard effective December 27, 2021, electing the modified retrospective approach to apply the standard as of the transition date. We have elected the transition package of three practical expedients permitted under the new standard, which eliminates the requirement to reassess the conclusions about historical lease identifications, lease classifications, and initial direct costs. We did not elect the hindsight practical expedient, which permits the use of hindsight when determining lease terms and impairments of right-of-use assets. We elected to apply the practical expedient of combining lease and non-lease components. Additionally, we elected to utilize the short-term lease exception policy, which allows us to not apply the recognition requirements of this standard to leases with a term of 12 months or less. The adoption of this standard had a significant impact on the Company’s condensed consolidated balance sheet as we recognized the right-of-use asset and lease liabilities for our operating leases. The adoption had an immaterial impact on the condensed consolidated statement of operations, cash flows and overall liquidity. See Note 9. Leases for additional information.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Company reviewed all other recently issued accounting pronouncements and concluded that they were either not applicable or not expected to have a significant impact to its condensed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3.    REVENUE RECOGNITION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Delivery sales are generally fulfilled by third-party delivery partners whether ordered through the Portillo's app and website ("Dispatch Sales") or through third-party delivery partners ("Marketplace Sales"). Dispatch Sales include delivery and service fees as the Company controls the delivery. Revenue from Dispatch Sales is recognized when food is delivered to the customer. For these sales, the Company receives payment directly from the customer at the time of sale. Revenue for Marketplace Sales is recognized in the amount paid to the delivery partner by the customer for food and excludes delivery and service fees charged by the third-party delivery partner as the Company does not control the delivery. Revenue from Marketplace Sales is recognized when food is delivered to the customer. For these sales, the Company receives payment from the delivery partner subsequent to the transfer of order, which is generally paid one week in arrears. For all delivery sales of food, the Company is considered the principal and recognizes revenue on a gross basis.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condensed consolidated statements of operations. </w:t>
      </w:r>
      <w:r>
        <w:rPr>
          <w:rFonts w:ascii="Arial Narrow;sans-serif" w:hAnsi="Arial Narrow;sans-serif"/>
          <w:b w:val="false"/>
          <w:color w:val="000000"/>
          <w:sz w:val="20"/>
          <w:highlight w:val="white"/>
        </w:rPr>
        <w:t>The Company recognized gift card breakage</w:t>
      </w:r>
      <w:r>
        <w:rPr>
          <w:color w:val="000000"/>
        </w:rPr>
        <w:t xml:space="preserve"> </w:t>
      </w:r>
      <w:r>
        <w:rPr>
          <w:rFonts w:ascii="Arial Narrow;sans-serif" w:hAnsi="Arial Narrow;sans-serif"/>
          <w:b w:val="false"/>
          <w:color w:val="000000"/>
          <w:sz w:val="20"/>
        </w:rPr>
        <w:t xml:space="preserve">of $0.3 million for </w:t>
      </w:r>
      <w:r>
        <w:rPr>
          <w:rFonts w:ascii="Arial Narrow;sans-serif" w:hAnsi="Arial Narrow;sans-serif"/>
          <w:b w:val="false"/>
          <w:color w:val="000000"/>
          <w:sz w:val="20"/>
          <w:highlight w:val="white"/>
        </w:rPr>
        <w:t xml:space="preserve">the </w:t>
      </w:r>
      <w:r>
        <w:rPr>
          <w:rFonts w:ascii="Arial Narrow;sans-serif" w:hAnsi="Arial Narrow;sans-serif"/>
          <w:b w:val="false"/>
          <w:color w:val="000000"/>
          <w:sz w:val="20"/>
        </w:rPr>
        <w:t>quarters ended</w:t>
      </w:r>
      <w:r>
        <w:rPr>
          <w:color w:val="000000"/>
          <w:highlight w:val="white"/>
        </w:rPr>
        <w:t xml:space="preserve"> </w:t>
      </w:r>
      <w:r>
        <w:rPr>
          <w:rFonts w:ascii="Arial Narrow;sans-serif" w:hAnsi="Arial Narrow;sans-serif"/>
          <w:b w:val="false"/>
          <w:color w:val="000000"/>
          <w:sz w:val="20"/>
          <w:highlight w:val="white"/>
        </w:rPr>
        <w:t xml:space="preserve">March 26, 2023 and </w:t>
      </w:r>
      <w:r>
        <w:rPr>
          <w:rFonts w:ascii="Arial Narrow;sans-serif" w:hAnsi="Arial Narrow;sans-serif"/>
          <w:b w:val="false"/>
          <w:color w:val="000000"/>
          <w:sz w:val="20"/>
        </w:rPr>
        <w:t>March 27, 2022</w:t>
      </w:r>
      <w:r>
        <w:rPr>
          <w:rFonts w:ascii="Arial Narrow;sans-serif" w:hAnsi="Arial Narrow;sans-serif"/>
          <w:b w:val="false"/>
          <w:color w:val="000000"/>
          <w:sz w:val="20"/>
          <w:highlight w:val="white"/>
        </w:rPr>
        <w: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2755"/>
                <wp:effectExtent l="0" t="0" r="0" b="0"/>
                <wp:wrapNone/>
                <wp:docPr id="34" name="Frame12"/>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1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10</w:t>
                      </w:r>
                    </w:p>
                  </w:txbxContent>
                </v:textbox>
              </v:rect>
            </w:pict>
          </mc:Fallback>
        </mc:AlternateContent>
      </w:r>
    </w:p>
    <w:p>
      <w:pPr>
        <w:pStyle w:val="TextBody"/>
        <w:spacing w:lineRule="auto" w:line="288" w:before="0" w:after="0"/>
        <w:rPr>
          <w:rFonts w:ascii="Arial Narrow;sans-serif" w:hAnsi="Arial Narrow;sans-serif"/>
          <w:b/>
          <w:color w:val="000000"/>
          <w:sz w:val="18"/>
        </w:rPr>
      </w:pPr>
      <w:r>
        <w:rPr>
          <w:rFonts w:ascii="Arial Narrow;sans-serif" w:hAnsi="Arial Narrow;sans-serif"/>
          <w:b/>
          <w:color w:val="000000"/>
          <w:sz w:val="18"/>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Company’s revenue related to performance obligations not yet satisfied is revenue from gift cards sold but not yet redeemed. The gift card liability included in current deferred revenue on the condensed consolidated balance sheets is as follows (in thousands):</w:t>
      </w:r>
    </w:p>
    <w:p>
      <w:pPr>
        <w:pStyle w:val="TextBody"/>
        <w:spacing w:before="0" w:after="0"/>
        <w:rPr/>
      </w:pPr>
      <w:r>
        <w:rPr/>
      </w:r>
    </w:p>
    <w:tbl>
      <w:tblPr>
        <w:tblW w:w="4218" w:type="dxa"/>
        <w:jc w:val="center"/>
        <w:tblInd w:w="0" w:type="dxa"/>
        <w:tblCellMar>
          <w:top w:w="28" w:type="dxa"/>
          <w:left w:w="28" w:type="dxa"/>
          <w:bottom w:w="28" w:type="dxa"/>
          <w:right w:w="28" w:type="dxa"/>
        </w:tblCellMar>
      </w:tblPr>
      <w:tblGrid>
        <w:gridCol w:w="413"/>
        <w:gridCol w:w="362"/>
        <w:gridCol w:w="364"/>
        <w:gridCol w:w="255"/>
        <w:gridCol w:w="701"/>
        <w:gridCol w:w="154"/>
        <w:gridCol w:w="109"/>
        <w:gridCol w:w="109"/>
        <w:gridCol w:w="109"/>
        <w:gridCol w:w="317"/>
        <w:gridCol w:w="870"/>
        <w:gridCol w:w="192"/>
        <w:gridCol w:w="109"/>
        <w:gridCol w:w="154"/>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 liability</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7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6,988 </w:t>
            </w:r>
          </w:p>
        </w:tc>
        <w:tc>
          <w:tcPr>
            <w:tcW w:w="19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Revenue recognized in the condensed consolidated statement of operations for the redemption of gift cards that were included in their respective liability balances at the beginning of the year is as follows (in thousands):</w:t>
      </w:r>
    </w:p>
    <w:tbl>
      <w:tblPr>
        <w:tblW w:w="8078" w:type="dxa"/>
        <w:jc w:val="center"/>
        <w:tblInd w:w="0" w:type="dxa"/>
        <w:tblCellMar>
          <w:top w:w="28" w:type="dxa"/>
          <w:left w:w="28" w:type="dxa"/>
          <w:bottom w:w="28" w:type="dxa"/>
          <w:right w:w="28" w:type="dxa"/>
        </w:tblCellMar>
      </w:tblPr>
      <w:tblGrid>
        <w:gridCol w:w="1818"/>
        <w:gridCol w:w="1597"/>
        <w:gridCol w:w="1610"/>
        <w:gridCol w:w="109"/>
        <w:gridCol w:w="109"/>
        <w:gridCol w:w="122"/>
        <w:gridCol w:w="122"/>
        <w:gridCol w:w="255"/>
        <w:gridCol w:w="701"/>
        <w:gridCol w:w="154"/>
        <w:gridCol w:w="109"/>
        <w:gridCol w:w="109"/>
        <w:gridCol w:w="109"/>
        <w:gridCol w:w="251"/>
        <w:gridCol w:w="689"/>
        <w:gridCol w:w="214"/>
      </w:tblGrid>
      <w:tr>
        <w:trPr/>
        <w:tc>
          <w:tcPr>
            <w:tcW w:w="1818"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50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 recognized from gift card liability balance at the beginning of the year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1,937 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4.    INVENTORIES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Inventories consisted of the following (in thousands):</w:t>
      </w:r>
    </w:p>
    <w:tbl>
      <w:tblPr>
        <w:tblW w:w="4584" w:type="dxa"/>
        <w:jc w:val="left"/>
        <w:tblInd w:w="0" w:type="dxa"/>
        <w:tblCellMar>
          <w:top w:w="28" w:type="dxa"/>
          <w:left w:w="28" w:type="dxa"/>
          <w:bottom w:w="28" w:type="dxa"/>
          <w:right w:w="28" w:type="dxa"/>
        </w:tblCellMar>
      </w:tblPr>
      <w:tblGrid>
        <w:gridCol w:w="505"/>
        <w:gridCol w:w="444"/>
        <w:gridCol w:w="446"/>
        <w:gridCol w:w="109"/>
        <w:gridCol w:w="109"/>
        <w:gridCol w:w="109"/>
        <w:gridCol w:w="255"/>
        <w:gridCol w:w="701"/>
        <w:gridCol w:w="154"/>
        <w:gridCol w:w="109"/>
        <w:gridCol w:w="109"/>
        <w:gridCol w:w="109"/>
        <w:gridCol w:w="310"/>
        <w:gridCol w:w="849"/>
        <w:gridCol w:w="266"/>
      </w:tblGrid>
      <w:tr>
        <w:trPr/>
        <w:tc>
          <w:tcPr>
            <w:tcW w:w="50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139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Raw materials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3,338 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5,722 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Work in progress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104 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Finished goods</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962 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876 </w:t>
            </w:r>
          </w:p>
        </w:tc>
        <w:tc>
          <w:tcPr>
            <w:tcW w:w="2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Consigned 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7,387 </w:t>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5.    PROPERTY &amp; EQUIPMENT, NET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Property and equipment, net consisted of the following (in thousands):</w:t>
      </w:r>
    </w:p>
    <w:tbl>
      <w:tblPr>
        <w:tblW w:w="5096" w:type="dxa"/>
        <w:jc w:val="left"/>
        <w:tblInd w:w="0" w:type="dxa"/>
        <w:tblCellMar>
          <w:top w:w="28" w:type="dxa"/>
          <w:left w:w="28" w:type="dxa"/>
          <w:bottom w:w="28" w:type="dxa"/>
          <w:right w:w="28" w:type="dxa"/>
        </w:tblCellMar>
      </w:tblPr>
      <w:tblGrid>
        <w:gridCol w:w="808"/>
        <w:gridCol w:w="711"/>
        <w:gridCol w:w="716"/>
        <w:gridCol w:w="214"/>
        <w:gridCol w:w="766"/>
        <w:gridCol w:w="129"/>
        <w:gridCol w:w="109"/>
        <w:gridCol w:w="109"/>
        <w:gridCol w:w="109"/>
        <w:gridCol w:w="263"/>
        <w:gridCol w:w="939"/>
        <w:gridCol w:w="223"/>
      </w:tblGrid>
      <w:tr>
        <w:trPr/>
        <w:tc>
          <w:tcPr>
            <w:tcW w:w="808"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improvements</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16,369 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Furniture, fixtures, and equipment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133,887 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126,130 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172,337 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153,341 </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Transportation equipment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2,281 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Construction-in-progress</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23,149 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35,386 </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348,402 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333,507 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Less accumulated depreciation </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(111,186)</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(106,471)</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237,216 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227,036 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Depreciation expense </w:t>
      </w:r>
      <w:r>
        <w:rPr>
          <w:rFonts w:ascii="Arial Narrow;sans-serif" w:hAnsi="Arial Narrow;sans-serif"/>
          <w:b w:val="false"/>
          <w:color w:val="000000"/>
          <w:sz w:val="20"/>
          <w:highlight w:val="white"/>
        </w:rPr>
        <w:t>w</w:t>
      </w:r>
      <w:r>
        <w:rPr>
          <w:rFonts w:ascii="Arial Narrow;sans-serif" w:hAnsi="Arial Narrow;sans-serif"/>
          <w:b w:val="false"/>
          <w:color w:val="000000"/>
          <w:sz w:val="20"/>
        </w:rPr>
        <w:t xml:space="preserve">as $5.0 million and </w:t>
      </w:r>
      <w:r>
        <w:rPr>
          <w:rFonts w:ascii="Arial Narrow;sans-serif" w:hAnsi="Arial Narrow;sans-serif"/>
          <w:b w:val="false"/>
          <w:color w:val="000000"/>
          <w:sz w:val="20"/>
          <w:highlight w:val="white"/>
        </w:rPr>
        <w:t>$4.4 million</w:t>
      </w:r>
      <w:r>
        <w:rPr>
          <w:color w:val="000000"/>
        </w:rPr>
        <w:t xml:space="preserve"> </w:t>
      </w:r>
      <w:r>
        <w:rPr>
          <w:rFonts w:ascii="Arial Narrow;sans-serif" w:hAnsi="Arial Narrow;sans-serif"/>
          <w:b w:val="false"/>
          <w:color w:val="000000"/>
          <w:sz w:val="20"/>
        </w:rPr>
        <w:t xml:space="preserve">for the quarters ended March 26, 2023 and </w:t>
      </w:r>
      <w:r>
        <w:rPr>
          <w:rFonts w:ascii="Arial Narrow;sans-serif" w:hAnsi="Arial Narrow;sans-serif"/>
          <w:b w:val="false"/>
          <w:color w:val="000000"/>
          <w:sz w:val="20"/>
          <w:highlight w:val="white"/>
        </w:rPr>
        <w:t>March 27, 2022</w:t>
      </w:r>
      <w:r>
        <w:rPr>
          <w:rFonts w:ascii="Arial Narrow;sans-serif" w:hAnsi="Arial Narrow;sans-serif"/>
          <w:b w:val="false"/>
          <w:color w:val="000000"/>
          <w:sz w:val="20"/>
        </w:rPr>
        <w:t>, respectively</w:t>
      </w:r>
      <w:r>
        <w:rPr>
          <w:rFonts w:ascii="Arial Narrow;sans-serif" w:hAnsi="Arial Narrow;sans-serif"/>
          <w:b w:val="false"/>
          <w:color w:val="000000"/>
          <w:sz w:val="20"/>
          <w:highlight w:val="white"/>
        </w:rPr>
        <w:t xml:space="preserve">, </w:t>
      </w:r>
      <w:r>
        <w:rPr>
          <w:rFonts w:ascii="Arial Narrow;sans-serif" w:hAnsi="Arial Narrow;sans-serif"/>
          <w:b w:val="false"/>
          <w:color w:val="000000"/>
          <w:sz w:val="20"/>
        </w:rPr>
        <w:t>and is included in depreciation and amortization in the condensed consolidated statements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52755"/>
                <wp:effectExtent l="0" t="0" r="0" b="0"/>
                <wp:wrapNone/>
                <wp:docPr id="37" name="Frame13"/>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1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1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11</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6.    GOODWILL &amp; INTANGIBLE ASSETS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Company has one reporting unit for goodwill which is evaluated for impairment annually in the fourth quarter of each fiscal year.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Intangibles, net consisted of the following (in thousands):</w:t>
      </w:r>
    </w:p>
    <w:tbl>
      <w:tblPr>
        <w:tblW w:w="8304" w:type="dxa"/>
        <w:jc w:val="left"/>
        <w:tblInd w:w="0" w:type="dxa"/>
        <w:tblCellMar>
          <w:top w:w="28" w:type="dxa"/>
          <w:left w:w="28" w:type="dxa"/>
          <w:bottom w:w="28" w:type="dxa"/>
          <w:right w:w="28" w:type="dxa"/>
        </w:tblCellMar>
      </w:tblPr>
      <w:tblGrid>
        <w:gridCol w:w="838"/>
        <w:gridCol w:w="735"/>
        <w:gridCol w:w="737"/>
        <w:gridCol w:w="342"/>
        <w:gridCol w:w="1222"/>
        <w:gridCol w:w="206"/>
        <w:gridCol w:w="109"/>
        <w:gridCol w:w="109"/>
        <w:gridCol w:w="109"/>
        <w:gridCol w:w="409"/>
        <w:gridCol w:w="1293"/>
        <w:gridCol w:w="248"/>
        <w:gridCol w:w="109"/>
        <w:gridCol w:w="109"/>
        <w:gridCol w:w="109"/>
        <w:gridCol w:w="299"/>
        <w:gridCol w:w="1067"/>
        <w:gridCol w:w="254"/>
      </w:tblGrid>
      <w:tr>
        <w:trPr/>
        <w:tc>
          <w:tcPr>
            <w:tcW w:w="838"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Gross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Net Carrying Amount</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Indefinite-lived intangible assets:</w:t>
            </w:r>
          </w:p>
        </w:tc>
        <w:tc>
          <w:tcPr>
            <w:tcW w:w="17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34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Intangibles subject to amortization:</w:t>
            </w:r>
          </w:p>
        </w:tc>
        <w:tc>
          <w:tcPr>
            <w:tcW w:w="17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Recipes</w:t>
            </w:r>
          </w:p>
        </w:tc>
        <w:tc>
          <w:tcPr>
            <w:tcW w:w="15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56,117 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(25,039)</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31,078 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280,042 </w:t>
            </w:r>
          </w:p>
        </w:tc>
        <w:tc>
          <w:tcPr>
            <w:tcW w:w="2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(25,039)</w:t>
            </w:r>
          </w:p>
        </w:tc>
        <w:tc>
          <w:tcPr>
            <w:tcW w:w="2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255,003 </w:t>
            </w:r>
          </w:p>
        </w:tc>
        <w:tc>
          <w:tcPr>
            <w:tcW w:w="2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161" w:type="dxa"/>
        <w:jc w:val="left"/>
        <w:tblInd w:w="0" w:type="dxa"/>
        <w:tblCellMar>
          <w:top w:w="28" w:type="dxa"/>
          <w:left w:w="28" w:type="dxa"/>
          <w:bottom w:w="28" w:type="dxa"/>
          <w:right w:w="28" w:type="dxa"/>
        </w:tblCellMar>
      </w:tblPr>
      <w:tblGrid>
        <w:gridCol w:w="838"/>
        <w:gridCol w:w="735"/>
        <w:gridCol w:w="737"/>
        <w:gridCol w:w="342"/>
        <w:gridCol w:w="1222"/>
        <w:gridCol w:w="206"/>
        <w:gridCol w:w="109"/>
        <w:gridCol w:w="109"/>
        <w:gridCol w:w="109"/>
        <w:gridCol w:w="409"/>
        <w:gridCol w:w="1293"/>
        <w:gridCol w:w="248"/>
        <w:gridCol w:w="109"/>
        <w:gridCol w:w="109"/>
        <w:gridCol w:w="109"/>
        <w:gridCol w:w="351"/>
        <w:gridCol w:w="965"/>
        <w:gridCol w:w="214"/>
        <w:gridCol w:w="109"/>
        <w:gridCol w:w="109"/>
        <w:gridCol w:w="109"/>
        <w:gridCol w:w="299"/>
        <w:gridCol w:w="1067"/>
        <w:gridCol w:w="254"/>
      </w:tblGrid>
      <w:tr>
        <w:trPr/>
        <w:tc>
          <w:tcPr>
            <w:tcW w:w="838"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1"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Gross 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ASC 842 Adjustment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Net Carrying Amount</w:t>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Indefinite-lived intangible assets:</w:t>
            </w:r>
          </w:p>
        </w:tc>
        <w:tc>
          <w:tcPr>
            <w:tcW w:w="17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 names</w:t>
            </w:r>
          </w:p>
        </w:tc>
        <w:tc>
          <w:tcPr>
            <w:tcW w:w="34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223,925 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Intangibles subject to amortization:</w:t>
            </w:r>
          </w:p>
        </w:tc>
        <w:tc>
          <w:tcPr>
            <w:tcW w:w="177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Recipes</w:t>
            </w:r>
          </w:p>
        </w:tc>
        <w:tc>
          <w:tcPr>
            <w:tcW w:w="15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56,117 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(24,317)</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31,800 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Covenants not-to-compete</w:t>
            </w:r>
          </w:p>
        </w:tc>
        <w:tc>
          <w:tcPr>
            <w:tcW w:w="156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40,799 </w:t>
            </w:r>
          </w:p>
        </w:tc>
        <w:tc>
          <w:tcPr>
            <w:tcW w:w="2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(40,799)</w:t>
            </w:r>
          </w:p>
        </w:tc>
        <w:tc>
          <w:tcPr>
            <w:tcW w:w="2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Favorable rental contracts</w:t>
            </w:r>
          </w:p>
        </w:tc>
        <w:tc>
          <w:tcPr>
            <w:tcW w:w="15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2,991 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(1,142)</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323,832 </w:t>
            </w:r>
          </w:p>
        </w:tc>
        <w:tc>
          <w:tcPr>
            <w:tcW w:w="2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29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(66,965)</w:t>
            </w:r>
          </w:p>
        </w:tc>
        <w:tc>
          <w:tcPr>
            <w:tcW w:w="2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(1,142)</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255,725 </w:t>
            </w:r>
          </w:p>
        </w:tc>
        <w:tc>
          <w:tcPr>
            <w:tcW w:w="2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Amortization expense was $0.7 million and $0.8 million for the quarters ended March 26, 2023 and </w:t>
      </w:r>
      <w:r>
        <w:rPr>
          <w:rFonts w:ascii="Arial Narrow;sans-serif" w:hAnsi="Arial Narrow;sans-serif"/>
          <w:b w:val="false"/>
          <w:color w:val="000000"/>
          <w:sz w:val="20"/>
          <w:highlight w:val="white"/>
        </w:rPr>
        <w:t>March 27, 2022</w:t>
      </w:r>
      <w:r>
        <w:rPr>
          <w:rFonts w:ascii="Arial Narrow;sans-serif" w:hAnsi="Arial Narrow;sans-serif"/>
          <w:b w:val="false"/>
          <w:color w:val="000000"/>
          <w:sz w:val="20"/>
        </w:rPr>
        <w:t>, respectively,</w:t>
      </w:r>
      <w:r>
        <w:rPr>
          <w:color w:val="000000"/>
          <w:highlight w:val="white"/>
        </w:rPr>
        <w:t xml:space="preserve"> </w:t>
      </w:r>
      <w:r>
        <w:rPr>
          <w:rFonts w:ascii="Arial Narrow;sans-serif" w:hAnsi="Arial Narrow;sans-serif"/>
          <w:b w:val="false"/>
          <w:color w:val="000000"/>
          <w:sz w:val="20"/>
        </w:rPr>
        <w:t>and is included in depreciation and amortization in the condensed consolidated statements of operations.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The estimated aggregate amortization expense related to intangible assets held at March 26, 2023</w:t>
      </w:r>
      <w:r>
        <w:rPr>
          <w:color w:val="000000"/>
          <w:highlight w:val="white"/>
        </w:rPr>
        <w:t xml:space="preserve"> </w:t>
      </w:r>
      <w:r>
        <w:rPr>
          <w:rFonts w:ascii="Arial Narrow;sans-serif" w:hAnsi="Arial Narrow;sans-serif"/>
          <w:b w:val="false"/>
          <w:color w:val="000000"/>
          <w:sz w:val="20"/>
          <w:highlight w:val="white"/>
        </w:rPr>
        <w:t xml:space="preserve">for the remainder of this year and the succeeding </w:t>
      </w:r>
      <w:r>
        <w:rPr>
          <w:rFonts w:ascii="Arial Narrow;sans-serif" w:hAnsi="Arial Narrow;sans-serif"/>
          <w:b w:val="false"/>
          <w:color w:val="000000"/>
          <w:sz w:val="20"/>
        </w:rPr>
        <w:t>five years</w:t>
      </w:r>
      <w:r>
        <w:rPr>
          <w:color w:val="000000"/>
          <w:highlight w:val="white"/>
        </w:rPr>
        <w:t xml:space="preserve"> </w:t>
      </w:r>
      <w:r>
        <w:rPr>
          <w:rFonts w:ascii="Arial Narrow;sans-serif" w:hAnsi="Arial Narrow;sans-serif"/>
          <w:b w:val="false"/>
          <w:color w:val="000000"/>
          <w:sz w:val="20"/>
          <w:highlight w:val="white"/>
        </w:rPr>
        <w:t>and thereafter is as follows (in thousands):</w:t>
      </w:r>
    </w:p>
    <w:tbl>
      <w:tblPr>
        <w:tblW w:w="5114" w:type="dxa"/>
        <w:jc w:val="left"/>
        <w:tblInd w:w="0" w:type="dxa"/>
        <w:tblCellMar>
          <w:top w:w="28" w:type="dxa"/>
          <w:left w:w="28" w:type="dxa"/>
          <w:bottom w:w="28" w:type="dxa"/>
          <w:right w:w="28" w:type="dxa"/>
        </w:tblCellMar>
      </w:tblPr>
      <w:tblGrid>
        <w:gridCol w:w="1206"/>
        <w:gridCol w:w="1060"/>
        <w:gridCol w:w="1064"/>
        <w:gridCol w:w="355"/>
        <w:gridCol w:w="1124"/>
        <w:gridCol w:w="305"/>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Estimated Amortization</w:t>
            </w:r>
          </w:p>
        </w:tc>
      </w:tr>
      <w:tr>
        <w:trPr/>
        <w:tc>
          <w:tcPr>
            <w:tcW w:w="33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(excluding the quarter ending March 26, 2023)</w:t>
            </w:r>
          </w:p>
        </w:tc>
        <w:tc>
          <w:tcPr>
            <w:tcW w:w="3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2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2,167 </w:t>
            </w:r>
          </w:p>
        </w:tc>
        <w:tc>
          <w:tcPr>
            <w:tcW w:w="30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14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2,813 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147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14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147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147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2,707 </w:t>
            </w:r>
          </w:p>
        </w:tc>
        <w:tc>
          <w:tcPr>
            <w:tcW w:w="3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and thereafter</w:t>
            </w:r>
          </w:p>
        </w:tc>
        <w:tc>
          <w:tcPr>
            <w:tcW w:w="147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15,270 </w:t>
            </w:r>
          </w:p>
        </w:tc>
        <w:tc>
          <w:tcPr>
            <w:tcW w:w="30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31,078 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52755"/>
                <wp:effectExtent l="0" t="0" r="0" b="0"/>
                <wp:wrapNone/>
                <wp:docPr id="40" name="Frame14"/>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6" descr=""/>
                                          <pic:cNvPicPr>
                                            <a:picLocks noChangeAspect="1" noChangeArrowheads="1"/>
                                          </pic:cNvPicPr>
                                        </pic:nvPicPr>
                                        <pic:blipFill>
                                          <a:blip r:embed="rId1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12</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7.    FAIR VALUE OF FINANCIAL INSTRUMENTS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Assets and Liabilities Measured at Fair Value on a Recurring Basis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carrying value of the Company's cash and cash equivalents, restricted cash, accounts receivable, accounts payable and all other current assets and liabilities approximate fair values due to the short-term nature of these financial instruments.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Other assets consist of a deferred compensation plan with related assets held in a rabbi trust. </w:t>
      </w:r>
    </w:p>
    <w:p>
      <w:pPr>
        <w:pStyle w:val="TextBody"/>
        <w:spacing w:before="0" w:after="0"/>
        <w:rPr/>
      </w:pPr>
      <w:r>
        <w:rPr/>
      </w:r>
    </w:p>
    <w:p>
      <w:pPr>
        <w:pStyle w:val="TextBody"/>
        <w:spacing w:lineRule="auto" w:line="288" w:before="0" w:after="0"/>
        <w:rPr/>
      </w:pPr>
      <w:r>
        <w:rPr>
          <w:rFonts w:ascii="Arial Narrow;sans-serif" w:hAnsi="Arial Narrow;sans-serif"/>
          <w:b/>
          <w:color w:val="414042"/>
          <w:sz w:val="20"/>
        </w:rPr>
        <w:t xml:space="preserve">Deferred Compensation Plan - </w:t>
      </w:r>
      <w:r>
        <w:rPr>
          <w:rFonts w:ascii="Arial Narrow;sans-serif" w:hAnsi="Arial Narrow;sans-serif"/>
          <w:b w:val="false"/>
          <w:color w:val="000000"/>
          <w:sz w:val="20"/>
        </w:rPr>
        <w:t xml:space="preserve">The Company maintains a rabbi trust to fund obligations under a deferred compensation plan. Amounts in the rabbi trust are invested in mutual funds, which are designated as trading securities carried at fair value. The fair value measurement of these trading securities is considered Level 1 of the fair value hierarchy as they are measured using quoted market prices.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As of March 26, 2023 and December 25, 2022, the fair value of the mutual fund investments and deferred compensation obligations were as follows (in thousands):</w:t>
      </w:r>
    </w:p>
    <w:p>
      <w:pPr>
        <w:pStyle w:val="TextBody"/>
        <w:spacing w:before="0" w:after="0"/>
        <w:rPr/>
      </w:pPr>
      <w:r>
        <w:rPr/>
      </w:r>
    </w:p>
    <w:tbl>
      <w:tblPr>
        <w:tblW w:w="8597" w:type="dxa"/>
        <w:jc w:val="left"/>
        <w:tblInd w:w="0" w:type="dxa"/>
        <w:tblCellMar>
          <w:top w:w="28" w:type="dxa"/>
          <w:left w:w="28" w:type="dxa"/>
          <w:bottom w:w="28" w:type="dxa"/>
          <w:right w:w="28" w:type="dxa"/>
        </w:tblCellMar>
      </w:tblPr>
      <w:tblGrid>
        <w:gridCol w:w="1516"/>
        <w:gridCol w:w="1330"/>
        <w:gridCol w:w="1339"/>
        <w:gridCol w:w="255"/>
        <w:gridCol w:w="701"/>
        <w:gridCol w:w="154"/>
        <w:gridCol w:w="109"/>
        <w:gridCol w:w="1381"/>
        <w:gridCol w:w="109"/>
        <w:gridCol w:w="109"/>
        <w:gridCol w:w="109"/>
        <w:gridCol w:w="109"/>
        <w:gridCol w:w="109"/>
        <w:gridCol w:w="181"/>
        <w:gridCol w:w="496"/>
        <w:gridCol w:w="109"/>
        <w:gridCol w:w="109"/>
        <w:gridCol w:w="109"/>
        <w:gridCol w:w="109"/>
        <w:gridCol w:w="154"/>
      </w:tblGrid>
      <w:tr>
        <w:trPr/>
        <w:tc>
          <w:tcPr>
            <w:tcW w:w="1516"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c>
          <w:tcPr>
            <w:tcW w:w="1812" w:type="dxa"/>
            <w:gridSpan w:val="12"/>
            <w:tcBorders/>
            <w:shd w:fill="auto" w:val="clear"/>
          </w:tcPr>
          <w:p>
            <w:pPr>
              <w:pStyle w:val="TableContents"/>
              <w:spacing w:before="0" w:after="283"/>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 Narrow;sans-serif" w:hAnsi="Arial Narrow;sans-serif"/>
                <w:b/>
                <w:color w:val="000000"/>
                <w:sz w:val="18"/>
              </w:rPr>
              <w:t xml:space="preserve">Assets </w:t>
            </w:r>
            <w:r>
              <w:rPr>
                <w:rFonts w:ascii="Arial Narrow;sans-serif" w:hAnsi="Arial Narrow;sans-serif"/>
                <w:b w:val="false"/>
                <w:color w:val="000000"/>
                <w:sz w:val="18"/>
              </w:rPr>
              <w:t>- Investments designated for deferred compensation plan</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Cash/money accounts</w:t>
            </w:r>
          </w:p>
        </w:tc>
        <w:tc>
          <w:tcPr>
            <w:tcW w:w="255"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975 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Mutual funds</w:t>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3,405 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3,711 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60"/>
        <w:rPr>
          <w:rFonts w:ascii="Arial Narrow;sans-serif" w:hAnsi="Arial Narrow;sans-serif"/>
          <w:b w:val="false"/>
          <w:color w:val="000000"/>
          <w:sz w:val="20"/>
        </w:rPr>
      </w:pPr>
      <w:r>
        <w:rPr>
          <w:rFonts w:ascii="Arial Narrow;sans-serif" w:hAnsi="Arial Narrow;sans-serif"/>
          <w:b w:val="false"/>
          <w:color w:val="000000"/>
          <w:sz w:val="20"/>
        </w:rPr>
        <w:t>As of March 26, 2023 and December 25, 2022, we had no Level 2 or Level 3 assets.</w:t>
      </w:r>
    </w:p>
    <w:p>
      <w:pPr>
        <w:pStyle w:val="TextBody"/>
        <w:spacing w:lineRule="auto" w:line="288" w:before="0" w:after="160"/>
        <w:rPr>
          <w:rFonts w:ascii="Arial Narrow;sans-serif" w:hAnsi="Arial Narrow;sans-serif"/>
          <w:b w:val="false"/>
          <w:color w:val="000000"/>
          <w:sz w:val="20"/>
        </w:rPr>
      </w:pPr>
      <w:r>
        <w:rPr>
          <w:rFonts w:ascii="Arial Narrow;sans-serif" w:hAnsi="Arial Narrow;sans-serif"/>
          <w:b w:val="false"/>
          <w:color w:val="000000"/>
          <w:sz w:val="20"/>
        </w:rPr>
        <w:t>The deferred compensation investments and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Refer to Note 8. Debt for additional information relating to the fair value of the Company's outstanding debt instruments.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Assets and Liabilities Measured at Fair Value on a Non-Recurring Basis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quarters ended March 26, 2023 and March 27, 2022. </w:t>
      </w:r>
    </w:p>
    <w:p>
      <w:pPr>
        <w:pStyle w:val="TextBody"/>
        <w:spacing w:before="0" w:after="1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52755"/>
                <wp:effectExtent l="0" t="0" r="0" b="0"/>
                <wp:wrapNone/>
                <wp:docPr id="43" name="Frame15"/>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13</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8.    DEBT </w:t>
      </w:r>
    </w:p>
    <w:p>
      <w:pPr>
        <w:pStyle w:val="TextBody"/>
        <w:spacing w:before="0" w:after="0"/>
        <w:rPr/>
      </w:pPr>
      <w:r>
        <w:rPr/>
      </w:r>
    </w:p>
    <w:p>
      <w:pPr>
        <w:pStyle w:val="TextBody"/>
        <w:spacing w:lineRule="auto" w:line="288" w:before="0" w:after="240"/>
        <w:rPr>
          <w:rFonts w:ascii="Arial Narrow;sans-serif" w:hAnsi="Arial Narrow;sans-serif"/>
          <w:b w:val="false"/>
          <w:color w:val="000000"/>
          <w:sz w:val="20"/>
        </w:rPr>
      </w:pPr>
      <w:r>
        <w:rPr>
          <w:rFonts w:ascii="Arial Narrow;sans-serif" w:hAnsi="Arial Narrow;sans-serif"/>
          <w:b w:val="false"/>
          <w:color w:val="000000"/>
          <w:sz w:val="20"/>
        </w:rPr>
        <w:t>Debt consisted of the following (in thousands):</w:t>
      </w:r>
    </w:p>
    <w:tbl>
      <w:tblPr>
        <w:tblW w:w="5920" w:type="dxa"/>
        <w:jc w:val="left"/>
        <w:tblInd w:w="0" w:type="dxa"/>
        <w:tblCellMar>
          <w:top w:w="28" w:type="dxa"/>
          <w:left w:w="28" w:type="dxa"/>
          <w:bottom w:w="28" w:type="dxa"/>
          <w:right w:w="28" w:type="dxa"/>
        </w:tblCellMar>
      </w:tblPr>
      <w:tblGrid>
        <w:gridCol w:w="1107"/>
        <w:gridCol w:w="969"/>
        <w:gridCol w:w="983"/>
        <w:gridCol w:w="214"/>
        <w:gridCol w:w="766"/>
        <w:gridCol w:w="129"/>
        <w:gridCol w:w="109"/>
        <w:gridCol w:w="109"/>
        <w:gridCol w:w="109"/>
        <w:gridCol w:w="263"/>
        <w:gridCol w:w="939"/>
        <w:gridCol w:w="223"/>
      </w:tblGrid>
      <w:tr>
        <w:trPr/>
        <w:tc>
          <w:tcPr>
            <w:tcW w:w="1107"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Term Loan</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2014 Term B-3 Loans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322,428 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Revolver Facility</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Unamortized discount and debt issuance costs</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(3,521)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(3,848)</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debt, net</w:t>
            </w:r>
          </w:p>
        </w:tc>
        <w:tc>
          <w:tcPr>
            <w:tcW w:w="98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306,479 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318,580 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Short-term debt</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(10,000)</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 of long-term debt</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(7,500)</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(4,155)</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288,979 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314,425 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2023 Credit Agreement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On February 2, 2023 (the "Closing Date"), PHD Intermediate LLC (“Holdings”), Portillo’s Holdings LLC (the “Borrower”), the other Guarantors party thereto from time to time, each lender party thereto from time to time and Fifth Third Bank, National Association, as Administrative Agent, L/C Issuer and Swing Line Lender entered into a credit agreement (“2023 Credit Agreement”) which provides for a term A loan (the "2023 Term Loan") in an initial aggregate principal amount of $300.0 million and revolving credit commitments in an initial aggregate principal amount of $100.0 million (the “2023 Revolver Facility”). The 2023 Term Loan and 2023 Revolver Facility are scheduled to mature on February 2, 2028.</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2023 Term Loan and the 2023 Revolver Facility will accrue interest at the forward-looking secured overnight financing rate (“SOFR”) plus an applicable rate determined upon the consolidated total net rent adjusted leverage ratio, subject to a floor of 0.00% (plus a credit spread adjustment of 0.10% per annum for 1-month interest periods and 0.15% for 3-month interest periods).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As of March 26, 2023, the interest rate on the 2023 Term Loan and 2023 Revolver Facility was 7.59% and 7.47%, respectively. Pursuant to the 2023 Credit Agreement, as of March 26, 2023, the commitment fees to maintain the 2023 Revolver Facility were 0.250%, letter of credit fees were 2.75%, and letter of credit fronting fees were 0.125%. Commitment fees, letter of credit fees, and letter of credit fronting fees are recorded as interest expense in the condensed consolidated statements of operations. As of March 26, 2023, the effective interest rate was 8.09%.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2023 Term Loan will amortize in equal quarterly installments in aggregate annual amounts equal to $7.5 million for the first two (2) years following the Closing Date, (b) $15.0 million for the third (3rd) and fourth (4th) years following the Closing Date, and (c) $30.0 million for the fifth (5th) year following the Closing Date, commencing on the last day of the first full fiscal quarter ended after the Closing Date, with the balance payable on the final maturity date.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As of March 26, 2023, outstanding borrowings under the 2023 Credit Agreement totaled $310.0 million, comprising $300.0 million under the 2023 Term Loan and $10.0 million under the 2023 Revolver Facility. Letters of credit issued under the 2023 Revolver Facility totaled $4.4 million. As a result, as of March 26, 2023, the Company had $85.6 million available under the 2023 Revolver Facility.</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2014 Credit Agreement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Holdings, the Borrower and certain of its subsidiaries entered into a credit agreement ("2014 Credit Agreement"), dated as of August 1, 2014 and as amended October 25, 2016, May 18, 2018 and December 6, 2019, with UBS AG, Stamford Branch, as the administrative agent and collateral agent, and other lenders from time to time party thereto (the “2014 Lenders”). The 2014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“2014 Revolving Facility” and the loans thereunder, the “2014 Revolving Loans”).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2755"/>
                <wp:effectExtent l="0" t="0" r="0" b="0"/>
                <wp:wrapNone/>
                <wp:docPr id="46" name="Frame16"/>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14</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On December 6, 2019, the Borrower entered a third amendment to the 2014 Credit Agreement (the “Third Amendment to 2014 Credit Agreement”) whereby the aggregate principal amount of the term loans as of the effective date of the Third Amendment to 2014 Credit Agreement was $332.4 million (the “2014 Term B-3 Loans”), and the 2014 Revolving Facility was increased to $50.0 million. The maturity date with respect to the 2014 Term B-3 Loans was extended to September 6, 2024, and the maturity date with respect to the 2014 Revolving Loans was extended to June 6, 2024.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Third Amendment to 2014 Credit Agreement, the interest rates spread for the 2014 Term B-3 Loans increased by 100 basis points to 5.50% for the adjusted London interbank offered rate ("Eurocurrency Rate") loans. As of March 27, 2022, the interest rate on the 2014 Term B-3 Loans was 6.50%. Beginning with December 31, 2019, the Company is required to pay on the last business day of each calendar quarter, March 31, June 30, September 30, and December 31, an aggregate principal amount of $0.8 million.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As of December 25, 2022, the Company had no borrowings under the 2014 Revolving Facility. As of March 27, 2022, the interest rate on the 2014 Revolving Facility was 3.25%, subject to change based on a consolidated first lien net leverage ratio as defined in the 2014 Credit Agreement. As of March 27, 2022, the commitment fees, pursuant to the 2014 Credit Agreement, to maintain the 2014 Revolving Facility were 0.250%. Also pursuant to the 2014 Credit Agreement, as of March 27, 2022, letter of credit fronting fees were 0.125%. Commitment fees and letter of credit fronting fees are recorded as interest expense in the condensed consolidated statements of operations. As of March 27, 2022, the effective interest rate was</w:t>
      </w:r>
      <w:r>
        <w:rPr>
          <w:color w:val="000000"/>
          <w:highlight w:val="white"/>
        </w:rPr>
        <w:t xml:space="preserve"> </w:t>
      </w:r>
      <w:r>
        <w:rPr>
          <w:rFonts w:ascii="Arial Narrow;sans-serif" w:hAnsi="Arial Narrow;sans-serif"/>
          <w:b w:val="false"/>
          <w:color w:val="000000"/>
          <w:sz w:val="20"/>
          <w:highlight w:val="white"/>
        </w:rPr>
        <w:t>7.74%</w:t>
      </w:r>
      <w:r>
        <w:rPr>
          <w:rFonts w:ascii="Arial Narrow;sans-serif" w:hAnsi="Arial Narrow;sans-serif"/>
          <w:b w:val="false"/>
          <w:color w:val="000000"/>
          <w:sz w:val="20"/>
        </w:rPr>
        <w: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Company had $4.2 million of letters of credit issued against the 2014 Revolving Facility as of December 25, 2022.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On February 2, 2023, the Company used proceeds from the 2023 Term Loan and 2023 Revolver Facility, along with cash on hand, to pay off the 2014 Credit Agreement in full in the amount of $321.8 million. The 2023 Revolver Facility under the 2023 Credit Agreement replaces the $50.0 million 2014 Revolving Facility under the 2014 Credit Agreement.</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Discount and Debt Issuance Costs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Pursuant to the 2023 Credit Agreement, the Company capitalized deferred financing costs and issuance discount of $3.6 million which will be amortized over the term of the 2023 Credit Agreement.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repayment of the 2014 Credit Agreement as described above, deferred financing costs and original issuance discount of $3.5 million were recorded as a loss on debt extinguishment during the quarter ended March 26, 2023 in the condensed consolidated statement of operations.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amortized $0.3 million and $0.4 million of deferred financing costs during the quarters ended March 26, 2023 and March 27, 2022, respectively, which is included in interest expense in the condensed consolidated statements of operations. In addition, the Company also amortized $0.2 million and $0.2 million in original issue discount related to the long-term debt during the quarters ended March 26, 2023 and March 27, 2022, respectively, which is included in interest expense in the condensed consolidated statements of operations.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Total interest costs incurred were $7.4 million and $6.1 million for the quarters ended March 26, 2023 and March 27, 2022, respectively.</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As of March 26, 2023 and December 25, 2022,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2023 Credit Agreement is guaranteed by all domestic subsidiaries of the Borrower (subject to customary exceptions) and secured by liens on substantially all of the assets of Holdings, the Borrower and the subsidiary guarantors (subject to customary exceptions).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2023 Credit Agreement also includes certain financial covenants with respect to cash interest coverage and total net rent adjusted leverage. As of March 26, 2023, the Company was in compliance with all covenants in the 2023 Credit Agreement.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2755"/>
                <wp:effectExtent l="0" t="0" r="0" b="0"/>
                <wp:wrapNone/>
                <wp:docPr id="49" name="Frame17"/>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2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15</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9.    LEASES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We qualify as an emerging growth company pursuant to the provisions of the Jumpstart our Business Startups ("JOBS") Act. As such, we adopted ASU 2016-02, </w:t>
      </w:r>
      <w:r>
        <w:rPr>
          <w:rFonts w:ascii="Arial Narrow;sans-serif" w:hAnsi="Arial Narrow;sans-serif"/>
          <w:b w:val="false"/>
          <w:i/>
          <w:color w:val="000000"/>
          <w:sz w:val="20"/>
        </w:rPr>
        <w:t>Leases (Topic 842)</w:t>
      </w:r>
      <w:r>
        <w:rPr>
          <w:rFonts w:ascii="Arial Narrow;sans-serif" w:hAnsi="Arial Narrow;sans-serif"/>
          <w:b w:val="false"/>
          <w:color w:val="000000"/>
          <w:sz w:val="20"/>
        </w:rPr>
        <w:t xml:space="preserve">, along with related clarifications and improvements, using a modified retrospective approach, with first presentation of the application of ASC 842 in our Annual Report on Form 10-K for the fiscal year ended December 25, 2022. Quarterly interim financial statements for 2023 are presented under ASC 842. Quarterly interim financial statements were not required in 2022 under prior lease accounting guidance, therefore comparative amounts are not presented for those periods. </w:t>
      </w:r>
    </w:p>
    <w:p>
      <w:pPr>
        <w:pStyle w:val="TextBody"/>
        <w:spacing w:before="0" w:after="0"/>
        <w:jc w:val="both"/>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 summary of operating lease right-of-use assets and liabilities is as follows (in thousands):</w:t>
      </w:r>
    </w:p>
    <w:p>
      <w:pPr>
        <w:pStyle w:val="TextBody"/>
        <w:spacing w:before="0" w:after="0"/>
        <w:jc w:val="both"/>
        <w:rPr/>
      </w:pPr>
      <w:r>
        <w:rPr/>
      </w:r>
    </w:p>
    <w:tbl>
      <w:tblPr>
        <w:tblW w:w="6895" w:type="dxa"/>
        <w:jc w:val="left"/>
        <w:tblInd w:w="0" w:type="dxa"/>
        <w:tblCellMar>
          <w:top w:w="28" w:type="dxa"/>
          <w:left w:w="28" w:type="dxa"/>
          <w:bottom w:w="28" w:type="dxa"/>
          <w:right w:w="28" w:type="dxa"/>
        </w:tblCellMar>
      </w:tblPr>
      <w:tblGrid>
        <w:gridCol w:w="652"/>
        <w:gridCol w:w="572"/>
        <w:gridCol w:w="575"/>
        <w:gridCol w:w="744"/>
        <w:gridCol w:w="744"/>
        <w:gridCol w:w="747"/>
        <w:gridCol w:w="214"/>
        <w:gridCol w:w="766"/>
        <w:gridCol w:w="129"/>
        <w:gridCol w:w="109"/>
        <w:gridCol w:w="109"/>
        <w:gridCol w:w="109"/>
        <w:gridCol w:w="263"/>
        <w:gridCol w:w="939"/>
        <w:gridCol w:w="223"/>
      </w:tblGrid>
      <w:tr>
        <w:trPr/>
        <w:tc>
          <w:tcPr>
            <w:tcW w:w="652"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leases</w:t>
            </w:r>
          </w:p>
        </w:tc>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Classification</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17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173,414 </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166,808 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173,414 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166,808 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doub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lease liabilities</w:t>
            </w:r>
          </w:p>
        </w:tc>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operating lease liability</w:t>
            </w:r>
          </w:p>
        </w:tc>
        <w:tc>
          <w:tcPr>
            <w:tcW w:w="9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5,088 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lease liabilities</w:t>
            </w:r>
          </w:p>
        </w:tc>
        <w:tc>
          <w:tcPr>
            <w:tcW w:w="22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operating lease liability</w:t>
            </w:r>
          </w:p>
        </w:tc>
        <w:tc>
          <w:tcPr>
            <w:tcW w:w="98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210,682 </w:t>
            </w:r>
          </w:p>
        </w:tc>
        <w:tc>
          <w:tcPr>
            <w:tcW w:w="1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200,166 </w:t>
            </w:r>
          </w:p>
        </w:tc>
        <w:tc>
          <w:tcPr>
            <w:tcW w:w="22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215,770 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205,015 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components of lease expense were as follows (in thousands):</w:t>
      </w:r>
    </w:p>
    <w:tbl>
      <w:tblPr>
        <w:tblW w:w="5916" w:type="dxa"/>
        <w:jc w:val="left"/>
        <w:tblInd w:w="0" w:type="dxa"/>
        <w:tblCellMar>
          <w:top w:w="28" w:type="dxa"/>
          <w:left w:w="28" w:type="dxa"/>
          <w:bottom w:w="28" w:type="dxa"/>
          <w:right w:w="28" w:type="dxa"/>
        </w:tblCellMar>
      </w:tblPr>
      <w:tblGrid>
        <w:gridCol w:w="762"/>
        <w:gridCol w:w="667"/>
        <w:gridCol w:w="670"/>
        <w:gridCol w:w="809"/>
        <w:gridCol w:w="809"/>
        <w:gridCol w:w="811"/>
        <w:gridCol w:w="259"/>
        <w:gridCol w:w="710"/>
        <w:gridCol w:w="156"/>
        <w:gridCol w:w="109"/>
        <w:gridCol w:w="154"/>
      </w:tblGrid>
      <w:tr>
        <w:trPr/>
        <w:tc>
          <w:tcPr>
            <w:tcW w:w="762"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leases</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Classification</w:t>
            </w:r>
          </w:p>
        </w:tc>
        <w:tc>
          <w:tcPr>
            <w:tcW w:w="11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2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br/>
              <w:t>Other operating expenses</w:t>
              <w:br/>
              <w:t>General and administrative expenses</w:t>
              <w:br/>
              <w:t>Pre-opening expenses</w:t>
            </w:r>
          </w:p>
        </w:tc>
        <w:tc>
          <w:tcPr>
            <w:tcW w:w="25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6,828 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operating lease cost</w:t>
            </w:r>
          </w:p>
        </w:tc>
        <w:tc>
          <w:tcPr>
            <w:tcW w:w="24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br/>
              <w:t>Other operating expenses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24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br/>
              <w:t>Other operating expenses</w:t>
              <w:br/>
              <w:t>General and administrative expenses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994 </w:t>
            </w:r>
          </w:p>
        </w:tc>
        <w:tc>
          <w:tcPr>
            <w:tcW w:w="1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 summary of lease terms and discount rates for operating leases is as follows:</w:t>
      </w:r>
    </w:p>
    <w:tbl>
      <w:tblPr>
        <w:tblW w:w="5980" w:type="dxa"/>
        <w:jc w:val="left"/>
        <w:tblInd w:w="0" w:type="dxa"/>
        <w:tblCellMar>
          <w:top w:w="28" w:type="dxa"/>
          <w:left w:w="28" w:type="dxa"/>
          <w:bottom w:w="28" w:type="dxa"/>
          <w:right w:w="28" w:type="dxa"/>
        </w:tblCellMar>
      </w:tblPr>
      <w:tblGrid>
        <w:gridCol w:w="1131"/>
        <w:gridCol w:w="992"/>
        <w:gridCol w:w="997"/>
        <w:gridCol w:w="261"/>
        <w:gridCol w:w="261"/>
        <w:gridCol w:w="587"/>
        <w:gridCol w:w="109"/>
        <w:gridCol w:w="109"/>
        <w:gridCol w:w="109"/>
        <w:gridCol w:w="306"/>
        <w:gridCol w:w="306"/>
        <w:gridCol w:w="812"/>
      </w:tblGrid>
      <w:tr>
        <w:trPr/>
        <w:tc>
          <w:tcPr>
            <w:tcW w:w="1131"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leases</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312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25.3</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25.0</w:t>
            </w:r>
          </w:p>
        </w:tc>
      </w:tr>
      <w:tr>
        <w:trPr/>
        <w:tc>
          <w:tcPr>
            <w:tcW w:w="31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5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9.8 </w:t>
            </w:r>
          </w:p>
        </w:tc>
        <w:tc>
          <w:tcPr>
            <w:tcW w:w="5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9.8 </w:t>
            </w:r>
          </w:p>
        </w:tc>
        <w:tc>
          <w:tcPr>
            <w:tcW w:w="81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Supplemental cash flow information related to leases is as follows (in thousands):</w:t>
      </w:r>
    </w:p>
    <w:tbl>
      <w:tblPr>
        <w:tblW w:w="5933" w:type="dxa"/>
        <w:jc w:val="left"/>
        <w:tblInd w:w="0" w:type="dxa"/>
        <w:tblCellMar>
          <w:top w:w="28" w:type="dxa"/>
          <w:left w:w="28" w:type="dxa"/>
          <w:bottom w:w="28" w:type="dxa"/>
          <w:right w:w="28" w:type="dxa"/>
        </w:tblCellMar>
      </w:tblPr>
      <w:tblGrid>
        <w:gridCol w:w="1644"/>
        <w:gridCol w:w="1448"/>
        <w:gridCol w:w="1453"/>
        <w:gridCol w:w="259"/>
        <w:gridCol w:w="710"/>
        <w:gridCol w:w="156"/>
        <w:gridCol w:w="109"/>
        <w:gridCol w:w="154"/>
      </w:tblGrid>
      <w:tr>
        <w:trPr/>
        <w:tc>
          <w:tcPr>
            <w:tcW w:w="1644"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53"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for amounts included in the measurement of lease liabilities:</w:t>
            </w:r>
          </w:p>
        </w:tc>
        <w:tc>
          <w:tcPr>
            <w:tcW w:w="112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cash flows for operating leases</w:t>
            </w:r>
          </w:p>
        </w:tc>
        <w:tc>
          <w:tcPr>
            <w:tcW w:w="2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5,773 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assets obtained in exchange for lease liabilities:</w:t>
            </w:r>
          </w:p>
        </w:tc>
        <w:tc>
          <w:tcPr>
            <w:tcW w:w="11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2755"/>
                <wp:effectExtent l="0" t="0" r="0" b="0"/>
                <wp:wrapNone/>
                <wp:docPr id="52" name="Frame18"/>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0" descr=""/>
                                          <pic:cNvPicPr>
                                            <a:picLocks noChangeAspect="1" noChangeArrowheads="1"/>
                                          </pic:cNvPicPr>
                                        </pic:nvPicPr>
                                        <pic:blipFill>
                                          <a:blip r:embed="rId2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2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16</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As of March 26, 2023, the maturity analysis of the lease liabilities consisted of the following (in thousands):</w:t>
      </w:r>
    </w:p>
    <w:p>
      <w:pPr>
        <w:pStyle w:val="TextBody"/>
        <w:spacing w:before="0" w:after="0"/>
        <w:rPr/>
      </w:pPr>
      <w:r>
        <w:rPr/>
      </w:r>
    </w:p>
    <w:tbl>
      <w:tblPr>
        <w:tblW w:w="4679" w:type="dxa"/>
        <w:jc w:val="left"/>
        <w:tblInd w:w="0" w:type="dxa"/>
        <w:tblCellMar>
          <w:top w:w="28" w:type="dxa"/>
          <w:left w:w="28" w:type="dxa"/>
          <w:bottom w:w="28" w:type="dxa"/>
          <w:right w:w="28" w:type="dxa"/>
        </w:tblCellMar>
      </w:tblPr>
      <w:tblGrid>
        <w:gridCol w:w="1204"/>
        <w:gridCol w:w="1059"/>
        <w:gridCol w:w="1066"/>
        <w:gridCol w:w="249"/>
        <w:gridCol w:w="889"/>
        <w:gridCol w:w="212"/>
      </w:tblGrid>
      <w:tr>
        <w:trPr/>
        <w:tc>
          <w:tcPr>
            <w:tcW w:w="1204"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u w:val="single"/>
              </w:rPr>
            </w:pPr>
            <w:r>
              <w:rPr>
                <w:rFonts w:ascii="Arial Narrow;sans-serif" w:hAnsi="Arial Narrow;sans-serif"/>
                <w:b/>
                <w:color w:val="000000"/>
                <w:sz w:val="18"/>
                <w:u w:val="single"/>
              </w:rPr>
              <w:t>Year Ending</w:t>
            </w:r>
          </w:p>
        </w:tc>
        <w:tc>
          <w:tcPr>
            <w:tcW w:w="135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r>
      <w:tr>
        <w:trPr/>
        <w:tc>
          <w:tcPr>
            <w:tcW w:w="33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(excluding the quarter ending March 26, 2023)</w:t>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17,722 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23,907 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113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23,924 </w:t>
            </w:r>
          </w:p>
        </w:tc>
        <w:tc>
          <w:tcPr>
            <w:tcW w:w="2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24,008 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113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23,306 </w:t>
            </w:r>
          </w:p>
        </w:tc>
        <w:tc>
          <w:tcPr>
            <w:tcW w:w="2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561,757 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payments</w:t>
            </w:r>
          </w:p>
        </w:tc>
        <w:tc>
          <w:tcPr>
            <w:tcW w:w="11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674,624 </w:t>
            </w:r>
          </w:p>
        </w:tc>
        <w:tc>
          <w:tcPr>
            <w:tcW w:w="2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imputed interest</w:t>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(458,854)</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liabilities</w:t>
            </w:r>
          </w:p>
        </w:tc>
        <w:tc>
          <w:tcPr>
            <w:tcW w:w="2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215,770 </w:t>
            </w:r>
          </w:p>
        </w:tc>
        <w:tc>
          <w:tcPr>
            <w:tcW w:w="2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pPr>
      <w:r>
        <w:rPr>
          <w:rFonts w:ascii="Arial Narrow;sans-serif" w:hAnsi="Arial Narrow;sans-serif"/>
          <w:b w:val="false"/>
          <w:color w:val="000000"/>
          <w:sz w:val="20"/>
        </w:rPr>
        <w:t xml:space="preserve">As of March 26, 2023, operating lease payments include </w:t>
      </w:r>
      <w:r>
        <w:rPr>
          <w:rFonts w:ascii="Arial Narrow;sans-serif" w:hAnsi="Arial Narrow;sans-serif"/>
          <w:b w:val="false"/>
          <w:color w:val="000000"/>
          <w:sz w:val="20"/>
          <w:highlight w:val="white"/>
        </w:rPr>
        <w:t>$381.4 million</w:t>
      </w:r>
      <w:r>
        <w:rPr>
          <w:color w:val="000000"/>
        </w:rPr>
        <w:t xml:space="preserve"> </w:t>
      </w:r>
      <w:r>
        <w:rPr>
          <w:rFonts w:ascii="Arial Narrow;sans-serif" w:hAnsi="Arial Narrow;sans-serif"/>
          <w:b w:val="false"/>
          <w:color w:val="000000"/>
          <w:sz w:val="20"/>
        </w:rPr>
        <w:t xml:space="preserve">related to options to extend lease terms that are reasonably certain of being exercised and exclude </w:t>
      </w:r>
      <w:r>
        <w:rPr>
          <w:rFonts w:ascii="Arial Narrow;sans-serif" w:hAnsi="Arial Narrow;sans-serif"/>
          <w:b w:val="false"/>
          <w:color w:val="000000"/>
          <w:sz w:val="20"/>
          <w:highlight w:val="white"/>
        </w:rPr>
        <w:t>$71.3 million</w:t>
      </w:r>
      <w:r>
        <w:rPr>
          <w:color w:val="000000"/>
        </w:rPr>
        <w:t xml:space="preserve"> </w:t>
      </w:r>
      <w:r>
        <w:rPr>
          <w:rFonts w:ascii="Arial Narrow;sans-serif" w:hAnsi="Arial Narrow;sans-serif"/>
          <w:b w:val="false"/>
          <w:color w:val="000000"/>
          <w:sz w:val="20"/>
        </w:rPr>
        <w:t>of minimum payments for leases signed but not yet commenced.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10.    NON-CONTROLLING INTERESTS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We are the sole managing member of Portillo's OpCo, and as a result, consolidate the financial results of Portillo's OpCo. We report a non-controlling interest representing the LLC Units in Portillo's OpCo held by pre-IPO </w:t>
      </w:r>
      <w:r>
        <w:rPr>
          <w:rFonts w:ascii="Arial Narrow;sans-serif" w:hAnsi="Arial Narrow;sans-serif"/>
          <w:b w:val="false"/>
          <w:color w:val="000000"/>
          <w:sz w:val="20"/>
          <w:highlight w:val="white"/>
        </w:rPr>
        <w:t>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2023, in connection with the secondary offering described in Note 1. Description Of Business, 5,893,600 LLC Units and corresponding shares of Class B common stock were redeemed by the pre-IPO LLC Members for newly-issued shares of Class A common stock and we received 5,893,600 newly-issued LLC Units, increasing our total ownership interest in Portillo's OpCo. </w:t>
      </w:r>
    </w:p>
    <w:p>
      <w:pPr>
        <w:pStyle w:val="TextBody"/>
        <w:spacing w:before="0" w:after="0"/>
        <w:jc w:val="both"/>
        <w:rPr/>
      </w:pPr>
      <w:r>
        <w:rPr/>
      </w:r>
    </w:p>
    <w:p>
      <w:pPr>
        <w:pStyle w:val="TextBody"/>
        <w:spacing w:lineRule="auto" w:line="288" w:before="0" w:after="0"/>
        <w:jc w:val="both"/>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The following table summarizes the LLC interest ownership by Portillo's Inc. and pre-IPO LLC members:</w:t>
      </w:r>
    </w:p>
    <w:tbl>
      <w:tblPr>
        <w:tblW w:w="6998" w:type="dxa"/>
        <w:jc w:val="left"/>
        <w:tblInd w:w="0" w:type="dxa"/>
        <w:tblCellMar>
          <w:top w:w="28" w:type="dxa"/>
          <w:left w:w="28" w:type="dxa"/>
          <w:bottom w:w="28" w:type="dxa"/>
          <w:right w:w="28" w:type="dxa"/>
        </w:tblCellMar>
      </w:tblPr>
      <w:tblGrid>
        <w:gridCol w:w="564"/>
        <w:gridCol w:w="495"/>
        <w:gridCol w:w="500"/>
        <w:gridCol w:w="420"/>
        <w:gridCol w:w="421"/>
        <w:gridCol w:w="266"/>
        <w:gridCol w:w="109"/>
        <w:gridCol w:w="109"/>
        <w:gridCol w:w="109"/>
        <w:gridCol w:w="248"/>
        <w:gridCol w:w="248"/>
        <w:gridCol w:w="553"/>
        <w:gridCol w:w="109"/>
        <w:gridCol w:w="109"/>
        <w:gridCol w:w="109"/>
        <w:gridCol w:w="420"/>
        <w:gridCol w:w="421"/>
        <w:gridCol w:w="266"/>
        <w:gridCol w:w="134"/>
        <w:gridCol w:w="134"/>
        <w:gridCol w:w="134"/>
        <w:gridCol w:w="262"/>
        <w:gridCol w:w="236"/>
        <w:gridCol w:w="622"/>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LLC 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Ownership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LLC Units</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Ownership %</w:t>
            </w:r>
          </w:p>
        </w:tc>
      </w:tr>
      <w:tr>
        <w:trPr/>
        <w:tc>
          <w:tcPr>
            <w:tcW w:w="15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Portillo's Inc.</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54,467,951 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75.2 </w:t>
            </w:r>
          </w:p>
        </w:tc>
        <w:tc>
          <w:tcPr>
            <w:tcW w:w="55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48,420,723 </w:t>
            </w:r>
          </w:p>
        </w:tc>
        <w:tc>
          <w:tcPr>
            <w:tcW w:w="2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67.0 </w:t>
            </w:r>
          </w:p>
        </w:tc>
        <w:tc>
          <w:tcPr>
            <w:tcW w:w="62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pre-IPO LLC Members</w:t>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17,943,562 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24.8 </w:t>
            </w:r>
          </w:p>
        </w:tc>
        <w:tc>
          <w:tcPr>
            <w:tcW w:w="55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23,837,162 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33.0 </w:t>
            </w:r>
          </w:p>
        </w:tc>
        <w:tc>
          <w:tcPr>
            <w:tcW w:w="62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15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84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72,411,513 </w:t>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55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72,257,885 </w:t>
            </w:r>
          </w:p>
        </w:tc>
        <w:tc>
          <w:tcPr>
            <w:tcW w:w="26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62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The weighted average ownership percentages for the applicable reporting periods are used to attribute net income to Portillo's Inc. and the pre-IPO LLC Members. The pre-IPO LLC Members' weighted average ownership percentage for the quarters ended March 26, 2023 and </w:t>
      </w:r>
      <w:r>
        <w:rPr>
          <w:rFonts w:ascii="Arial Narrow;sans-serif" w:hAnsi="Arial Narrow;sans-serif"/>
          <w:b w:val="false"/>
          <w:color w:val="000000"/>
          <w:sz w:val="20"/>
          <w:highlight w:val="white"/>
        </w:rPr>
        <w:t xml:space="preserve">March 27, 2022 </w:t>
      </w:r>
      <w:r>
        <w:rPr>
          <w:rFonts w:ascii="Arial Narrow;sans-serif" w:hAnsi="Arial Narrow;sans-serif"/>
          <w:b w:val="false"/>
          <w:color w:val="000000"/>
          <w:sz w:val="20"/>
        </w:rPr>
        <w:t>was 31.4% and 49.9%, respectively.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2755"/>
                <wp:effectExtent l="0" t="0" r="0" b="0"/>
                <wp:wrapNone/>
                <wp:docPr id="55" name="Frame19"/>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1" descr=""/>
                                          <pic:cNvPicPr>
                                            <a:picLocks noChangeAspect="1" noChangeArrowheads="1"/>
                                          </pic:cNvPicPr>
                                        </pic:nvPicPr>
                                        <pic:blipFill>
                                          <a:blip r:embed="rId2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2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17</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following table summarizes the effects of changes in ownership in Portillo's OpCo on the Company’s equity (in thousands):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686"/>
        <w:gridCol w:w="2313"/>
        <w:gridCol w:w="2320"/>
        <w:gridCol w:w="109"/>
        <w:gridCol w:w="109"/>
        <w:gridCol w:w="112"/>
        <w:gridCol w:w="112"/>
        <w:gridCol w:w="221"/>
        <w:gridCol w:w="700"/>
        <w:gridCol w:w="133"/>
        <w:gridCol w:w="109"/>
        <w:gridCol w:w="109"/>
        <w:gridCol w:w="109"/>
        <w:gridCol w:w="269"/>
        <w:gridCol w:w="559"/>
        <w:gridCol w:w="235"/>
      </w:tblGrid>
      <w:tr>
        <w:trPr/>
        <w:tc>
          <w:tcPr>
            <w:tcW w:w="2686"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390" w:type="dxa"/>
            <w:gridSpan w:val="6"/>
            <w:tcBorders/>
            <w:shd w:fill="auto" w:val="clear"/>
          </w:tcPr>
          <w:p>
            <w:pPr>
              <w:pStyle w:val="TableContents"/>
              <w:spacing w:before="0" w:after="283"/>
              <w:rPr>
                <w:sz w:val="4"/>
                <w:szCs w:val="4"/>
              </w:rPr>
            </w:pPr>
            <w:r>
              <w:rPr>
                <w:sz w:val="4"/>
                <w:szCs w:val="4"/>
              </w:rPr>
            </w:r>
          </w:p>
        </w:tc>
      </w:tr>
      <w:tr>
        <w:trPr/>
        <w:tc>
          <w:tcPr>
            <w:tcW w:w="7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731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(loss) income attributable to Portillo's Inc.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3" w:type="dxa"/>
            <w:gridSpan w:val="3"/>
            <w:tcBorders/>
            <w:shd w:fill="auto" w:val="cle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Activity under equity-based compensation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adjustments, including the secondary offering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2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43,736 </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Redemption of LLC Units in connection with the secondary offering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Establishment of liabilities under Tax Receivable Agreement and related changes to deferred tax assets associated with increases in tax basis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21"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(12,493)</w:t>
            </w:r>
          </w:p>
        </w:tc>
        <w:tc>
          <w:tcPr>
            <w:tcW w:w="13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effect of changes in ownership interest on equity attributable to Portillo's Inc.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31,381 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11.    EQUITY-BASED COMPENSATION </w:t>
      </w:r>
    </w:p>
    <w:p>
      <w:pPr>
        <w:pStyle w:val="TextBody"/>
        <w:spacing w:lineRule="auto" w:line="288" w:before="120" w:after="283"/>
        <w:rPr>
          <w:rFonts w:ascii="Arial Narrow;sans-serif" w:hAnsi="Arial Narrow;sans-serif"/>
          <w:b w:val="false"/>
          <w:color w:val="000000"/>
          <w:sz w:val="20"/>
        </w:rPr>
      </w:pPr>
      <w:r>
        <w:rPr>
          <w:rFonts w:ascii="Arial Narrow;sans-serif" w:hAnsi="Arial Narrow;sans-serif"/>
          <w:b w:val="false"/>
          <w:color w:val="000000"/>
          <w:sz w:val="20"/>
        </w:rPr>
        <w:t xml:space="preserve">Equity-based compensation expense is calculated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 </w:t>
      </w:r>
    </w:p>
    <w:p>
      <w:pPr>
        <w:pStyle w:val="TextBody"/>
        <w:spacing w:lineRule="auto" w:line="288" w:before="120" w:after="283"/>
        <w:rPr>
          <w:rFonts w:ascii="Arial Narrow;sans-serif" w:hAnsi="Arial Narrow;sans-serif"/>
          <w:b w:val="false"/>
          <w:color w:val="000000"/>
          <w:sz w:val="20"/>
        </w:rPr>
      </w:pPr>
      <w:r>
        <w:rPr>
          <w:rFonts w:ascii="Arial Narrow;sans-serif" w:hAnsi="Arial Narrow;sans-serif"/>
          <w:b w:val="false"/>
          <w:color w:val="000000"/>
          <w:sz w:val="20"/>
        </w:rPr>
        <w:t xml:space="preserve">Equity-based compensation expense included in the Company’s consolidated statements of operations is as follows (in thousands): </w:t>
      </w:r>
    </w:p>
    <w:tbl>
      <w:tblPr>
        <w:tblW w:w="5812" w:type="dxa"/>
        <w:jc w:val="left"/>
        <w:tblInd w:w="0" w:type="dxa"/>
        <w:tblCellMar>
          <w:top w:w="28" w:type="dxa"/>
          <w:left w:w="28" w:type="dxa"/>
          <w:bottom w:w="28" w:type="dxa"/>
          <w:right w:w="28" w:type="dxa"/>
        </w:tblCellMar>
      </w:tblPr>
      <w:tblGrid>
        <w:gridCol w:w="994"/>
        <w:gridCol w:w="875"/>
        <w:gridCol w:w="890"/>
        <w:gridCol w:w="109"/>
        <w:gridCol w:w="109"/>
        <w:gridCol w:w="122"/>
        <w:gridCol w:w="122"/>
        <w:gridCol w:w="255"/>
        <w:gridCol w:w="701"/>
        <w:gridCol w:w="154"/>
        <w:gridCol w:w="109"/>
        <w:gridCol w:w="109"/>
        <w:gridCol w:w="109"/>
        <w:gridCol w:w="251"/>
        <w:gridCol w:w="689"/>
        <w:gridCol w:w="214"/>
      </w:tblGrid>
      <w:tr>
        <w:trPr/>
        <w:tc>
          <w:tcPr>
            <w:tcW w:w="994"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27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350 </w:t>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3,435 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3,537 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3,785 </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Employee Stock Purchase Plan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During the quarter ended March 26, 2023, the Company issued 5,963 shares under the Employee Stock Purchase Plan ("ESPP"). At March 26, 2023, 236,656 shares remained available for issuance under the ESPP. The expense incurred under the ESPP was immaterial for the quarter ended March 26, 2023 and is included within general and administrative expenses and labor in the condensed consolidated statements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12.    INCOME TAXES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We are the sole managing member of Portillo's OpCo, and as a result, consolidate the financial results of Portillo's OpCo. Portillo's OpCo is treated as a partnership for U.S. federal and most applicable state and local income tax purposes. As a partnership, Portillo's OpCo is not subject to U.S. federal and state and local income taxes in the majority of states in which it operates. Any taxable income or loss generated by Portillo's OpCo is passed through to and included in the taxable income or loss of its members, including us, based upon the respective member's ownership percentage in Portillo's OpCo. We are subject to U.S. federal income taxes, in addition to state and local income taxes with respect to our allocable share of any taxable income or loss of Portillo's OpCo, as well as any stand-alone income or loss generated by Portillo's Inc.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Income Tax (Benefit) Expense</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highlight w:val="white"/>
        </w:rPr>
        <w:t xml:space="preserve">The effective income tax rate for the quarters ended March 26, 2023 and </w:t>
      </w:r>
      <w:r>
        <w:rPr>
          <w:rFonts w:ascii="Arial Narrow;sans-serif" w:hAnsi="Arial Narrow;sans-serif"/>
          <w:b w:val="false"/>
          <w:color w:val="000000"/>
          <w:sz w:val="20"/>
        </w:rPr>
        <w:t xml:space="preserve">March 27, 2022 </w:t>
      </w:r>
      <w:r>
        <w:rPr>
          <w:rFonts w:ascii="Arial Narrow;sans-serif" w:hAnsi="Arial Narrow;sans-serif"/>
          <w:b w:val="false"/>
          <w:color w:val="000000"/>
          <w:sz w:val="20"/>
          <w:highlight w:val="white"/>
        </w:rPr>
        <w:t xml:space="preserve">was 30.5% and 16.6%, respectively. </w:t>
      </w:r>
      <w:r>
        <w:rPr>
          <w:rFonts w:ascii="Arial Narrow;sans-serif" w:hAnsi="Arial Narrow;sans-serif"/>
          <w:b w:val="false"/>
          <w:color w:val="000000"/>
          <w:sz w:val="20"/>
        </w:rPr>
        <w:t xml:space="preserve">The increase in our effective income tax rate for the quarter ended </w:t>
      </w:r>
      <w:r>
        <w:rPr>
          <w:rFonts w:ascii="Arial Narrow;sans-serif" w:hAnsi="Arial Narrow;sans-serif"/>
          <w:b w:val="false"/>
          <w:color w:val="000000"/>
          <w:sz w:val="20"/>
          <w:highlight w:val="white"/>
        </w:rPr>
        <w:t>March 26, 2023</w:t>
      </w:r>
      <w:r>
        <w:rPr>
          <w:color w:val="000000"/>
        </w:rPr>
        <w:t xml:space="preserve"> </w:t>
      </w:r>
      <w:r>
        <w:rPr>
          <w:rFonts w:ascii="Arial Narrow;sans-serif" w:hAnsi="Arial Narrow;sans-serif"/>
          <w:b w:val="false"/>
          <w:color w:val="000000"/>
          <w:sz w:val="20"/>
        </w:rPr>
        <w:t xml:space="preserve">compared to the quarter ended March 27, 2022 was primarily driven by the increase in the valuation allowance and an increase in the Company's ownership interest in Portillo's OpCo, which increases its share of taxable income (loss) of Portillo's OpCo. </w:t>
      </w:r>
      <w:r>
        <w:rPr>
          <w:rFonts w:ascii="Arial Narrow;sans-serif" w:hAnsi="Arial Narrow;sans-serif"/>
          <w:b w:val="false"/>
          <w:color w:val="000000"/>
          <w:sz w:val="20"/>
          <w:highlight w:val="white"/>
        </w:rPr>
        <w:t>The Company’s annual effective tax rate differs from the statutory rate of 21% primarily because the Company is not liable for federal or state income taxes on the portion of OpCo’s earnings that are attributable to non-controlling interests, the valuation allowance recorded and impacts from the exercise and vesting of equity-based awards.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2755"/>
                <wp:effectExtent l="0" t="0" r="0" b="0"/>
                <wp:wrapNone/>
                <wp:docPr id="58" name="Frame20"/>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18</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before="0" w:after="0"/>
        <w:rPr/>
      </w:pPr>
      <w:r>
        <w:rPr/>
      </w:r>
    </w:p>
    <w:p>
      <w:pPr>
        <w:pStyle w:val="TextBody"/>
        <w:spacing w:lineRule="auto" w:line="288" w:before="0" w:after="0"/>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We evaluate the realizability of our deferred tax assets on a quarterly basis and establish valuation allowances when it is more likely than not that all or a portion of a deferred tax asset may not be realized. As of March 26, 2023, the Company concluded, based on the weight of all available positive and negative evidence, that all of its deferred tax assets (except for those deferred tax assets relating to the basis difference in its investment in Portillo's OpCo that will never be realizable or only reverse upon the eventual sale of its interest in Portillo's OpCo, which we expect would result in a capital loss which we do not expect to be able to utilize) are more likely than not to be realized.</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In the first quarter of 2023, in connection with the secondary offering previously discussed in Note 1. Description Of Business, 5,893,600 LLC Units were redeemed by the pre-IPO LLC Members for newly-issued shares of Class A common stock, resulting in an increase in the tax basis of net assets of Portillo's OpCo subject to the provisions of the Tax Receivable Agreement (the "Tax Receivable Agreement" or "TRA"). The Company recorded a deferred tax asset of $34.9 million and an additional TRA liability of $47.4 million</w:t>
      </w:r>
      <w:r>
        <w:rPr>
          <w:rFonts w:ascii="Arial Narrow;sans-serif" w:hAnsi="Arial Narrow;sans-serif"/>
          <w:b w:val="false"/>
          <w:color w:val="000000"/>
          <w:sz w:val="20"/>
          <w:highlight w:val="white"/>
        </w:rPr>
        <w:t>.</w:t>
      </w:r>
      <w:r>
        <w:rPr>
          <w:color w:val="000000"/>
        </w:rPr>
        <w:t xml:space="preserve"> </w:t>
      </w:r>
      <w:r>
        <w:rPr>
          <w:rFonts w:ascii="Arial Narrow;sans-serif" w:hAnsi="Arial Narrow;sans-serif"/>
          <w:b w:val="false"/>
          <w:color w:val="000000"/>
          <w:sz w:val="20"/>
        </w:rPr>
        <w:t>As of March 26, 2023, we estimated that our obligation for future payments under the TRA liability totaled $298.8 million</w:t>
      </w:r>
      <w:r>
        <w:rPr>
          <w:rFonts w:ascii="Arial Narrow;sans-serif" w:hAnsi="Arial Narrow;sans-serif"/>
          <w:b w:val="false"/>
          <w:color w:val="000000"/>
          <w:sz w:val="20"/>
          <w:highlight w:val="white"/>
        </w:rPr>
        <w:t xml:space="preserve">. </w:t>
      </w:r>
      <w:r>
        <w:rPr>
          <w:rFonts w:ascii="Arial Narrow;sans-serif" w:hAnsi="Arial Narrow;sans-serif"/>
          <w:b w:val="false"/>
          <w:color w:val="000000"/>
          <w:sz w:val="20"/>
        </w:rPr>
        <w:t xml:space="preserve">The Company made payments of $0.8 million under the TRA during the quarter ended March 26, 2023 relating to tax year 2021. There were no amounts paid under the TRA during the quarter ended March 27, 2022. We expect a payment of $6.3 million relating to tax year 2022 to be paid within the next 12 months.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13.    EARNINGS PER SHARE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Basic net (loss) earnings per share of Class A common stock is computed by dividing net income attributable to Portillo's Inc. by the weighted-average number of Class A common stock outstanding.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Diluted net (loss) earnings per share is computed by dividing net (loss) income attributable to Portillo's Inc. by the weighted-average number of dilutive securities, using the treasury stock method.</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computations of basic and diluted net (loss) earnings per share for the quarters ended March 26, 2023 and March 27, 2022 are as follows (in thousands):</w:t>
      </w:r>
    </w:p>
    <w:tbl>
      <w:tblPr>
        <w:tblW w:w="7226" w:type="dxa"/>
        <w:jc w:val="left"/>
        <w:tblInd w:w="0" w:type="dxa"/>
        <w:tblCellMar>
          <w:top w:w="28" w:type="dxa"/>
          <w:left w:w="28" w:type="dxa"/>
          <w:bottom w:w="28" w:type="dxa"/>
          <w:right w:w="28" w:type="dxa"/>
        </w:tblCellMar>
      </w:tblPr>
      <w:tblGrid>
        <w:gridCol w:w="1508"/>
        <w:gridCol w:w="1328"/>
        <w:gridCol w:w="1348"/>
        <w:gridCol w:w="109"/>
        <w:gridCol w:w="109"/>
        <w:gridCol w:w="117"/>
        <w:gridCol w:w="117"/>
        <w:gridCol w:w="241"/>
        <w:gridCol w:w="723"/>
        <w:gridCol w:w="145"/>
        <w:gridCol w:w="109"/>
        <w:gridCol w:w="109"/>
        <w:gridCol w:w="109"/>
        <w:gridCol w:w="276"/>
        <w:gridCol w:w="643"/>
        <w:gridCol w:w="235"/>
      </w:tblGrid>
      <w:tr>
        <w:trPr/>
        <w:tc>
          <w:tcPr>
            <w:tcW w:w="1508"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3"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418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(759)</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attributable to Portillo's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c>
          <w:tcPr>
            <w:tcW w:w="14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number of common shares outstanding-basic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49,599 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35,807 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share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4,137 </w:t>
            </w:r>
          </w:p>
        </w:tc>
        <w:tc>
          <w:tcPr>
            <w:tcW w:w="2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number of common shares outstanding-diluted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49,599 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39,944 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net (loss)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net (loss) income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3"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0.00 </w:t>
            </w:r>
          </w:p>
        </w:tc>
        <w:tc>
          <w:tcPr>
            <w:tcW w:w="23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32" w:after="283"/>
        <w:rPr/>
      </w:pPr>
      <w:r>
        <w:rPr>
          <w:rFonts w:ascii="Arial Narrow;sans-serif" w:hAnsi="Arial Narrow;sans-serif"/>
          <w:b w:val="false"/>
          <w:color w:val="000000"/>
          <w:sz w:val="20"/>
          <w:highlight w:val="white"/>
        </w:rPr>
        <w:t>The following shares were excluded from the calculation of diluted earnings per share because they would be antidilutive</w:t>
      </w:r>
      <w:r>
        <w:rPr>
          <w:color w:val="000000"/>
        </w:rPr>
        <w:t xml:space="preserve"> </w:t>
      </w:r>
      <w:r>
        <w:rPr>
          <w:rFonts w:ascii="Arial Narrow;sans-serif" w:hAnsi="Arial Narrow;sans-serif"/>
          <w:b w:val="false"/>
          <w:color w:val="000000"/>
          <w:sz w:val="20"/>
        </w:rPr>
        <w:t>(in thousands)</w:t>
      </w:r>
      <w:r>
        <w:rPr>
          <w:rFonts w:ascii="Arial Narrow;sans-serif" w:hAnsi="Arial Narrow;sans-serif"/>
          <w:b w:val="false"/>
          <w:color w:val="000000"/>
          <w:sz w:val="20"/>
          <w:highlight w:val="white"/>
        </w:rPr>
        <w:t>:</w:t>
      </w:r>
    </w:p>
    <w:tbl>
      <w:tblPr>
        <w:tblW w:w="7293" w:type="dxa"/>
        <w:jc w:val="left"/>
        <w:tblInd w:w="0" w:type="dxa"/>
        <w:tblCellMar>
          <w:top w:w="28" w:type="dxa"/>
          <w:left w:w="28" w:type="dxa"/>
          <w:bottom w:w="28" w:type="dxa"/>
          <w:right w:w="28" w:type="dxa"/>
        </w:tblCellMar>
      </w:tblPr>
      <w:tblGrid>
        <w:gridCol w:w="1461"/>
        <w:gridCol w:w="1285"/>
        <w:gridCol w:w="1289"/>
        <w:gridCol w:w="109"/>
        <w:gridCol w:w="109"/>
        <w:gridCol w:w="224"/>
        <w:gridCol w:w="224"/>
        <w:gridCol w:w="369"/>
        <w:gridCol w:w="369"/>
        <w:gridCol w:w="372"/>
        <w:gridCol w:w="109"/>
        <w:gridCol w:w="109"/>
        <w:gridCol w:w="109"/>
        <w:gridCol w:w="338"/>
        <w:gridCol w:w="338"/>
        <w:gridCol w:w="479"/>
      </w:tblGrid>
      <w:tr>
        <w:trPr/>
        <w:tc>
          <w:tcPr>
            <w:tcW w:w="146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2" w:type="dxa"/>
            <w:gridSpan w:val="6"/>
            <w:tcBorders/>
            <w:shd w:fill="auto" w:val="clea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40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subject to performance conditions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1,807 </w:t>
            </w:r>
          </w:p>
        </w:tc>
        <w:tc>
          <w:tcPr>
            <w:tcW w:w="37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1,196 </w:t>
            </w:r>
          </w:p>
        </w:tc>
        <w:tc>
          <w:tcPr>
            <w:tcW w:w="47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that were antidilutive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3,538 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shares excluded from diluted net income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73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5,345 </w:t>
            </w:r>
          </w:p>
        </w:tc>
        <w:tc>
          <w:tcPr>
            <w:tcW w:w="37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1,196 </w:t>
            </w:r>
          </w:p>
        </w:tc>
        <w:tc>
          <w:tcPr>
            <w:tcW w:w="47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98"/>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2755"/>
                <wp:effectExtent l="0" t="0" r="0" b="0"/>
                <wp:wrapNone/>
                <wp:docPr id="61" name="Frame21"/>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3" descr=""/>
                                          <pic:cNvPicPr>
                                            <a:picLocks noChangeAspect="1" noChangeArrowheads="1"/>
                                          </pic:cNvPicPr>
                                        </pic:nvPicPr>
                                        <pic:blipFill>
                                          <a:blip r:embed="rId2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19</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14.    CONTINGENCIES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NOTE 15.    RELATED PARTY TRANSACTIONS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As of both March 26, 2023 and December 25, 2022, the related parties’ receivables balance consisted of $0.3 million due from C&amp;O, which is included in accounts receivable in the condensed consolidated balance sheets.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Olo, Inc.</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Noah Glass, a member of the Company's Board, is the founder and CEO of Olo, Inc. ("Olo"), a platform the Company uses in connection with our mobile ordering application and delivery.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The Company incurred the following Olo-related costs for th</w:t>
      </w:r>
      <w:r>
        <w:rPr>
          <w:rFonts w:ascii="Arial Narrow;sans-serif" w:hAnsi="Arial Narrow;sans-serif"/>
          <w:b w:val="false"/>
          <w:color w:val="000000"/>
          <w:sz w:val="20"/>
          <w:highlight w:val="white"/>
        </w:rPr>
        <w:t>e quarters ended March 26, 2023 and March 27, 2022 (in thousands):</w:t>
      </w:r>
    </w:p>
    <w:p>
      <w:pPr>
        <w:pStyle w:val="TextBody"/>
        <w:spacing w:before="0" w:after="0"/>
        <w:rPr/>
      </w:pPr>
      <w:r>
        <w:rPr/>
      </w:r>
    </w:p>
    <w:tbl>
      <w:tblPr>
        <w:tblW w:w="6941" w:type="dxa"/>
        <w:jc w:val="left"/>
        <w:tblInd w:w="0" w:type="dxa"/>
        <w:tblCellMar>
          <w:top w:w="28" w:type="dxa"/>
          <w:left w:w="28" w:type="dxa"/>
          <w:bottom w:w="28" w:type="dxa"/>
          <w:right w:w="28" w:type="dxa"/>
        </w:tblCellMar>
      </w:tblPr>
      <w:tblGrid>
        <w:gridCol w:w="1397"/>
        <w:gridCol w:w="1227"/>
        <w:gridCol w:w="1231"/>
        <w:gridCol w:w="109"/>
        <w:gridCol w:w="109"/>
        <w:gridCol w:w="138"/>
        <w:gridCol w:w="138"/>
        <w:gridCol w:w="302"/>
        <w:gridCol w:w="627"/>
        <w:gridCol w:w="181"/>
        <w:gridCol w:w="109"/>
        <w:gridCol w:w="109"/>
        <w:gridCol w:w="109"/>
        <w:gridCol w:w="294"/>
        <w:gridCol w:w="611"/>
        <w:gridCol w:w="250"/>
      </w:tblGrid>
      <w:tr>
        <w:trPr/>
        <w:tc>
          <w:tcPr>
            <w:tcW w:w="1397"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6"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2" w:type="dxa"/>
            <w:gridSpan w:val="6"/>
            <w:tcBorders/>
            <w:shd w:fill="auto" w:val="clea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385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goods sold,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25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Olo-related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699 </w:t>
            </w:r>
          </w:p>
        </w:tc>
        <w:tc>
          <w:tcPr>
            <w:tcW w:w="1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2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As of </w:t>
      </w:r>
      <w:r>
        <w:rPr>
          <w:rFonts w:ascii="Arial Narrow;sans-serif" w:hAnsi="Arial Narrow;sans-serif"/>
          <w:b w:val="false"/>
          <w:color w:val="000000"/>
          <w:sz w:val="20"/>
          <w:highlight w:val="white"/>
        </w:rPr>
        <w:t>March 26, 2023</w:t>
      </w:r>
      <w:r>
        <w:rPr>
          <w:color w:val="000000"/>
        </w:rPr>
        <w:t xml:space="preserve"> </w:t>
      </w:r>
      <w:r>
        <w:rPr>
          <w:rFonts w:ascii="Arial Narrow;sans-serif" w:hAnsi="Arial Narrow;sans-serif"/>
          <w:b w:val="false"/>
          <w:color w:val="000000"/>
          <w:sz w:val="20"/>
        </w:rPr>
        <w:t xml:space="preserve">and December 25, 2022, $0.1 million and $0.2 million, respectively, were payable to Olo and was included in accounts payable in the condensed consolidated balance sheets.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Tax Receivable Agreement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are party to a TRA with certain members of Portillo's OpCo that provides for the payment by us of 85% of the amount of tax benefits, if any, that Portillo's Inc. actually realizes or in some cases is deemed to realize as a result of certain transactions. The Company made payments of $0.8 million under the TRA relating to tax year 2021 during the quarter ended March 26, 2023. There were no amounts paid under the TRA during the quarter ended March 27, 2022.</w:t>
      </w:r>
    </w:p>
    <w:p>
      <w:pPr>
        <w:pStyle w:val="TextBody"/>
        <w:spacing w:before="0" w:after="0"/>
        <w:rPr/>
      </w:pPr>
      <w:r>
        <w:rPr/>
      </w:r>
    </w:p>
    <w:tbl>
      <w:tblPr>
        <w:tblW w:w="6405" w:type="dxa"/>
        <w:jc w:val="left"/>
        <w:tblInd w:w="0" w:type="dxa"/>
        <w:tblCellMar>
          <w:top w:w="28" w:type="dxa"/>
          <w:left w:w="28" w:type="dxa"/>
          <w:bottom w:w="28" w:type="dxa"/>
          <w:right w:w="28" w:type="dxa"/>
        </w:tblCellMar>
      </w:tblPr>
      <w:tblGrid>
        <w:gridCol w:w="1242"/>
        <w:gridCol w:w="1095"/>
        <w:gridCol w:w="1098"/>
        <w:gridCol w:w="109"/>
        <w:gridCol w:w="255"/>
        <w:gridCol w:w="701"/>
        <w:gridCol w:w="154"/>
        <w:gridCol w:w="109"/>
        <w:gridCol w:w="109"/>
        <w:gridCol w:w="109"/>
        <w:gridCol w:w="362"/>
        <w:gridCol w:w="752"/>
        <w:gridCol w:w="310"/>
      </w:tblGrid>
      <w:tr>
        <w:trPr/>
        <w:tc>
          <w:tcPr>
            <w:tcW w:w="1242"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December 25, 2022</w:t>
            </w:r>
          </w:p>
        </w:tc>
      </w:tr>
      <w:tr>
        <w:trPr/>
        <w:tc>
          <w:tcPr>
            <w:tcW w:w="34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Tax Receivable Agreement liability</w:t>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6,309 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813 </w:t>
            </w:r>
          </w:p>
        </w:tc>
        <w:tc>
          <w:tcPr>
            <w:tcW w:w="31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w:t>
            </w:r>
          </w:p>
        </w:tc>
        <w:tc>
          <w:tcPr>
            <w:tcW w:w="109" w:type="dxa"/>
            <w:tcBorders/>
            <w:shd w:fill="auto" w:val="clear"/>
            <w:vAlign w:val="center"/>
          </w:tcPr>
          <w:p>
            <w:pPr>
              <w:pStyle w:val="TableContents"/>
              <w:spacing w:before="0" w:after="283"/>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252,003 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In the third and fourth quarters of 2022 and first quarter of 2023, in connection with the secondary offerings previously discussed in Note 1. Description Of Business, we purchased LLC Units and corresponding shares of Class B common stock and shares of Class A common stock using the proceeds of the secondary offerings at a price equal to the public offering price less the underwriting discounts and commissions from certain pre-IPO LLC Members and shareholders of the Blocker Companies, including from funds affiliated with Berkshire Partners LLC, which is our largest shareholder that beneficially owns approximately 31.7% of the Company as of </w:t>
      </w:r>
      <w:r>
        <w:rPr>
          <w:rFonts w:ascii="Arial Narrow;sans-serif" w:hAnsi="Arial Narrow;sans-serif"/>
          <w:b w:val="false"/>
          <w:color w:val="000000"/>
          <w:sz w:val="20"/>
          <w:highlight w:val="white"/>
        </w:rPr>
        <w:t>March 26, 2023</w:t>
      </w:r>
      <w:r>
        <w:rPr>
          <w:rFonts w:ascii="Arial Narrow;sans-serif" w:hAnsi="Arial Narrow;sans-serif"/>
          <w:b w:val="false"/>
          <w:color w:val="000000"/>
          <w:sz w:val="20"/>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2755"/>
                <wp:effectExtent l="0" t="0" r="0" b="0"/>
                <wp:wrapNone/>
                <wp:docPr id="64" name="Frame22"/>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4" descr=""/>
                                          <pic:cNvPicPr>
                                            <a:picLocks noChangeAspect="1" noChangeArrowheads="1"/>
                                          </pic:cNvPicPr>
                                        </pic:nvPicPr>
                                        <pic:blipFill>
                                          <a:blip r:embed="rId2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2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20</w:t>
                      </w:r>
                    </w:p>
                  </w:txbxContent>
                </v:textbox>
              </v:rect>
            </w:pict>
          </mc:Fallback>
        </mc:AlternateConten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PORTILLO'S INC.</w:t>
      </w:r>
    </w:p>
    <w:p>
      <w:pPr>
        <w:pStyle w:val="TextBody"/>
        <w:spacing w:lineRule="auto" w:line="288" w:before="0" w:after="0"/>
        <w:rPr>
          <w:rFonts w:ascii="Arial Narrow;sans-serif" w:hAnsi="Arial Narrow;sans-serif"/>
          <w:b/>
          <w:color w:val="000000"/>
          <w:sz w:val="19"/>
        </w:rPr>
      </w:pPr>
      <w:r>
        <w:rPr>
          <w:rFonts w:ascii="Arial Narrow;sans-serif" w:hAnsi="Arial Narrow;sans-serif"/>
          <w:b/>
          <w:color w:val="000000"/>
          <w:sz w:val="19"/>
        </w:rPr>
        <w:t>NOTES TO THE UNAUDITED CONDENSED CONSOLIDATED FINANCIAL STATEMENTS</w:t>
      </w:r>
    </w:p>
    <w:p>
      <w:pPr>
        <w:pStyle w:val="TextBody"/>
        <w:spacing w:before="0" w:after="0"/>
        <w:rPr/>
      </w:pPr>
      <w:r>
        <w:rPr/>
      </w:r>
    </w:p>
    <w:p>
      <w:pPr>
        <w:pStyle w:val="TextBody"/>
        <w:spacing w:lineRule="auto" w:line="288" w:before="0" w:after="0"/>
        <w:rPr>
          <w:rFonts w:ascii="Arial Narrow;sans-serif" w:hAnsi="Arial Narrow;sans-serif"/>
          <w:b/>
          <w:color w:val="414042"/>
          <w:sz w:val="28"/>
        </w:rPr>
      </w:pPr>
      <w:r>
        <w:rPr>
          <w:rFonts w:ascii="Arial Narrow;sans-serif" w:hAnsi="Arial Narrow;sans-serif"/>
          <w:b/>
          <w:color w:val="414042"/>
          <w:sz w:val="28"/>
        </w:rPr>
        <w:t xml:space="preserve">NOTE 16.    SUBSEQUENT EVENTS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 xml:space="preserve">The Company opened one new restaurant subsequent to March 26, 2023 in Gilbert, Arizona for a total of 75 restaurants, excluding a restaurant owned by C&amp;O, of which Portillo's owns 50% of the equity.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highlight w:val="white"/>
        </w:rPr>
        <w:t xml:space="preserve">On April 5, 2023, in connection with the secondary offering </w:t>
      </w:r>
      <w:r>
        <w:rPr>
          <w:rFonts w:ascii="Arial Narrow;sans-serif" w:hAnsi="Arial Narrow;sans-serif"/>
          <w:b w:val="false"/>
          <w:color w:val="000000"/>
          <w:sz w:val="20"/>
        </w:rPr>
        <w:t>previously discussed in Note 1. Description Of Business</w:t>
      </w:r>
      <w:r>
        <w:rPr>
          <w:rFonts w:ascii="Arial Narrow;sans-serif" w:hAnsi="Arial Narrow;sans-serif"/>
          <w:b w:val="false"/>
          <w:color w:val="000000"/>
          <w:sz w:val="20"/>
          <w:highlight w:val="white"/>
        </w:rPr>
        <w:t xml:space="preserve">, the Underwriter exercised its option to purchase an additional 620,493 shares of the Company's Class A common stock. </w:t>
      </w:r>
      <w:r>
        <w:rPr>
          <w:rFonts w:ascii="Arial Narrow;sans-serif" w:hAnsi="Arial Narrow;sans-serif"/>
          <w:b w:val="false"/>
          <w:color w:val="000000"/>
          <w:sz w:val="20"/>
        </w:rPr>
        <w:t>As a result, 163,376 shares of Class A common stock and 457,117 LLC Units and corresponding shares of Class B common stock were redeemed. As of April 5, 2023, the Company owns 75.9% of Portillo's OpCo and the pre-IPO LLC Members own the remaining 24.1% of Portillo's OpCo.</w:t>
      </w:r>
      <w:r>
        <w:rPr>
          <w:color w:val="000000"/>
          <w:highlight w:val="white"/>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2755"/>
                <wp:effectExtent l="0" t="0" r="0" b="0"/>
                <wp:wrapNone/>
                <wp:docPr id="67" name="Frame23"/>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5" descr=""/>
                                          <pic:cNvPicPr>
                                            <a:picLocks noChangeAspect="1" noChangeArrowheads="1"/>
                                          </pic:cNvPicPr>
                                        </pic:nvPicPr>
                                        <pic:blipFill>
                                          <a:blip r:embed="rId2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2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21</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Item 2. Management's Discussion and Analysis of Financial Condition and Results of Operations.</w:t>
      </w:r>
    </w:p>
    <w:p>
      <w:pPr>
        <w:pStyle w:val="TextBody"/>
        <w:spacing w:before="0" w:after="0"/>
        <w:jc w:val="center"/>
        <w:rPr/>
      </w:pPr>
      <w:r>
        <w:rPr/>
        <w:drawing>
          <wp:inline distT="0" distB="63500" distL="0" distR="0">
            <wp:extent cx="6629400" cy="361950"/>
            <wp:effectExtent l="0" t="0" r="0" b="0"/>
            <wp:docPr id="7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6" descr=""/>
                    <pic:cNvPicPr>
                      <a:picLocks noChangeAspect="1" noChangeArrowheads="1"/>
                    </pic:cNvPicPr>
                  </pic:nvPicPr>
                  <pic:blipFill>
                    <a:blip r:embed="rId27"/>
                    <a:stretch>
                      <a:fillRect/>
                    </a:stretch>
                  </pic:blipFill>
                  <pic:spPr bwMode="auto">
                    <a:xfrm>
                      <a:off x="0" y="0"/>
                      <a:ext cx="6629400" cy="361950"/>
                    </a:xfrm>
                    <a:prstGeom prst="rect">
                      <a:avLst/>
                    </a:prstGeom>
                  </pic:spPr>
                </pic:pic>
              </a:graphicData>
            </a:graphic>
          </wp:inline>
        </w:drawing>
      </w:r>
    </w:p>
    <w:p>
      <w:pPr>
        <w:pStyle w:val="TextBody"/>
        <w:spacing w:lineRule="auto" w:line="288" w:before="0" w:after="0"/>
        <w:rPr/>
      </w:pPr>
      <w:r>
        <w:rPr>
          <w:rFonts w:ascii="Arial Narrow;sans-serif" w:hAnsi="Arial Narrow;sans-serif"/>
          <w:b w:val="false"/>
          <w:color w:val="000000"/>
          <w:sz w:val="20"/>
        </w:rPr>
        <w:t xml:space="preserve">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w:t>
      </w:r>
      <w:r>
        <w:rPr>
          <w:rFonts w:ascii="Arial Narrow;sans-serif" w:hAnsi="Arial Narrow;sans-serif"/>
          <w:b w:val="false"/>
          <w:color w:val="000000"/>
          <w:sz w:val="20"/>
          <w:highlight w:val="white"/>
        </w:rPr>
        <w:t xml:space="preserve">heading “Cautionary Statements Concerning Forward-Looking Statements” in this report and under the heading “Risk Factors” in Part I, Item IA of our Annual Report on Form 10-K for the fiscal year ended December 25, 2022 and Part II, Item 1A of this Form 10-Q. </w:t>
      </w:r>
      <w:r>
        <w:rPr>
          <w:rFonts w:ascii="Arial Narrow;sans-serif" w:hAnsi="Arial Narrow;sans-serif"/>
          <w:b w:val="false"/>
          <w:color w:val="000000"/>
          <w:sz w:val="20"/>
        </w:rPr>
        <w:t xml:space="preserve">The following discussion should be read in conjunction with our Annual Report on Form 10-K for the fiscal year ended </w:t>
      </w:r>
      <w:r>
        <w:rPr>
          <w:rFonts w:ascii="Arial Narrow;sans-serif" w:hAnsi="Arial Narrow;sans-serif"/>
          <w:b w:val="false"/>
          <w:color w:val="000000"/>
          <w:sz w:val="20"/>
          <w:highlight w:val="white"/>
        </w:rPr>
        <w:t>December 25, 2022</w:t>
      </w:r>
      <w:r>
        <w:rPr>
          <w:color w:val="000000"/>
        </w:rPr>
        <w:t xml:space="preserve"> </w:t>
      </w:r>
      <w:r>
        <w:rPr>
          <w:rFonts w:ascii="Arial Narrow;sans-serif" w:hAnsi="Arial Narrow;sans-serif"/>
          <w:b w:val="false"/>
          <w:color w:val="000000"/>
          <w:sz w:val="20"/>
        </w:rPr>
        <w:t xml:space="preserve">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following discussion summarizes the significant factors affecting the condensed consolidated operating results, financial condition, liquidity and cash flows of our company as of and for the periods presented below.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We have prepared the unaudited condensed consolidated financial statements in accordance with accounting principles generally accepted in the United States of America ("GAAP") for interim financial statements and pursuant to the rules and regulations of the Securities and Exchange Commission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Overview</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As of March 26, 2023, we owned and operated 75 Portillo’s restaurants across ten states, including a restaurant owned by C&amp;O Chicago, L.L.C. ("C&amp;O") of which Portillo’s owns 50% of the equity.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2023 Credit Agreement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On February 2, 2023, PHD Intermediate LLC (“Holdings”), Portillo’s Holdings LLC (the “Borrower”), the other Guarantors party thereto from time to time, each lender party thereto from time to time and Fifth Third Bank, National Association, as Administrative Agent, L/C Issuer and Swing Line Lender, entered into a credit agreement (“2023 Credit Agreement”) which provides for a term A loan ("2023 Term Loan") in an initial aggregate principal amount of $300.0 million and initial revolving credit commitments in an initial aggregate principal amount of $100.0 million (the “2023 Revolver Facility”). The proceeds under the 2023 Term Loan and 2023 Revolver Facility, along with cash on hand, were used to repay outstanding indebtedness under the 2014 Credit Agreement and to pay related transaction expenses. The 2023 Term Loan and 2023 Revolver Facility are scheduled to mature on February 2, 2028.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2023, the Company completed a secondary offering of 8,000,000 shares of the Company's Class A common stock at an offering price of $21.05 per share ("Q1 Secondary Offering"). The Company granted Morgan Stanley &amp; Co. LLC, the underwriter (the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2755"/>
                <wp:effectExtent l="0" t="0" r="0" b="0"/>
                <wp:wrapNone/>
                <wp:docPr id="71" name="Frame24"/>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2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7" descr=""/>
                                    <pic:cNvPicPr>
                                      <a:picLocks noChangeAspect="1" noChangeArrowheads="1"/>
                                    </pic:cNvPicPr>
                                  </pic:nvPicPr>
                                  <pic:blipFill>
                                    <a:blip r:embed="rId2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22</w:t>
                      </w:r>
                    </w:p>
                  </w:txbxContent>
                </v:textbox>
              </v:rect>
            </w:pict>
          </mc:Fallback>
        </mc:AlternateConten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"Underwriter"), a 30-day option to purchase up to an additional 1,200,000 shares of Class A common stock. On April 5, 2023, the Underwriter exercised its overallotment option in part, to purchase an additional 620,493 shares of the Company's Class A common stock (see Note 16. Subsequent Events for additional details). We used all of the net proceeds from the Q1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Financial Highlights for the Quarter Ended March 26, 2023 vs. Quarter Ended March 27, 2022:</w:t>
      </w:r>
    </w:p>
    <w:p>
      <w:pPr>
        <w:pStyle w:val="TextBody"/>
        <w:spacing w:before="0" w:after="0"/>
        <w:rPr/>
      </w:pPr>
      <w:r>
        <w:rPr/>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Total revenue increased 16.0% or $21.6 million to $156.1 million;</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 xml:space="preserve">Same restaurant sales increased </w:t>
      </w:r>
      <w:r>
        <w:rPr>
          <w:rFonts w:ascii="Arial Narrow;sans-serif" w:hAnsi="Arial Narrow;sans-serif"/>
          <w:b w:val="false"/>
          <w:color w:val="000000"/>
          <w:sz w:val="20"/>
          <w:highlight w:val="white"/>
        </w:rPr>
        <w:t>9.1%</w:t>
      </w:r>
      <w:r>
        <w:rPr>
          <w:rFonts w:ascii="Arial Narrow;sans-serif" w:hAnsi="Arial Narrow;sans-serif"/>
          <w:b w:val="false"/>
          <w:color w:val="000000"/>
          <w:sz w:val="20"/>
        </w:rPr>
        <w:t>;</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Operating income increased $1.7 million to $8.5 million;</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Net income decreased $1.8 million to a net loss of $1.3 million;</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Restaurant-Level Adjusted EBITDA* increased $6.8 million to $34.8 million; and</w:t>
      </w:r>
    </w:p>
    <w:p>
      <w:pPr>
        <w:pStyle w:val="TextBody"/>
        <w:spacing w:lineRule="auto" w:line="288" w:before="0" w:after="0"/>
        <w:ind w:left="0" w:right="0" w:hanging="360"/>
        <w:rPr/>
      </w:pPr>
      <w:r>
        <w:rPr>
          <w:color w:val="000000"/>
        </w:rPr>
        <w:t>•</w:t>
      </w:r>
      <w:r>
        <w:rPr>
          <w:rFonts w:ascii="Arial Narrow;sans-serif" w:hAnsi="Arial Narrow;sans-serif"/>
          <w:b w:val="false"/>
          <w:color w:val="000000"/>
          <w:sz w:val="20"/>
        </w:rPr>
        <w:t>Adjusted EBITDA* increased $2.0 million to $19.6 million.</w:t>
      </w:r>
    </w:p>
    <w:p>
      <w:pPr>
        <w:pStyle w:val="TextBody"/>
        <w:spacing w:before="0" w:after="0"/>
        <w:rPr/>
      </w:pPr>
      <w:r>
        <w:rPr/>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Adjusted EBITDA and Restaurant-Level Adjusted EBITDA are non-GAAP measures. Definitions and reconciliations of Adjusted EBITDA to net (loss) income and Restaurant-Level Adjusted EBITDA to operating income the most directly comparable financial measures presented in accordance with GAAP, are set forth under the section "Key Performance Indicators and Non-GAAP Financial Measures".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Recent Developments and Trends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continue to see revenue growth due to our new restaurant openings, as well as same-restaurant sales growth. Total revenue grew 16.0% for the quarter ended March 26, 2023. Same-restaurant sales grew 9.1% during the quarter ended March 26, 2023.</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During and subsequent to the quarter ended March 26, 2023, we opened the remaining four restaurants that were planned for 2022, completing our seven restaurants in the "Class of 2022". Our six new restaurants opened in 2022 and 2023, positively impacted revenues by approximately $10.6 million in the quarter ended March 26, 2023. We plan to open nine more new restaurants in 2023 ("Class of 2023").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the quarter ended March 26, 2023, we continued to experience commodity inflation, but to a lesser extent than we saw in 2022. Commodity inflation was 8.9% for the quarter ended March 26, 2023 compared to 15.7% for the quarter ended March 27, 2022. We expect our overall commodity inflation to ease over the course of the year and are currently estimating commodity inflation in the mid single digits for the full fiscal year. Labor expenses, as a percentage of revenue, declined during the quarter ended March 26, 2023, primarily due to increases in our average check and transactions and operational efficiencies. This decrease was partially offset by additional wage investments, primarily wage investments to support our team members made in July 2022. We do anticipate additional wage investments in 2023. During mid-January 2023 and at the beginning of May 2023, we increased certain menu prices to reflect a net approximate 2.0% and 3.0% price increase, respectively, to continue to combat inflationary cost pressures and progress towards our goal to improve Restaurant-Level Adjusted EBITDA margins for fiscal 2023.</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the quarter ended March 26, 2023, operating income margin and Restaurant-Level Adjusted EBITDA Margin sequentially improved compared to the quarter ended December 26, 2022 and to the prior year quarter ended March 27, 2022. We believe this improvement was the result of our continued efforts to elevate guest experiences, deploy strategic pricing actions and implement operational efficiencies.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also recently celebrated our 60th anniversary on April 5, 2023. Since our founding at the “The Dog House,” we have grown to become a treasured brand with a passionate nationwide following. We will continue to create decades worth of memories for new fans as we expand across the nation. Even after 60 years, we have so much opportunity to develop and grow our team members, enhance the Portillo’s experience for our guests, and to create enduring value for our investors.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2755"/>
                <wp:effectExtent l="0" t="0" r="0" b="0"/>
                <wp:wrapNone/>
                <wp:docPr id="74" name="Frame25"/>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2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8" descr=""/>
                                    <pic:cNvPicPr>
                                      <a:picLocks noChangeAspect="1" noChangeArrowheads="1"/>
                                    </pic:cNvPicPr>
                                  </pic:nvPicPr>
                                  <pic:blipFill>
                                    <a:blip r:embed="rId2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23</w:t>
                      </w:r>
                    </w:p>
                  </w:txbxContent>
                </v:textbox>
              </v:rect>
            </w:pict>
          </mc:Fallback>
        </mc:AlternateContent>
      </w:r>
    </w:p>
    <w:p>
      <w:pPr>
        <w:pStyle w:val="TextBody"/>
        <w:spacing w:before="0" w:after="0"/>
        <w:rPr/>
      </w:pPr>
      <w:r>
        <w:rPr/>
      </w: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Development Highlights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opened three new restaurants during the quarter ended March 26, 2023. Subsequent to March 26, 2023, we opened one additional restaurant, bringing our total restaurant count to 76, including a restaurant owned by C&amp;O of which Portillo’s owns 50% of the equity.</w:t>
      </w:r>
    </w:p>
    <w:p>
      <w:pPr>
        <w:pStyle w:val="TextBody"/>
        <w:spacing w:before="0" w:after="0"/>
        <w:rPr/>
      </w:pPr>
      <w:r>
        <w:rPr/>
      </w:r>
    </w:p>
    <w:tbl>
      <w:tblPr>
        <w:tblW w:w="2475" w:type="dxa"/>
        <w:jc w:val="left"/>
        <w:tblInd w:w="0" w:type="dxa"/>
        <w:tblCellMar>
          <w:top w:w="28" w:type="dxa"/>
          <w:left w:w="28" w:type="dxa"/>
          <w:bottom w:w="28" w:type="dxa"/>
          <w:right w:w="28" w:type="dxa"/>
        </w:tblCellMar>
      </w:tblPr>
      <w:tblGrid>
        <w:gridCol w:w="483"/>
        <w:gridCol w:w="423"/>
        <w:gridCol w:w="429"/>
        <w:gridCol w:w="334"/>
        <w:gridCol w:w="334"/>
        <w:gridCol w:w="472"/>
      </w:tblGrid>
      <w:tr>
        <w:trPr/>
        <w:tc>
          <w:tcPr>
            <w:tcW w:w="483"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 xml:space="preserve">Location </w:t>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Opening Date</w:t>
            </w:r>
          </w:p>
        </w:tc>
      </w:tr>
      <w:tr>
        <w:trPr/>
        <w:tc>
          <w:tcPr>
            <w:tcW w:w="133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Kissimmee, Florida</w:t>
            </w:r>
          </w:p>
        </w:tc>
        <w:tc>
          <w:tcPr>
            <w:tcW w:w="114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December 2022</w:t>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The Colony, Texas</w:t>
            </w:r>
          </w:p>
        </w:tc>
        <w:tc>
          <w:tcPr>
            <w:tcW w:w="11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January 2023</w:t>
            </w:r>
          </w:p>
        </w:tc>
      </w:tr>
      <w:tr>
        <w:trPr/>
        <w:tc>
          <w:tcPr>
            <w:tcW w:w="133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Tucson, Arizona</w:t>
            </w:r>
          </w:p>
        </w:tc>
        <w:tc>
          <w:tcPr>
            <w:tcW w:w="11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February 2023</w:t>
            </w:r>
          </w:p>
        </w:tc>
      </w:tr>
      <w:tr>
        <w:trPr/>
        <w:tc>
          <w:tcPr>
            <w:tcW w:w="1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Gilbert, Arizona</w:t>
            </w:r>
          </w:p>
        </w:tc>
        <w:tc>
          <w:tcPr>
            <w:tcW w:w="11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March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2755"/>
                <wp:effectExtent l="0" t="0" r="0" b="0"/>
                <wp:wrapNone/>
                <wp:docPr id="77" name="Frame26"/>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7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9" descr=""/>
                                    <pic:cNvPicPr>
                                      <a:picLocks noChangeAspect="1" noChangeArrowheads="1"/>
                                    </pic:cNvPicPr>
                                  </pic:nvPicPr>
                                  <pic:blipFill>
                                    <a:blip r:embed="rId3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24</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Consolidated Results of Operations</w:t>
      </w:r>
    </w:p>
    <w:p>
      <w:pPr>
        <w:pStyle w:val="TextBody"/>
        <w:spacing w:before="0" w:after="0"/>
        <w:rPr/>
      </w:pPr>
      <w:r>
        <w:rPr/>
      </w:r>
    </w:p>
    <w:p>
      <w:pPr>
        <w:pStyle w:val="TextBody"/>
        <w:spacing w:lineRule="auto" w:line="288" w:before="0" w:after="198"/>
        <w:rPr>
          <w:rFonts w:ascii="Arial Narrow;sans-serif" w:hAnsi="Arial Narrow;sans-serif"/>
          <w:b w:val="false"/>
          <w:color w:val="000000"/>
          <w:sz w:val="20"/>
        </w:rPr>
      </w:pPr>
      <w:r>
        <w:rPr>
          <w:rFonts w:ascii="Arial Narrow;sans-serif" w:hAnsi="Arial Narrow;sans-serif"/>
          <w:b w:val="false"/>
          <w:color w:val="000000"/>
          <w:sz w:val="20"/>
        </w:rPr>
        <w:t>The following table summarizes our results of operations for the quarters ended March 26, 2023 and March 27, 2022 (in thousands):</w:t>
      </w:r>
    </w:p>
    <w:tbl>
      <w:tblPr>
        <w:tblW w:w="10205" w:type="dxa"/>
        <w:jc w:val="left"/>
        <w:tblInd w:w="0" w:type="dxa"/>
        <w:tblCellMar>
          <w:top w:w="28" w:type="dxa"/>
          <w:left w:w="28" w:type="dxa"/>
          <w:bottom w:w="28" w:type="dxa"/>
          <w:right w:w="28" w:type="dxa"/>
        </w:tblCellMar>
      </w:tblPr>
      <w:tblGrid>
        <w:gridCol w:w="1529"/>
        <w:gridCol w:w="1332"/>
        <w:gridCol w:w="1343"/>
        <w:gridCol w:w="109"/>
        <w:gridCol w:w="109"/>
        <w:gridCol w:w="109"/>
        <w:gridCol w:w="109"/>
        <w:gridCol w:w="360"/>
        <w:gridCol w:w="360"/>
        <w:gridCol w:w="361"/>
        <w:gridCol w:w="109"/>
        <w:gridCol w:w="181"/>
        <w:gridCol w:w="646"/>
        <w:gridCol w:w="109"/>
        <w:gridCol w:w="109"/>
        <w:gridCol w:w="109"/>
        <w:gridCol w:w="109"/>
        <w:gridCol w:w="248"/>
        <w:gridCol w:w="248"/>
        <w:gridCol w:w="241"/>
        <w:gridCol w:w="109"/>
        <w:gridCol w:w="109"/>
        <w:gridCol w:w="109"/>
        <w:gridCol w:w="181"/>
        <w:gridCol w:w="646"/>
        <w:gridCol w:w="109"/>
        <w:gridCol w:w="109"/>
        <w:gridCol w:w="109"/>
        <w:gridCol w:w="109"/>
        <w:gridCol w:w="248"/>
        <w:gridCol w:w="248"/>
        <w:gridCol w:w="289"/>
      </w:tblGrid>
      <w:tr>
        <w:trPr/>
        <w:tc>
          <w:tcPr>
            <w:tcW w:w="152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4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3439" w:type="dxa"/>
            <w:gridSpan w:val="18"/>
            <w:tcBorders/>
            <w:shd w:fill="auto" w:val="clear"/>
          </w:tcPr>
          <w:p>
            <w:pPr>
              <w:pStyle w:val="TableContents"/>
              <w:spacing w:before="0" w:after="283"/>
              <w:rPr>
                <w:sz w:val="4"/>
                <w:szCs w:val="4"/>
              </w:rPr>
            </w:pPr>
            <w:r>
              <w:rPr>
                <w:sz w:val="4"/>
                <w:szCs w:val="4"/>
              </w:rPr>
            </w:r>
          </w:p>
        </w:tc>
      </w:tr>
      <w:tr>
        <w:trPr/>
        <w:tc>
          <w:tcPr>
            <w:tcW w:w="4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c>
          <w:tcPr>
            <w:tcW w:w="2375" w:type="dxa"/>
            <w:gridSpan w:val="12"/>
            <w:tcBorders/>
            <w:shd w:fill="auto" w:val="clear"/>
          </w:tcPr>
          <w:p>
            <w:pPr>
              <w:pStyle w:val="TableContents"/>
              <w:spacing w:before="0" w:after="283"/>
              <w:rPr>
                <w:sz w:val="4"/>
                <w:szCs w:val="4"/>
              </w:rPr>
            </w:pPr>
            <w:r>
              <w:rPr>
                <w:sz w:val="4"/>
                <w:szCs w:val="4"/>
              </w:rPr>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REVENUES,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156,061 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134,482 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100.0 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COST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Restaurant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goods sold, excluding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53,626 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34.4 </w:t>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46,266 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34.4 </w:t>
            </w:r>
          </w:p>
        </w:tc>
        <w:tc>
          <w:tcPr>
            <w:tcW w:w="2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Labor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40,459 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27.7 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Occupancy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8,451 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5.4 </w:t>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5.8 </w:t>
            </w:r>
          </w:p>
        </w:tc>
        <w:tc>
          <w:tcPr>
            <w:tcW w:w="2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Total restaurant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77.7 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106,499 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79.2 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2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5.4 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4.5 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241"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(LOSS) 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r>
      <w:tr>
        <w:trPr/>
        <w:tc>
          <w:tcPr>
            <w:tcW w:w="42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3"/>
            <w:tcBorders/>
            <w:shd w:fill="auto" w:val="clear"/>
            <w:vAlign w:val="center"/>
          </w:tcPr>
          <w:p>
            <w:pPr>
              <w:pStyle w:val="TableContents"/>
              <w:spacing w:before="0" w:after="283"/>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24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2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204"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color w:val="000000"/>
                <w:sz w:val="18"/>
              </w:rPr>
            </w:pPr>
            <w:r>
              <w:rPr>
                <w:rFonts w:ascii="Arial Narrow;sans-serif" w:hAnsi="Arial Narrow;sans-serif"/>
                <w:b/>
                <w:color w:val="000000"/>
                <w:sz w:val="18"/>
              </w:rPr>
              <w:t>NET (LOSS) INCOME ATTRIBUTABLE TO PORTILLO'S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(514)</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2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28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Revenues, Net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Revenues for the quarter ended March 26, 2023 were $156.1 million compared to $134.5 million for the quarter ended March 27, 2022, an increase of $21.6 million or 16.0%. The increase in revenues was primarily attributed to an increase in our same-restaurant sales and the opening of three restaurants in 2022 and three restaurants during the quarter ended March 26, 2023. Same-restaurant sales increased 9.1% during the first quarter ended March 26, 2023, which was attributable to an increase in average check of 7.0% and a 2.1% increase in transactions. The higher average check was driven by an approximate 9.2% increase in certain menu prices partially offset by product mix. New restaurants positively impacted revenues by approximately $10.6 million in the quarter ended March 26, 2023. For the purpose of calculating same-restaurant sales for March 26, 2023, sales for </w:t>
      </w:r>
      <w:r>
        <w:rPr>
          <w:rFonts w:ascii="Arial Narrow;sans-serif" w:hAnsi="Arial Narrow;sans-serif"/>
          <w:b w:val="false"/>
          <w:color w:val="000000"/>
          <w:sz w:val="20"/>
          <w:highlight w:val="white"/>
        </w:rPr>
        <w:t>63</w:t>
      </w:r>
      <w:r>
        <w:rPr>
          <w:color w:val="000000"/>
        </w:rPr>
        <w:t xml:space="preserve"> </w:t>
      </w:r>
      <w:r>
        <w:rPr>
          <w:rFonts w:ascii="Arial Narrow;sans-serif" w:hAnsi="Arial Narrow;sans-serif"/>
          <w:b w:val="false"/>
          <w:color w:val="000000"/>
          <w:sz w:val="20"/>
        </w:rPr>
        <w:t xml:space="preserve">restaurants were included in the Comparable Restaurant Base (as defined in "Selected Operating Data" below).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2755"/>
                <wp:effectExtent l="0" t="0" r="0" b="0"/>
                <wp:wrapNone/>
                <wp:docPr id="80" name="Frame27"/>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3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0" descr=""/>
                                    <pic:cNvPicPr>
                                      <a:picLocks noChangeAspect="1" noChangeArrowheads="1"/>
                                    </pic:cNvPicPr>
                                  </pic:nvPicPr>
                                  <pic:blipFill>
                                    <a:blip r:embed="rId3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25</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Cost of Goods Sold, Excluding Depreciation and Amortization</w:t>
      </w:r>
    </w:p>
    <w:p>
      <w:pPr>
        <w:pStyle w:val="TextBody"/>
        <w:spacing w:before="0" w:after="0"/>
        <w:rPr/>
      </w:pPr>
      <w:r>
        <w:rPr/>
      </w:r>
    </w:p>
    <w:p>
      <w:pPr>
        <w:pStyle w:val="TextBody"/>
        <w:spacing w:lineRule="auto" w:line="276" w:before="0" w:after="0"/>
        <w:rPr/>
      </w:pPr>
      <w:r>
        <w:rPr>
          <w:rFonts w:ascii="Arial Narrow;sans-serif" w:hAnsi="Arial Narrow;sans-serif"/>
          <w:b w:val="false"/>
          <w:color w:val="000000"/>
          <w:sz w:val="20"/>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w:t>
      </w:r>
      <w:r>
        <w:rPr>
          <w:rFonts w:ascii="Arial Narrow;sans-serif" w:hAnsi="Arial Narrow;sans-serif"/>
          <w:b w:val="false"/>
          <w:i/>
          <w:color w:val="000000"/>
          <w:sz w:val="20"/>
        </w:rPr>
        <w:t>.</w:t>
      </w:r>
      <w:r>
        <w:rPr>
          <w:color w:val="000000"/>
        </w:rPr>
        <w:t xml:space="preserv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Cost of goods sold, excluding depreciation and amortization for the quarter ended March 26, 2023 was $53.6 million compared to $46.3 million for the quarter ended March 27, 2022, an increase of $7.4 million or 15.9%. This increase was primarily driven by a 8.9% increase in commodity prices and the opening of three restaurants in 2022 and three restaurants during the quarter ended March 26, 2023, partially offset by an lower third-party delivery commissions. As a percentage of revenues net, cost of goods sold, excluding depreciation and amortization was flat during the quarter ended March 26, 2023.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Labor Expenses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r>
        <w:rPr>
          <w:rFonts w:ascii="Arial Narrow;sans-serif" w:hAnsi="Arial Narrow;sans-serif"/>
          <w:b w:val="false"/>
          <w:i/>
          <w:color w:val="000000"/>
          <w:sz w:val="20"/>
        </w:rPr>
        <w:t>.</w:t>
      </w:r>
      <w:r>
        <w:rPr>
          <w:color w:val="000000"/>
        </w:rPr>
        <w:t xml:space="preserv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Labor expenses for the quarter ended March 26, 2023 were $40.5 million compared to $37.3 million for the quarter ended March 27, 2022, an increase of $3.1 million or 8.4%. This increase was primarily driven by the opening of three restaurants in 2022 and three restaurants during the quarter ended March 26, 2023 and incremental investments to support our team members, including rate increases primarily made in July 2022. These increases were partially offset by operational efficiencies. As a percentage of revenues, net, labor decreased 1.8% due primarily to increases in our average check and transactions and operational efficiencies, partially offset by the aforementioned incremental wage rate increases to support our team members.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Occupancy Expenses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Occupancy expenses primarily consist of rent, property insurance and property taxes.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Occupancy expenses for the quarter ended March 26, 2023 were $8.5 million compared to $7.8 million for the quarter ended March 27, 2022, an increase of $0.7 million or 9.0%, primarily driven by the opening of three restaurants in 2022 and three restaurants during the quarter ended March 26, 2023. As a percentage of revenues, net, occupancy expenses decreased 0.4% due primarily to increases in our average check and transactions.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Other Operating Expenses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consist of direct marketing expenses, utilities and other operating expenses incidental to operating our restaurants, such as credit card fees and repairs and maintenance.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Other operating expenses for the quarter ended March 26, 2023 were $18.7 million compared to $15.2 million for the quarter ended March 27, 2022, an increase of $3.5 million or 23.3%, primarily due to an increase in repair and maintenance expenses, credit card fees, operating supplies and insurance, and the opening of three restaurants in 2022 and three restaurants during the quarter ended March 26, 2023. As a percentage of revenues, net, operating expenses increased 0.7% due primarily to the aforementioned increases in expenses, partially offset by increases in our average check and transactions.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General and Administrative Expenses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2755"/>
                <wp:effectExtent l="0" t="0" r="0" b="0"/>
                <wp:wrapNone/>
                <wp:docPr id="83" name="Frame28"/>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1" descr=""/>
                                          <pic:cNvPicPr>
                                            <a:picLocks noChangeAspect="1" noChangeArrowheads="1"/>
                                          </pic:cNvPicPr>
                                        </pic:nvPicPr>
                                        <pic:blipFill>
                                          <a:blip r:embed="rId3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1" descr=""/>
                                    <pic:cNvPicPr>
                                      <a:picLocks noChangeAspect="1" noChangeArrowheads="1"/>
                                    </pic:cNvPicPr>
                                  </pic:nvPicPr>
                                  <pic:blipFill>
                                    <a:blip r:embed="rId3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26</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General and administrative expenses for the quarter ended March 26, 2023 were $18.8 million compared to $15.7 million for the quarter ended March 27, 2022, an increase of $3.1 million or 19.7%. This increase was primarily driven by an increase in salaries and wages attributable to annual rate increases and the filling of open positions, variable-based compensation and an increase in professional and software licensing fees.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Pre-Opening Expenses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Pre-opening expenses consist primarily of wages, occupancy expenses, which represent rent expense recognized during the period between the date of possession of the restaurant facility and the restaurant opening date,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Pre-opening expenses for the quarter ended March 26, 2023 were $2.3 million compared to $0.6 million for the quarter ended March 27, 2022, an increase of $1.8 million or 321.6%. The increase was due to the timing and geographic location of activities related to our planned restaurant openings for the quarter ended March 26, 2023 as compared to the quarter ended March 27, 2022.</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Depreciation and Amortization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expenses consist of the depreciation of fixed assets, including leasehold improvements, fixtures and equipment and the amortization of definite-lived intangible assets, which are primarily comprised of recipes.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for the quarter ended March 26, 2023 was $5.7 million compared to $5.2 million for the quarter ended March 27, 2022, an increase of $0.5 million or 8.9%. This increase was primarily attributable incremental depreciation of capital expenditures related to the opening of three restaurants in 2022 and three restaurants during the quarter ended March 26, 2023.</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Net Income Attributable to Equity Method Investment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Net income attributable to equity method investment consists of a 50% interest in C&amp;O, which runs a single restaurant located within the Chicagoland market. We account for the investment and financial results in the condensed consolidated financial statements under the equity method of accounting as we have significant influence but do not have control.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Net income attributable to equity method investment for the quarter ended March 26, 2023 was $0.2 million compared to $0.1 million for the quarter ended March 27, 2022, an increase of $0.1 million or 68.3%. This increase was primarily driven by increased revenue, which is attributable to increases in average check and transactions.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Other Income, Net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Other income, net for the quarter ended March 26, 2023 was $0.3 million compared to $0.2 million for the quarter ended March 27, 2022, an increase of $0.1 million or 64.7%. This increase was primarily due to an increase in trading gains in the rabbi trust used to fund our deferred compensation plan, partially offset by a decrease in loss on sale of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2755"/>
                <wp:effectExtent l="0" t="0" r="0" b="0"/>
                <wp:wrapNone/>
                <wp:docPr id="86" name="Frame29"/>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2" descr=""/>
                                          <pic:cNvPicPr>
                                            <a:picLocks noChangeAspect="1" noChangeArrowheads="1"/>
                                          </pic:cNvPicPr>
                                        </pic:nvPicPr>
                                        <pic:blipFill>
                                          <a:blip r:embed="rId3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8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2" descr=""/>
                                    <pic:cNvPicPr>
                                      <a:picLocks noChangeAspect="1" noChangeArrowheads="1"/>
                                    </pic:cNvPicPr>
                                  </pic:nvPicPr>
                                  <pic:blipFill>
                                    <a:blip r:embed="rId3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27</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Interest Expense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Interest expense primarily consists of interest and fees on our credit facilities and the amortization expense for debt discount and deferred issuance costs. </w:t>
      </w:r>
    </w:p>
    <w:p>
      <w:pPr>
        <w:pStyle w:val="TextBody"/>
        <w:spacing w:before="0" w:after="0"/>
        <w:rPr/>
      </w:pPr>
      <w:r>
        <w:rPr/>
      </w:r>
    </w:p>
    <w:p>
      <w:pPr>
        <w:pStyle w:val="TextBody"/>
        <w:spacing w:lineRule="auto" w:line="26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Interest expense for the quarter ended March 26, 2023 was $7.4 million compared to $6.1 million for the quarter ended March 27, 2022, an increase of $1.3 million or 22.1%. This increase was primarily driven by a higher effective interest rate attributable to the year over year rising interest rate environment, partially offset by the improved lending terms associated with our 2023 Term Loan and 2023 Revolver Facility.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Tax Receivable Agreement Liability Adjustment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are party 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The Tax Receivable Agreement liability adjustment was </w:t>
      </w:r>
      <w:r>
        <w:rPr>
          <w:rFonts w:ascii="Arial Narrow;sans-serif" w:hAnsi="Arial Narrow;sans-serif"/>
          <w:b w:val="false"/>
          <w:color w:val="000000"/>
          <w:sz w:val="20"/>
          <w:highlight w:val="white"/>
        </w:rPr>
        <w:t>$0.6 million</w:t>
      </w:r>
      <w:r>
        <w:rPr>
          <w:color w:val="000000"/>
        </w:rPr>
        <w:t xml:space="preserve"> </w:t>
      </w:r>
      <w:r>
        <w:rPr>
          <w:rFonts w:ascii="Arial Narrow;sans-serif" w:hAnsi="Arial Narrow;sans-serif"/>
          <w:b w:val="false"/>
          <w:color w:val="000000"/>
          <w:sz w:val="20"/>
        </w:rPr>
        <w:t>for the quarter ended March 26, 2023 related to a remeasurement primarily due to activity under equity-based compensation plans. There was no Tax Receivable Agreement liability adjustment for the quarter ended March 27, 2022.</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Loss on Debt Extinguishment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Loss on debt extinguishment for the quarter ended March 26, 2023 was </w:t>
      </w:r>
      <w:r>
        <w:rPr>
          <w:rFonts w:ascii="Arial Narrow;sans-serif" w:hAnsi="Arial Narrow;sans-serif"/>
          <w:b w:val="false"/>
          <w:color w:val="000000"/>
          <w:sz w:val="20"/>
          <w:highlight w:val="white"/>
        </w:rPr>
        <w:t>$3.5 million</w:t>
      </w:r>
      <w:r>
        <w:rPr>
          <w:color w:val="000000"/>
        </w:rPr>
        <w:t xml:space="preserve"> </w:t>
      </w:r>
      <w:r>
        <w:rPr>
          <w:rFonts w:ascii="Arial Narrow;sans-serif" w:hAnsi="Arial Narrow;sans-serif"/>
          <w:b w:val="false"/>
          <w:color w:val="000000"/>
          <w:sz w:val="20"/>
        </w:rPr>
        <w:t>due to the write-off of debt discount and deferred issuance costs of associated with the payoff of the 2014 Credit Agreement as described in Note 8. Debt. There was no loss on debt extinguishment for the quarter ended March 27, 2022.</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Income Tax (Benefit) Expense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We are subject to U.S. federal, as well as state and local income taxes with respect to our allocable share of any taxable income or loss of Portillo's OpCo, as well as any stand-alone income or loss generated by Portillo's Inc.</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Income tax benefit for the quarter ended March 26, 2023 was </w:t>
      </w:r>
      <w:r>
        <w:rPr>
          <w:rFonts w:ascii="Arial Narrow;sans-serif" w:hAnsi="Arial Narrow;sans-serif"/>
          <w:b w:val="false"/>
          <w:color w:val="000000"/>
          <w:sz w:val="20"/>
          <w:highlight w:val="white"/>
        </w:rPr>
        <w:t xml:space="preserve">$0.6 million compared to income tax expense of $0.2 million for the </w:t>
      </w:r>
      <w:r>
        <w:rPr>
          <w:rFonts w:ascii="Arial Narrow;sans-serif" w:hAnsi="Arial Narrow;sans-serif"/>
          <w:b w:val="false"/>
          <w:color w:val="000000"/>
          <w:sz w:val="20"/>
        </w:rPr>
        <w:t xml:space="preserve">quarter ended March 27, 2022, a decrease of </w:t>
      </w:r>
      <w:r>
        <w:rPr>
          <w:rFonts w:ascii="Arial Narrow;sans-serif" w:hAnsi="Arial Narrow;sans-serif"/>
          <w:b w:val="false"/>
          <w:color w:val="000000"/>
          <w:sz w:val="20"/>
          <w:highlight w:val="white"/>
        </w:rPr>
        <w:t>$0.7 million</w:t>
      </w:r>
      <w:r>
        <w:rPr>
          <w:color w:val="000000"/>
        </w:rPr>
        <w:t xml:space="preserve"> </w:t>
      </w:r>
      <w:r>
        <w:rPr>
          <w:rFonts w:ascii="Arial Narrow;sans-serif" w:hAnsi="Arial Narrow;sans-serif"/>
          <w:b w:val="false"/>
          <w:color w:val="000000"/>
          <w:sz w:val="20"/>
        </w:rPr>
        <w:t xml:space="preserve">or 438.8%. Our effective income tax rate for the quarter ended March 26, 2023 was </w:t>
      </w:r>
      <w:r>
        <w:rPr>
          <w:rFonts w:ascii="Arial Narrow;sans-serif" w:hAnsi="Arial Narrow;sans-serif"/>
          <w:b w:val="false"/>
          <w:color w:val="000000"/>
          <w:sz w:val="20"/>
          <w:highlight w:val="white"/>
        </w:rPr>
        <w:t>30.5%, compared to 16.6% f</w:t>
      </w:r>
      <w:r>
        <w:rPr>
          <w:rFonts w:ascii="Arial Narrow;sans-serif" w:hAnsi="Arial Narrow;sans-serif"/>
          <w:b w:val="false"/>
          <w:color w:val="000000"/>
          <w:sz w:val="20"/>
        </w:rPr>
        <w:t xml:space="preserve">or the quarters ended March 27, 2022. The increase in our effective income tax rate for the quarter ended March 26, 2023 compared to the quarter ended March 27, 2022 was primarily driven by the increase in the valuation allowance and an increase in the Company's ownership interest in Portillo's OpCo, which increases its share of taxable income (loss) of Portillo's OpCo. </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Net (Loss) Income Attributable to Non-controlling Interests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Net loss attributable to non-controlling interests for the quarter ended March 26, 2023 was $0.8 million, compared to net income attributable to non-controlling interests of $0.4 million </w:t>
      </w:r>
      <w:r>
        <w:rPr>
          <w:rFonts w:ascii="Arial Narrow;sans-serif" w:hAnsi="Arial Narrow;sans-serif"/>
          <w:b w:val="false"/>
          <w:color w:val="000000"/>
          <w:sz w:val="20"/>
          <w:highlight w:val="white"/>
        </w:rPr>
        <w:t xml:space="preserve">for the </w:t>
      </w:r>
      <w:r>
        <w:rPr>
          <w:rFonts w:ascii="Arial Narrow;sans-serif" w:hAnsi="Arial Narrow;sans-serif"/>
          <w:b w:val="false"/>
          <w:color w:val="000000"/>
          <w:sz w:val="20"/>
        </w:rPr>
        <w:t>quarter ended March 27, 2022, a decrease of $1.1 million or 313.2%. The decrease in net (loss) income attributable to non-controlling interests for the quarter ended March 26, 2023 was primarily due to a decrease in net income primarily due to the factors driving the aforementioned expenses, compared to the quarter ended March 27, 2022, partially offset by a decrease in the non-controlling interest holders' weighted average ownership, from 49.9% for the quarter ended March 27, 2022 to 31.4% for the quarter ended March 26,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2755"/>
                <wp:effectExtent l="0" t="0" r="0" b="0"/>
                <wp:wrapNone/>
                <wp:docPr id="89" name="Frame30"/>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3" descr=""/>
                                          <pic:cNvPicPr>
                                            <a:picLocks noChangeAspect="1" noChangeArrowheads="1"/>
                                          </pic:cNvPicPr>
                                        </pic:nvPicPr>
                                        <pic:blipFill>
                                          <a:blip r:embed="rId3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3" descr=""/>
                                    <pic:cNvPicPr>
                                      <a:picLocks noChangeAspect="1" noChangeArrowheads="1"/>
                                    </pic:cNvPicPr>
                                  </pic:nvPicPr>
                                  <pic:blipFill>
                                    <a:blip r:embed="rId3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28</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Key Performance Indicators and Non-GAAP Financial Measures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tbl>
      <w:tblPr>
        <w:tblW w:w="6551" w:type="dxa"/>
        <w:jc w:val="left"/>
        <w:tblInd w:w="0" w:type="dxa"/>
        <w:tblCellMar>
          <w:top w:w="28" w:type="dxa"/>
          <w:left w:w="28" w:type="dxa"/>
          <w:bottom w:w="28" w:type="dxa"/>
          <w:right w:w="28" w:type="dxa"/>
        </w:tblCellMar>
      </w:tblPr>
      <w:tblGrid>
        <w:gridCol w:w="1276"/>
        <w:gridCol w:w="1122"/>
        <w:gridCol w:w="1127"/>
        <w:gridCol w:w="109"/>
        <w:gridCol w:w="109"/>
        <w:gridCol w:w="109"/>
        <w:gridCol w:w="109"/>
        <w:gridCol w:w="202"/>
        <w:gridCol w:w="638"/>
        <w:gridCol w:w="269"/>
        <w:gridCol w:w="109"/>
        <w:gridCol w:w="109"/>
        <w:gridCol w:w="109"/>
        <w:gridCol w:w="201"/>
        <w:gridCol w:w="635"/>
        <w:gridCol w:w="318"/>
      </w:tblGrid>
      <w:tr>
        <w:trPr/>
        <w:tc>
          <w:tcPr>
            <w:tcW w:w="127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35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Restaurants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75</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70</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AUV (in millions) (a)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same-restaurant sales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26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318"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(in thousands)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19,634 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17,630 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Margin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26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318"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(in thousands)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34,821 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27,983 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Margin (b)</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269"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318" w:type="dxa"/>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(a) Includes a restaurant that is owned by C&amp;O, of which Portillo’s owns 50% of the equity. AUVs for the quarters ended March 26, 2023 and March 27, 2022 represent AUVs for the twelve months ended March 26, 2023 and March 27, 2022, respectively. Total restaurants indicated are as of a point in time.</w:t>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(b) Excludes a restaurant that is owned by C&amp;O of which Portillo’s owns 50% of the equity.</w:t>
      </w:r>
    </w:p>
    <w:p>
      <w:pPr>
        <w:pStyle w:val="TextBody"/>
        <w:spacing w:before="0" w:after="0"/>
        <w:rPr/>
      </w:pPr>
      <w:r>
        <w:rPr/>
      </w:r>
    </w:p>
    <w:p>
      <w:pPr>
        <w:pStyle w:val="TextBody"/>
        <w:spacing w:lineRule="auto" w:line="288" w:before="0" w:after="0"/>
        <w:rPr/>
      </w:pPr>
      <w:r>
        <w:rPr>
          <w:rFonts w:ascii="Arial Narrow;sans-serif" w:hAnsi="Arial Narrow;sans-serif"/>
          <w:b/>
          <w:color w:val="D22630"/>
          <w:sz w:val="22"/>
        </w:rPr>
        <w:t>Change in Same-Restaurant Sales</w:t>
      </w:r>
      <w:r>
        <w:rPr>
          <w:color w:val="D22630"/>
        </w:rPr>
        <w:t xml:space="preserve">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quarters ended March 26, 2023 and March 27, 2022,</w:t>
      </w:r>
      <w:r>
        <w:rPr>
          <w:color w:val="000000"/>
          <w:highlight w:val="white"/>
        </w:rPr>
        <w:t xml:space="preserve"> </w:t>
      </w:r>
      <w:r>
        <w:rPr>
          <w:rFonts w:ascii="Arial Narrow;sans-serif" w:hAnsi="Arial Narrow;sans-serif"/>
          <w:b w:val="false"/>
          <w:color w:val="000000"/>
          <w:sz w:val="20"/>
          <w:highlight w:val="white"/>
        </w:rPr>
        <w:t>there were 63 and 61 restaurants i</w:t>
      </w:r>
      <w:r>
        <w:rPr>
          <w:rFonts w:ascii="Arial Narrow;sans-serif" w:hAnsi="Arial Narrow;sans-serif"/>
          <w:b w:val="false"/>
          <w:color w:val="000000"/>
          <w:sz w:val="20"/>
        </w:rPr>
        <w:t>n our Comparable Restaurant Base, respectively. The Comparable Restaurant Base excludes a restaurant that is owned by C&amp;O, of which Portillo’s owns 50% of the equity.</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 change in same-restaurant sales growth is the result of a change in restaurant transactions, average guest check, or a combination of the two. We gather daily sales data and regularly analyze the guest transaction counts and the mix of menu items sold to strategically evaluate menu pricing and demand. Measuring our same-restaurant sales growth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Average Unit Volume ("AUV")</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AUV is the total revenue (excluding gift card breakage) recognized in the Comparable Restaurant Base, including C&amp;O, divided by the number of restaurants in the Comparable Restaurant Base, including C&amp;O, by period.</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This key performance indicator allows management to assess changes in consumer spending patterns at our restaurants and the overall performance of our restaurant base.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2755"/>
                <wp:effectExtent l="0" t="0" r="0" b="0"/>
                <wp:wrapNone/>
                <wp:docPr id="92" name="Frame31"/>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3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4" descr=""/>
                                    <pic:cNvPicPr>
                                      <a:picLocks noChangeAspect="1" noChangeArrowheads="1"/>
                                    </pic:cNvPicPr>
                                  </pic:nvPicPr>
                                  <pic:blipFill>
                                    <a:blip r:embed="rId3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29</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Non-GAAP Financial Measures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To supplement the condensed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 xml:space="preserve">Adjusted EBITDA and Adjusted EBITDA Margin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Adjusted EBITDA represents net income before depreciation and amortization, interest expense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total revenues.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use Adjusted EBITDA and Adjusted EBITDA Margin (i) to evaluate our operating results and the effectiveness of our business strategies, (ii) internally as benchmarks to compare our performance to that of our competitors and (iii) as factors in evaluating management’s performance when determining incentive compensation.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believe that Adjusted EBITDA and Adjusted EBITDA Margin are important measures of operating performance because they eliminate the impact of expenses that do not relate to our core operating performance.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following table reconciles net (loss) income to Adjusted EBITDA and Adjusted EBITDA margin (in thousands):</w:t>
      </w:r>
    </w:p>
    <w:tbl>
      <w:tblPr>
        <w:tblW w:w="6265" w:type="dxa"/>
        <w:jc w:val="left"/>
        <w:tblInd w:w="0" w:type="dxa"/>
        <w:tblCellMar>
          <w:top w:w="28" w:type="dxa"/>
          <w:left w:w="28" w:type="dxa"/>
          <w:bottom w:w="28" w:type="dxa"/>
          <w:right w:w="28" w:type="dxa"/>
        </w:tblCellMar>
      </w:tblPr>
      <w:tblGrid>
        <w:gridCol w:w="1169"/>
        <w:gridCol w:w="1027"/>
        <w:gridCol w:w="1043"/>
        <w:gridCol w:w="109"/>
        <w:gridCol w:w="109"/>
        <w:gridCol w:w="109"/>
        <w:gridCol w:w="109"/>
        <w:gridCol w:w="202"/>
        <w:gridCol w:w="638"/>
        <w:gridCol w:w="269"/>
        <w:gridCol w:w="109"/>
        <w:gridCol w:w="109"/>
        <w:gridCol w:w="109"/>
        <w:gridCol w:w="201"/>
        <w:gridCol w:w="635"/>
        <w:gridCol w:w="318"/>
      </w:tblGrid>
      <w:tr>
        <w:trPr/>
        <w:tc>
          <w:tcPr>
            <w:tcW w:w="1169"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w:t>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5,670 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7,444 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6,099 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debt extinguishment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3,465 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(559)</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14,747 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rent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1,225 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3,537 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 (2)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Transaction-related fees &amp; expenses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592 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714 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Tax Receivable Agreement liability adjustment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(584)</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19,634 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17,630 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EBITDA Margin (5)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2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xml:space="preserve">(1) Represents the difference between cash rent payments and the recognition of straight-line rent expense recognized over the lease term. </w:t>
      </w:r>
    </w:p>
    <w:p>
      <w:pPr>
        <w:pStyle w:val="TextBody"/>
        <w:spacing w:lineRule="auto" w:line="288" w:before="0" w:after="0"/>
        <w:rPr>
          <w:rFonts w:ascii="Arial Narrow;sans-serif" w:hAnsi="Arial Narrow;sans-serif"/>
          <w:b w:val="false"/>
          <w:color w:val="000000"/>
          <w:sz w:val="18"/>
        </w:rPr>
      </w:pPr>
      <w:r>
        <w:rPr>
          <w:rFonts w:ascii="Arial Narrow;sans-serif" w:hAnsi="Arial Narrow;sans-serif"/>
          <w:b w:val="false"/>
          <w:color w:val="000000"/>
          <w:sz w:val="18"/>
        </w:rPr>
        <w:t xml:space="preserve">(2) Represents loss on disposal of property and equipment. </w:t>
      </w:r>
    </w:p>
    <w:p>
      <w:pPr>
        <w:pStyle w:val="TextBody"/>
        <w:spacing w:lineRule="auto" w:line="268" w:before="0" w:after="0"/>
        <w:rPr>
          <w:rFonts w:ascii="Arial Narrow;sans-serif" w:hAnsi="Arial Narrow;sans-serif"/>
          <w:b w:val="false"/>
          <w:color w:val="000000"/>
          <w:sz w:val="18"/>
        </w:rPr>
      </w:pPr>
      <w:r>
        <w:rPr>
          <w:rFonts w:ascii="Arial Narrow;sans-serif" w:hAnsi="Arial Narrow;sans-serif"/>
          <w:b w:val="false"/>
          <w:color w:val="000000"/>
          <w:sz w:val="18"/>
        </w:rPr>
        <w:t>(3) Represents the exclusion of certain expenses that management believes are not indicative of ongoing operations, consisting primarily of certain professional fees.</w:t>
      </w:r>
    </w:p>
    <w:p>
      <w:pPr>
        <w:pStyle w:val="TextBody"/>
        <w:spacing w:lineRule="auto" w:line="268" w:before="0" w:after="0"/>
        <w:rPr>
          <w:rFonts w:ascii="Arial Narrow;sans-serif" w:hAnsi="Arial Narrow;sans-serif"/>
          <w:b w:val="false"/>
          <w:color w:val="000000"/>
          <w:sz w:val="18"/>
        </w:rPr>
      </w:pPr>
      <w:r>
        <w:rPr>
          <w:rFonts w:ascii="Arial Narrow;sans-serif" w:hAnsi="Arial Narrow;sans-serif"/>
          <w:b w:val="false"/>
          <w:color w:val="000000"/>
          <w:sz w:val="18"/>
        </w:rPr>
        <w:t>(4) Represents remeasurement of the Tax Receivable Agreement liability.</w:t>
      </w:r>
    </w:p>
    <w:p>
      <w:pPr>
        <w:pStyle w:val="TextBody"/>
        <w:spacing w:lineRule="auto" w:line="268" w:before="0" w:after="0"/>
        <w:rPr>
          <w:rFonts w:ascii="Arial Narrow;sans-serif" w:hAnsi="Arial Narrow;sans-serif"/>
          <w:b w:val="false"/>
          <w:color w:val="000000"/>
          <w:sz w:val="18"/>
        </w:rPr>
      </w:pPr>
      <w:r>
        <w:rPr>
          <w:rFonts w:ascii="Arial Narrow;sans-serif" w:hAnsi="Arial Narrow;sans-serif"/>
          <w:b w:val="false"/>
          <w:color w:val="000000"/>
          <w:sz w:val="18"/>
        </w:rPr>
        <w:t>(5) Adjusted EBITDA Margin is defined as Adjusted EBITDA divided by Revenues, net.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2755"/>
                <wp:effectExtent l="0" t="0" r="0" b="0"/>
                <wp:wrapNone/>
                <wp:docPr id="95" name="Frame32"/>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3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36"/>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30</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198"/>
        <w:jc w:val="both"/>
        <w:rPr>
          <w:rFonts w:ascii="Arial Narrow;sans-serif" w:hAnsi="Arial Narrow;sans-serif"/>
          <w:b/>
          <w:color w:val="D22630"/>
          <w:sz w:val="22"/>
        </w:rPr>
      </w:pPr>
      <w:r>
        <w:rPr>
          <w:rFonts w:ascii="Arial Narrow;sans-serif" w:hAnsi="Arial Narrow;sans-serif"/>
          <w:b/>
          <w:color w:val="D22630"/>
          <w:sz w:val="22"/>
        </w:rPr>
        <w:t xml:space="preserve">Restaurant-Level Adjusted EBITDA and Restaurant-Level Adjusted EBITDA Margin </w:t>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believe that Restaurant-Level Adjusted EBITDA and Restaurant-Level Adjusted EBITDA Margin are important measures to evaluate the performance and profitability of our restaurants, individually and in the aggregate.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reconciles operating income to Restaurant-Level Adjusted EBITDA and Restaurant-Level Adjusted EBITDA Margin (in thousands): </w:t>
      </w:r>
    </w:p>
    <w:tbl>
      <w:tblPr>
        <w:tblW w:w="6431" w:type="dxa"/>
        <w:jc w:val="left"/>
        <w:tblInd w:w="0" w:type="dxa"/>
        <w:tblCellMar>
          <w:top w:w="28" w:type="dxa"/>
          <w:left w:w="28" w:type="dxa"/>
          <w:bottom w:w="28" w:type="dxa"/>
          <w:right w:w="28" w:type="dxa"/>
        </w:tblCellMar>
      </w:tblPr>
      <w:tblGrid>
        <w:gridCol w:w="1230"/>
        <w:gridCol w:w="1083"/>
        <w:gridCol w:w="1092"/>
        <w:gridCol w:w="109"/>
        <w:gridCol w:w="109"/>
        <w:gridCol w:w="109"/>
        <w:gridCol w:w="109"/>
        <w:gridCol w:w="202"/>
        <w:gridCol w:w="638"/>
        <w:gridCol w:w="269"/>
        <w:gridCol w:w="109"/>
        <w:gridCol w:w="109"/>
        <w:gridCol w:w="109"/>
        <w:gridCol w:w="201"/>
        <w:gridCol w:w="635"/>
        <w:gridCol w:w="318"/>
      </w:tblGrid>
      <w:tr>
        <w:trPr/>
        <w:tc>
          <w:tcPr>
            <w:tcW w:w="123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7"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c>
          <w:tcPr>
            <w:tcW w:w="1481" w:type="dxa"/>
            <w:gridSpan w:val="6"/>
            <w:tcBorders/>
            <w:shd w:fill="auto" w:val="clea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8,493 </w:t>
            </w:r>
          </w:p>
        </w:tc>
        <w:tc>
          <w:tcPr>
            <w:tcW w:w="2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6,814 </w:t>
            </w:r>
          </w:p>
        </w:tc>
        <w:tc>
          <w:tcPr>
            <w:tcW w:w="31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Plus: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18,778 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15,687 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Pre-opening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2,344 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556 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5,670 </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5,205 </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attributable to equity method investment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(257)</w:t>
            </w:r>
          </w:p>
        </w:tc>
        <w:tc>
          <w:tcPr>
            <w:tcW w:w="2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(156)</w:t>
            </w:r>
          </w:p>
        </w:tc>
        <w:tc>
          <w:tcPr>
            <w:tcW w:w="31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34,821 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27,983 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Restaurant-Level Adjusted EBITDA Margin (1)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0"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26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3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spacing w:lineRule="auto" w:line="268" w:before="0" w:after="0"/>
        <w:jc w:val="both"/>
        <w:rPr>
          <w:rFonts w:ascii="Arial Narrow;sans-serif" w:hAnsi="Arial Narrow;sans-serif"/>
          <w:b w:val="false"/>
          <w:color w:val="000000"/>
          <w:sz w:val="18"/>
        </w:rPr>
      </w:pPr>
      <w:r>
        <w:rPr>
          <w:rFonts w:ascii="Arial Narrow;sans-serif" w:hAnsi="Arial Narrow;sans-serif"/>
          <w:b w:val="false"/>
          <w:color w:val="000000"/>
          <w:sz w:val="18"/>
        </w:rPr>
        <w:t>(1) Restaurant-Level Adjusted EBITDA Margin is defined as Adjusted EBITDA divided by Revenues, net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Liquidity and Capital Resources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Our primary sources of liquidity are cash from operations, cash and cash equivalents on hand, and availability under our 2023 Revolver Facility. As of March 26, 2023, we maintained a cash and cash equivalents and restricted cash balance of $14.6 million and had $85.6 million of availability under our 2023 Revolver Facility, after giving effect to $10.0 million in borrowings and $4.4 million in outstanding letters of credit.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Based upon current levels of operations and anticipated growth, we expect that cash flows from operations will be sufficient to meet our needs for at least the next twelve months, and the foreseeable future.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See Note 8. Debt for a discussion of the 2023 Credit Agreement, effective February 2, 2023.</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2023, the Company completed a secondary offering of 8,000,000 shares of the Company's Class A common stock at an offering price of $21.05 per share (the "Q1 Secondary Offering"). The Company granted Morgan Stanley &amp; Co. LLC, the underwriter (the "Underwriter"), a 30-day option to purchase up to an additional 1,200,000 shares of Class A common stock. On April 5, 2023, the Underwriter exercised its overallotment option in part, to purchase an additional 620,493 shares of the Company's Class A common stock (see Note 16. Subsequent Events for additional details). We used all of the net proceeds from the secondary offerings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As a result, Portillo’s did not receive any proceeds from the offering, and the total number of shares of Class A common stock and Class B common stock did not change; however, the number of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2755"/>
                <wp:effectExtent l="0" t="0" r="0" b="0"/>
                <wp:wrapNone/>
                <wp:docPr id="98" name="Frame33"/>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9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6" descr=""/>
                                          <pic:cNvPicPr>
                                            <a:picLocks noChangeAspect="1" noChangeArrowheads="1"/>
                                          </pic:cNvPicPr>
                                        </pic:nvPicPr>
                                        <pic:blipFill>
                                          <a:blip r:embed="rId3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37"/>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31</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outstanding shares of Class A common stock increased by the same number of the canceled shares of Class B common stock.</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Tax Receivable Agreement</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In connection with the IPO, </w:t>
      </w:r>
      <w:r>
        <w:rPr>
          <w:rFonts w:ascii="Arial Narrow;sans-serif" w:hAnsi="Arial Narrow;sans-serif"/>
          <w:b w:val="false"/>
          <w:color w:val="000000"/>
          <w:sz w:val="20"/>
          <w:highlight w:val="white"/>
        </w:rPr>
        <w:t xml:space="preserve">we </w:t>
      </w:r>
      <w:r>
        <w:rPr>
          <w:rFonts w:ascii="Arial Narrow;sans-serif" w:hAnsi="Arial Narrow;sans-serif"/>
          <w:b w:val="false"/>
          <w:color w:val="000000"/>
          <w:sz w:val="20"/>
        </w:rPr>
        <w:t xml:space="preserve">entered into a Tax Receivable Agreement ("TRA") with certain of our pre-IPO LLC Members, pursuant to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 </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As of March 26, 2023, we estimate that our obligation for future payments under the TRA totaled $298.8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w:t>
      </w:r>
      <w:r>
        <w:rPr>
          <w:rFonts w:ascii="Arial Narrow;sans-serif" w:hAnsi="Arial Narrow;sans-serif"/>
          <w:b w:val="false"/>
          <w:color w:val="000000"/>
          <w:sz w:val="20"/>
          <w:highlight w:val="white"/>
        </w:rPr>
        <w:t xml:space="preserve">Assuming no material changes in relevant tax law and that we earn sufficient taxable income to realize all tax benefits that are subject to the TRA, we estimate that the tax savings associated with all tax attributes described above would aggregate to approximately $351.5 million as of </w:t>
      </w:r>
      <w:r>
        <w:rPr>
          <w:rFonts w:ascii="Arial Narrow;sans-serif" w:hAnsi="Arial Narrow;sans-serif"/>
          <w:b w:val="false"/>
          <w:color w:val="000000"/>
          <w:sz w:val="20"/>
        </w:rPr>
        <w:t>March 26, 2023</w:t>
      </w:r>
      <w:r>
        <w:rPr>
          <w:rFonts w:ascii="Arial Narrow;sans-serif" w:hAnsi="Arial Narrow;sans-serif"/>
          <w:b w:val="false"/>
          <w:color w:val="000000"/>
          <w:sz w:val="20"/>
          <w:highlight w:val="white"/>
        </w:rPr>
        <w:t xml:space="preserve">. Under this scenario, we would be required to pay the TRA Parties approximately 85% of such amount, or </w:t>
      </w:r>
      <w:r>
        <w:rPr>
          <w:rFonts w:ascii="Arial Narrow;sans-serif" w:hAnsi="Arial Narrow;sans-serif"/>
          <w:b w:val="false"/>
          <w:color w:val="000000"/>
          <w:sz w:val="20"/>
        </w:rPr>
        <w:t>$298.8 million</w:t>
      </w:r>
      <w:r>
        <w:rPr>
          <w:rFonts w:ascii="Arial Narrow;sans-serif" w:hAnsi="Arial Narrow;sans-serif"/>
          <w:b w:val="false"/>
          <w:color w:val="000000"/>
          <w:sz w:val="20"/>
          <w:highlight w:val="white"/>
        </w:rPr>
        <w:t xml:space="preserve">, primarily over the next 15 years, substantially declining in year 16 through year 47. In the quarter ended </w:t>
      </w:r>
      <w:r>
        <w:rPr>
          <w:rFonts w:ascii="Arial Narrow;sans-serif" w:hAnsi="Arial Narrow;sans-serif"/>
          <w:b w:val="false"/>
          <w:color w:val="000000"/>
          <w:sz w:val="20"/>
        </w:rPr>
        <w:t xml:space="preserve">March 26, 2023, we made a TRA payment of $0.8 million relating to tax year 2021. We expect a payment of $6.3 million relating to tax year 2022 to be paid within the next 12 months. </w:t>
      </w:r>
    </w:p>
    <w:p>
      <w:pPr>
        <w:pStyle w:val="TextBody"/>
        <w:spacing w:before="0" w:after="198"/>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Summary of Cash Flows</w:t>
      </w:r>
    </w:p>
    <w:p>
      <w:pPr>
        <w:pStyle w:val="TextBody"/>
        <w:spacing w:before="0" w:after="0"/>
        <w:rPr/>
      </w:pPr>
      <w:r>
        <w:rPr/>
      </w:r>
    </w:p>
    <w:p>
      <w:pPr>
        <w:pStyle w:val="TextBody"/>
        <w:spacing w:lineRule="auto" w:line="288" w:before="0" w:after="198"/>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our cash flows from operating, investing and financing activities (in thousands):</w:t>
      </w:r>
    </w:p>
    <w:tbl>
      <w:tblPr>
        <w:tblW w:w="7030" w:type="dxa"/>
        <w:jc w:val="left"/>
        <w:tblInd w:w="0" w:type="dxa"/>
        <w:tblCellMar>
          <w:top w:w="28" w:type="dxa"/>
          <w:left w:w="28" w:type="dxa"/>
          <w:bottom w:w="28" w:type="dxa"/>
          <w:right w:w="28" w:type="dxa"/>
        </w:tblCellMar>
      </w:tblPr>
      <w:tblGrid>
        <w:gridCol w:w="1607"/>
        <w:gridCol w:w="1413"/>
        <w:gridCol w:w="1420"/>
        <w:gridCol w:w="233"/>
        <w:gridCol w:w="736"/>
        <w:gridCol w:w="140"/>
        <w:gridCol w:w="109"/>
        <w:gridCol w:w="109"/>
        <w:gridCol w:w="109"/>
        <w:gridCol w:w="230"/>
        <w:gridCol w:w="728"/>
        <w:gridCol w:w="196"/>
      </w:tblGrid>
      <w:tr>
        <w:trPr/>
        <w:tc>
          <w:tcPr>
            <w:tcW w:w="1607"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Quarter Ended</w:t>
            </w:r>
          </w:p>
        </w:tc>
      </w:tr>
      <w:tr>
        <w:trPr/>
        <w:tc>
          <w:tcPr>
            <w:tcW w:w="4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18"/>
              </w:rPr>
            </w:pPr>
            <w:r>
              <w:rPr>
                <w:rFonts w:ascii="Arial Narrow;sans-serif" w:hAnsi="Arial Narrow;sans-serif"/>
                <w:b/>
                <w:color w:val="000000"/>
                <w:sz w:val="18"/>
              </w:rPr>
              <w:t>March 27, 2022</w:t>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233"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6,486 </w:t>
            </w:r>
          </w:p>
        </w:tc>
        <w:tc>
          <w:tcPr>
            <w:tcW w:w="14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8" w:space="0" w:color="000000"/>
            </w:tcBorders>
            <w:shd w:fill="DBDBDB"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800 </w:t>
            </w:r>
          </w:p>
        </w:tc>
        <w:tc>
          <w:tcPr>
            <w:tcW w:w="1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(20,190)</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(6,279)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(16,112)</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 cash and cash equivalents and restricted cash</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(29,816)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(7,081)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DBDBDB"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969"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44,427 </w:t>
            </w:r>
          </w:p>
        </w:tc>
        <w:tc>
          <w:tcPr>
            <w:tcW w:w="1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DBDBDB" w:val="clear"/>
            <w:tcMar>
              <w:top w:w="0" w:type="dxa"/>
              <w:left w:w="0" w:type="dxa"/>
              <w:bottom w:w="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39,263 </w:t>
            </w:r>
          </w:p>
        </w:tc>
        <w:tc>
          <w:tcPr>
            <w:tcW w:w="1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 Narrow;sans-serif" w:hAnsi="Arial Narrow;sans-serif"/>
                <w:b w:val="false"/>
                <w:color w:val="000000"/>
                <w:sz w:val="18"/>
              </w:rPr>
            </w:pPr>
            <w:r>
              <w:rPr>
                <w:rFonts w:ascii="Arial Narrow;sans-serif" w:hAnsi="Arial Narrow;sans-serif"/>
                <w:b w:val="false"/>
                <w:color w:val="000000"/>
                <w:sz w:val="18"/>
              </w:rPr>
              <w:t>32,182 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Operating Activities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Net cash provided by operating activities for the quarter ended March 26, 2023 was $6.5 million compared to net cash provided by operating activities of $0.8 million for the quarter ended March 27, 2022, an increase of $5.7 million or 710.8%. This increase was primarily driven by the change in operating assets and liabilities of $6.4 million and the change in non-cash items of $1.1 million, partially offset by lower net income of $1.8 million.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 $6.4 million change in our operating assets and liabilities balances was primarily driven by operating assets and liabilities being a use of net cash of $4.0 million in the quarter ended March 26, 2023, compared to a use of net cash of $10.4 million in quarter ended March 27, 2022 driven by the change in accrued expenses and other liabilities in the quarter ended March 26, 2023. The $1.1 million change from the quarter ended March 26, 2023 in non-cash charges is primarily attributable to loss on debt extinguishment. The decrease in net (loss) income for the quarter ended March 26, 2023 was primarily due to a decrease in net (loss) income primarily due to the factors driving the aforementioned expenses as described in condensed consolidated results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2755"/>
                <wp:effectExtent l="0" t="0" r="0" b="0"/>
                <wp:wrapNone/>
                <wp:docPr id="101" name="Frame34"/>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3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38"/>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32</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jc w:val="both"/>
        <w:rPr>
          <w:rFonts w:ascii="Arial Narrow;sans-serif" w:hAnsi="Arial Narrow;sans-serif"/>
          <w:b/>
          <w:color w:val="D22630"/>
          <w:sz w:val="22"/>
        </w:rPr>
      </w:pPr>
      <w:r>
        <w:rPr>
          <w:rFonts w:ascii="Arial Narrow;sans-serif" w:hAnsi="Arial Narrow;sans-serif"/>
          <w:b/>
          <w:color w:val="D22630"/>
          <w:sz w:val="22"/>
        </w:rPr>
        <w:t>Investing Activities</w:t>
      </w:r>
    </w:p>
    <w:p>
      <w:pPr>
        <w:pStyle w:val="TextBody"/>
        <w:spacing w:before="0" w:after="0"/>
        <w:jc w:val="both"/>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Net cash used in investing activities was $20.2 million for the quarter ended March 26, 2023 compared to $6.3 million for the quarter ended March 27, 2022, an increase of $13.9 million or 221.5%. This increase was primarily due to the number of restaurant openings and buildings in process during the first quarter of 2023 compared to the first quarter of 2022. </w:t>
      </w:r>
    </w:p>
    <w:p>
      <w:pPr>
        <w:pStyle w:val="TextBody"/>
        <w:spacing w:before="0" w:after="0"/>
        <w:jc w:val="both"/>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Financing Activities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$16.1 million for the quarter ended March 26, 2023 compared to net cash used in financing activities of $1.6 million for the quarter ended March 27, 2022, an increase of $14.5 million or 905.7%. This increase is primarily due to the refinancing of our long-term debt as described in Note 8. Debt and the payment of deferred financing costs of $3.6 million.</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2023 Revolver Facility and Liens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On February 2, 2023, Holdings, the Borrower, the other Guarantors party thereto from time to time, each lender party thereto from time to time and Fifth Third Bank, National Association, as Administrative Agent, L/C Issuer and Swing Line Lender entered into the 2023 Credit Agreement which provides for the 2023 Term Loan in an initial aggregate principal amount of $300.0 million and the 2023 Revolver Facility in an initial aggregate principal amount of $100.0 million. The proceeds under the 2023 Term Loan and 2023 Revolver Facility, along with cash on hand, were used to repay outstanding indebtedness under the 2014 Credit Agreement and to pay related transaction expenses. The 2023 Term Loan and 2023 Revolver Facility are scheduled to mature on February 2, 2028.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As of March 26, 2023, we had $10.0 million of borrowings under the 2023 Revolver Facility, and letters of credit issued under the 2023 Revolver Facility totaled $4.4 million. As a result, as of March 26, 2023, the Company had $85.6 million available under the 2023 Revolver Facility.</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2023 Credit Agreement also includes certain financial covenants with respect to cash interest coverage and total net rent adjusted leverage. As of March 26, 2023, the Company was in compliance with all covenants in the 2023 Credit Agreement.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Material Cash Requirements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There have been no additional material changes to the material cash requirements as disclosed in our</w:t>
      </w:r>
      <w:r>
        <w:rPr>
          <w:color w:val="000000"/>
          <w:highlight w:val="white"/>
        </w:rPr>
        <w:t xml:space="preserve"> </w:t>
      </w:r>
      <w:r>
        <w:rPr>
          <w:rFonts w:ascii="Arial Narrow;sans-serif" w:hAnsi="Arial Narrow;sans-serif"/>
          <w:b w:val="false"/>
          <w:color w:val="000000"/>
          <w:sz w:val="20"/>
          <w:highlight w:val="white"/>
        </w:rPr>
        <w:t>Annual Report on Form 10-K for the fiscal year ended December 25, 2022</w:t>
      </w:r>
      <w:r>
        <w:rPr>
          <w:rFonts w:ascii="Arial Narrow;sans-serif" w:hAnsi="Arial Narrow;sans-serif"/>
          <w:b w:val="false"/>
          <w:color w:val="000000"/>
          <w:sz w:val="20"/>
        </w:rPr>
        <w:t>, other than those payments made in the ordinary course of business.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Refer to Note 8. Debt for a description of a Credit Agreement and the repayment of borrowings.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Critical Accounting Estimates</w:t>
      </w:r>
    </w:p>
    <w:p>
      <w:pPr>
        <w:pStyle w:val="TextBody"/>
        <w:spacing w:before="0" w:after="0"/>
        <w:rPr/>
      </w:pPr>
      <w:r>
        <w:rPr/>
      </w:r>
    </w:p>
    <w:p>
      <w:pPr>
        <w:pStyle w:val="TextBody"/>
        <w:spacing w:lineRule="auto" w:line="288" w:before="0" w:after="0"/>
        <w:rPr/>
      </w:pPr>
      <w:r>
        <w:rPr>
          <w:rFonts w:ascii="Arial Narrow;sans-serif" w:hAnsi="Arial Narrow;sans-serif"/>
          <w:b w:val="false"/>
          <w:color w:val="000000"/>
          <w:sz w:val="20"/>
        </w:rPr>
        <w:t xml:space="preserve">This discussion and analysis of financial condition and results of operations is based upon the Company's condensed consolidated financial statements, which have been prepared in accordance with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w:t>
      </w:r>
      <w:r>
        <w:rPr>
          <w:rFonts w:ascii="Arial Narrow;sans-serif" w:hAnsi="Arial Narrow;sans-serif"/>
          <w:b w:val="false"/>
          <w:color w:val="000000"/>
          <w:sz w:val="20"/>
          <w:highlight w:val="white"/>
        </w:rPr>
        <w:t>in our Annual Report on Form 10-K for the fiscal year ended December 25, 2022.</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The Company reviewed all other recently issued accounting pronouncements and concluded that they were either not applicable or not expected to have a significant impact to its condensed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2755"/>
                <wp:effectExtent l="0" t="0" r="0" b="0"/>
                <wp:wrapNone/>
                <wp:docPr id="104" name="Frame35"/>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3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39"/>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33</w:t>
                      </w:r>
                    </w:p>
                  </w:txbxContent>
                </v:textbox>
              </v:rect>
            </w:pict>
          </mc:Fallback>
        </mc:AlternateContent>
      </w:r>
    </w:p>
    <w:p>
      <w:pPr>
        <w:pStyle w:val="TextBody"/>
        <w:spacing w:lineRule="auto" w:line="288" w:before="0" w:after="0"/>
        <w:rPr/>
      </w:pPr>
      <w:hyperlink w:anchor="i4ec9254f60b249f1b48963f80e29bf2f_7">
        <w:r>
          <w:rPr>
            <w:rStyle w:val="InternetLink"/>
            <w:rFonts w:ascii="Arial Narrow;sans-serif" w:hAnsi="Arial Narrow;sans-serif"/>
            <w:b w:val="false"/>
            <w:color w:val="0000FF"/>
            <w:sz w:val="20"/>
            <w:u w:val="single"/>
          </w:rPr>
          <w:t>Table of Contents</w:t>
        </w:r>
      </w:hyperlink>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JOBS Act</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We qualify as an emerging growth company ("EGC") pursuant to the provisions of the Jumpstart our Business Startups (“JOBS”) Act. For as long as we are an EGC, we may take advantage of certain exemptions from various reporting requirements that are applicable to other public companies that are not EGCs,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We will remain an EGC until the last day of the fiscal year following the fifth anniversary of the date of the first sale of our Class A common stock pursuant to an effective registration statement, which was October 21, 2021, unless, prior to that time, we have more than $1.07 billion in annual gross revenue, have a market value for our Class A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2755"/>
                <wp:effectExtent l="0" t="0" r="0" b="0"/>
                <wp:wrapNone/>
                <wp:docPr id="107" name="Frame36"/>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4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40"/>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34</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3. Quantitative and Qualitative Disclosures About Market Risk.</w:t>
      </w:r>
    </w:p>
    <w:p>
      <w:pPr>
        <w:pStyle w:val="TextBody"/>
        <w:spacing w:before="0" w:after="0"/>
        <w:rPr/>
      </w:pPr>
      <w:r>
        <w:rPr/>
      </w:r>
    </w:p>
    <w:p>
      <w:pPr>
        <w:pStyle w:val="TextBody"/>
        <w:spacing w:lineRule="auto" w:line="288" w:before="0" w:after="0"/>
        <w:rPr>
          <w:rFonts w:ascii="Arial Narrow;sans-serif" w:hAnsi="Arial Narrow;sans-serif"/>
          <w:b w:val="false"/>
          <w:color w:val="000000"/>
          <w:sz w:val="20"/>
          <w:highlight w:val="white"/>
        </w:rPr>
      </w:pPr>
      <w:r>
        <w:rPr>
          <w:rFonts w:ascii="Arial Narrow;sans-serif" w:hAnsi="Arial Narrow;sans-serif"/>
          <w:b w:val="false"/>
          <w:color w:val="000000"/>
          <w:sz w:val="20"/>
          <w:highlight w:val="white"/>
        </w:rPr>
        <w:t>There have been no material changes to our exposure to market risks as described in Part II, Item 7A of our Annual Report on Form 10-K for the fiscal year ended December 25,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4. Controls and Procedures.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EVALUATION OF DISCLOSURE CONTROLS AND PROCEDURES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CHANGES IN INTERNAL CONTROL OVER FINANCIAL REPORTING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There were no changes to our internal control over financial reporting that occurred during the quarter ended March 26, 2023 that have materially affected, or are reasonably likely to materially affect, our internal control over financial reporting.</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2755"/>
                <wp:effectExtent l="0" t="0" r="0" b="0"/>
                <wp:wrapNone/>
                <wp:docPr id="110" name="Frame37"/>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4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41"/>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35</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 Narrow;sans-serif" w:hAnsi="Arial Narrow;sans-serif"/>
          <w:b/>
          <w:color w:val="414042"/>
          <w:sz w:val="28"/>
        </w:rPr>
      </w:pPr>
      <w:r>
        <w:rPr>
          <w:rFonts w:ascii="Arial Narrow;sans-serif" w:hAnsi="Arial Narrow;sans-serif"/>
          <w:b/>
          <w:color w:val="414042"/>
          <w:sz w:val="28"/>
        </w:rPr>
        <w:t>PART II – OTHER INFORMATION</w:t>
      </w:r>
    </w:p>
    <w:p>
      <w:pPr>
        <w:pStyle w:val="TextBody"/>
        <w:spacing w:before="0" w:after="0"/>
        <w:jc w:val="center"/>
        <w:rPr/>
      </w:pPr>
      <w:r>
        <w:rPr/>
        <w:drawing>
          <wp:inline distT="0" distB="63500" distL="0" distR="0">
            <wp:extent cx="6629400" cy="361950"/>
            <wp:effectExtent l="0" t="0" r="0" b="0"/>
            <wp:docPr id="11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1" descr=""/>
                    <pic:cNvPicPr>
                      <a:picLocks noChangeAspect="1" noChangeArrowheads="1"/>
                    </pic:cNvPicPr>
                  </pic:nvPicPr>
                  <pic:blipFill>
                    <a:blip r:embed="rId42"/>
                    <a:stretch>
                      <a:fillRect/>
                    </a:stretch>
                  </pic:blipFill>
                  <pic:spPr bwMode="auto">
                    <a:xfrm>
                      <a:off x="0" y="0"/>
                      <a:ext cx="6629400" cy="361950"/>
                    </a:xfrm>
                    <a:prstGeom prst="rect">
                      <a:avLst/>
                    </a:prstGeom>
                  </pic:spPr>
                </pic:pic>
              </a:graphicData>
            </a:graphic>
          </wp:inline>
        </w:drawing>
      </w:r>
    </w:p>
    <w:p>
      <w:pPr>
        <w:pStyle w:val="TextBody"/>
        <w:spacing w:before="0" w:after="0"/>
        <w:rPr/>
      </w:pPr>
      <w:r>
        <w:rPr/>
      </w: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1. Legal Proceedings.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Information regarding certain legal proceedings to which the Company is a party are discussed in Note 14. Contingencies in the notes to the unaudited condensed consolidated financial statements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1A. Risk Factors.</w:t>
      </w:r>
    </w:p>
    <w:p>
      <w:pPr>
        <w:pStyle w:val="TextBody"/>
        <w:spacing w:before="0" w:after="0"/>
        <w:rPr/>
      </w:pPr>
      <w:r>
        <w:rPr/>
      </w:r>
    </w:p>
    <w:p>
      <w:pPr>
        <w:pStyle w:val="TextBody"/>
        <w:spacing w:lineRule="auto" w:line="268" w:before="0" w:after="0"/>
        <w:rPr/>
      </w:pPr>
      <w:r>
        <w:rPr>
          <w:rFonts w:ascii="Arial Narrow;sans-serif" w:hAnsi="Arial Narrow;sans-serif"/>
          <w:b w:val="false"/>
          <w:color w:val="000000"/>
          <w:sz w:val="20"/>
        </w:rPr>
        <w:t xml:space="preserve">Other than as set forth below, there have been no material changes to the risk factors disclosed in the Company's </w:t>
      </w:r>
      <w:r>
        <w:rPr>
          <w:rFonts w:ascii="Arial Narrow;sans-serif" w:hAnsi="Arial Narrow;sans-serif"/>
          <w:b w:val="false"/>
          <w:color w:val="000000"/>
          <w:sz w:val="20"/>
          <w:highlight w:val="white"/>
        </w:rPr>
        <w:t>Annual Report on Form 10-K for the year ended December 25, 2022:</w:t>
      </w:r>
    </w:p>
    <w:p>
      <w:pPr>
        <w:pStyle w:val="TextBody"/>
        <w:spacing w:before="0" w:after="0"/>
        <w:rPr/>
      </w:pPr>
      <w:r>
        <w:rPr/>
      </w:r>
    </w:p>
    <w:p>
      <w:pPr>
        <w:pStyle w:val="TextBody"/>
        <w:spacing w:lineRule="auto" w:line="268" w:before="0" w:after="0"/>
        <w:rPr/>
      </w:pPr>
      <w:r>
        <w:rPr>
          <w:rFonts w:ascii="Arial Narrow;sans-serif" w:hAnsi="Arial Narrow;sans-serif"/>
          <w:b/>
          <w:color w:val="000000"/>
          <w:sz w:val="20"/>
        </w:rPr>
        <w:t>Matters relating to employment and labor law could have a material adverse effect, result in litigation or additional</w:t>
      </w:r>
      <w:r>
        <w:rPr>
          <w:color w:val="000000"/>
        </w:rPr>
        <w:t xml:space="preserve"> </w:t>
      </w:r>
      <w:r>
        <w:rPr>
          <w:rFonts w:ascii="Arial Narrow;sans-serif" w:hAnsi="Arial Narrow;sans-serif"/>
          <w:b/>
          <w:color w:val="000000"/>
          <w:sz w:val="20"/>
        </w:rPr>
        <w:t>union activities, add significant costs and divert management attention.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Various federal and state labor laws govern our relationships with our team members and affect our operating costs.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 state and local payroll taxes, federal and state laws which prohibit discrimination, citizenship requirements and other wage and benefit requirements for team members classified as non-exempt. In addition, with the passage in 2010 of the U.S. Patient Protection and Affordable Care Act (the “ACA”), we are required to provide affordable coverage, as defined in the ACA, to eligible team members, or otherwise be subject to a payment per team member based on the affordability criteria in the ACA. Additionally, some states and localities have passed state and local laws mandating the provision of certain levels of health benefits by some employers. Significant additional government regulations and new laws, including mandated increases in minimum wages, changes in exempt and non-exempt status,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Federal law requires that we verify that our workers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which is the only state in which we operate where participation is required. However, use of the “E-Verify” program does not guarantee that we will properly identify all applicants who are ineligible for employment, and we are not utilizing “E-Verify” in any other states where we operate. Unauthorized workers are subject to deportation and may subject us to fines or penalties, and if any of our workers are found to be unauthorized, we could experience adverse publicity that may negatively impact our brand and may make it more difficult to hire and keep qualified team members. Termination of a significant number of team members who are unauthorized employees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2755"/>
                <wp:effectExtent l="0" t="0" r="0" b="0"/>
                <wp:wrapNone/>
                <wp:docPr id="114" name="Frame38"/>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2" descr=""/>
                                          <pic:cNvPicPr>
                                            <a:picLocks noChangeAspect="1" noChangeArrowheads="1"/>
                                          </pic:cNvPicPr>
                                        </pic:nvPicPr>
                                        <pic:blipFill>
                                          <a:blip r:embed="rId4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36</w:t>
                      </w:r>
                    </w:p>
                  </w:txbxContent>
                </v:textbox>
              </v:rect>
            </w:pict>
          </mc:Fallback>
        </mc:AlternateConten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Our business is subject to the risk of litigation by team members, consumers, suppliers, shareholders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On April 13, 2023, certain of our team members at one of our commissaries elected to be represented by a union, and we are currently working with those team members and the National Labor Relations Board on the unionization process. Although we have not received other petitions to unionize, it is possible that additional team members may elect to be represented by labor unions in the future. If a significant number of our team members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team members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pStyle w:val="TextBody"/>
        <w:spacing w:before="0" w:after="0"/>
        <w:rPr/>
      </w:pPr>
      <w:r>
        <w:rPr/>
      </w:r>
    </w:p>
    <w:p>
      <w:pPr>
        <w:pStyle w:val="TextBody"/>
        <w:spacing w:lineRule="auto" w:line="268" w:before="0" w:after="0"/>
        <w:rPr>
          <w:rFonts w:ascii="Arial Narrow;sans-serif" w:hAnsi="Arial Narrow;sans-serif"/>
          <w:b/>
          <w:color w:val="000000"/>
          <w:sz w:val="20"/>
        </w:rPr>
      </w:pPr>
      <w:r>
        <w:rPr>
          <w:rFonts w:ascii="Arial Narrow;sans-serif" w:hAnsi="Arial Narrow;sans-serif"/>
          <w:b/>
          <w:color w:val="000000"/>
          <w:sz w:val="20"/>
        </w:rPr>
        <w:t xml:space="preserve">Changes in market and general economic conditions have in the past adversely affected, and may in the future adversely affect, our business and profitability and cause volatility in our results of operations. </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Recently, concerns have arisen with respect to the financial condition of a number of banking organizations in the United States, in particular those with exposure to certain types of depositors and large portfolios of investment securities. In early March, the FDIC was appointed the receiver for both Silicon Valley Bank and Signature Bank in early March 2023 and First Republic Bank in early May 2023 after the banks were closed by regulators. While we do not have any exposure to these banks, we do hold the cash and cash equivalents used to meet our working capital and operating expense needs, primarily at one financial institution, often in balances that exceed the current FDIC insurance limits. If other banks and financial institutions enter receivership or become insolvent in the future, our ability to access our cash and cash equivalents to satisfy our operations may be threatened and could have a material adverse effect on our business and financial condition. We may also lose amounts in excess of the FDIC insurance limits and there can be no guarantee that the government would intervene. Our ability to borrow under our existing credit facilities, as well as our ability to secure additional sources of financing, may be impacted in significant ways. We may also be adversely impacted by increased costs of capital resulting from additional regulatory changes and requirements. Our vendors and service providers may also suffer disruptions that in turn adversely impact our operations and business.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Economic and market conditions have had, and will continue to have, a direct and material impact on our results of operations and financial condition because our performance is heavily influenced by the overall strength of general economic conditions. Concerns about or future adverse developments in the global and domestic financial markets also impact confidence in economic conditions, specifically consumer confidence. In a time of uncertainty or a downturn, consumers may be willing to spend less with our business. There may be additional risks that we have not yet identified. We continue to monitor the potential impact on our business.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2. Unregistered Sales of Equity Securities and Use of Proceeds.</w:t>
      </w:r>
    </w:p>
    <w:p>
      <w:pPr>
        <w:pStyle w:val="TextBody"/>
        <w:spacing w:before="0" w:after="0"/>
        <w:rPr/>
      </w:pPr>
      <w:r>
        <w:rPr/>
      </w:r>
    </w:p>
    <w:p>
      <w:pPr>
        <w:pStyle w:val="TextBody"/>
        <w:spacing w:lineRule="auto" w:line="288" w:before="0" w:after="0"/>
        <w:rPr>
          <w:rFonts w:ascii="Arial Narrow;sans-serif" w:hAnsi="Arial Narrow;sans-serif"/>
          <w:b/>
          <w:color w:val="D22630"/>
          <w:sz w:val="22"/>
        </w:rPr>
      </w:pPr>
      <w:r>
        <w:rPr>
          <w:rFonts w:ascii="Arial Narrow;sans-serif" w:hAnsi="Arial Narrow;sans-serif"/>
          <w:b/>
          <w:color w:val="D22630"/>
          <w:sz w:val="22"/>
        </w:rPr>
        <w:t>Secondary Offering</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In the first quarter of 2023, the Company completed a secondary offering of 8,000,000 shares of the Company's Class A common stock at an offering price of $21.05 per share ("Q1 Secondary Offering"). The Company granted Morgan Stanley &amp; Co. LLC, the underwriter (the "Underwriter"), a 30-day option to purchase up to an additional 1,200,000 shares of Class A common stock. On April 5, 2023, the Underwriter exercised its overallotment option in part, to purchase an additional 620,493 shares of the Company's Class A common stock (See Note 16. Subsequent Events for additional details). We used all of the net proceeds from the Q1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2755"/>
                <wp:effectExtent l="0" t="0" r="0" b="0"/>
                <wp:wrapNone/>
                <wp:docPr id="117" name="Frame39"/>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 descr=""/>
                                          <pic:cNvPicPr>
                                            <a:picLocks noChangeAspect="1" noChangeArrowheads="1"/>
                                          </pic:cNvPicPr>
                                        </pic:nvPicPr>
                                        <pic:blipFill>
                                          <a:blip r:embed="rId4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1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3" descr=""/>
                                    <pic:cNvPicPr>
                                      <a:picLocks noChangeAspect="1" noChangeArrowheads="1"/>
                                    </pic:cNvPicPr>
                                  </pic:nvPicPr>
                                  <pic:blipFill>
                                    <a:blip r:embed="rId44"/>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37</w:t>
                      </w:r>
                    </w:p>
                  </w:txbxContent>
                </v:textbox>
              </v:rect>
            </w:pict>
          </mc:Fallback>
        </mc:AlternateConten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 xml:space="preserve">price per share of Class A common stock, less the underwriting discounts and commissions. The proceeds from the Q1 Secondary Offering were used to (i) purchase 2,106,400 existing shares of Class A common stock from the shareholders of the Blocker Companies and (ii) redeem 5,893,600 LLC Units held by the pre-IPO LLC Members. In connection with the redemption, 5,893,600 shares of Class B common stock were surrendered by the pre-IPO LLC Members and canceled and the Company received 5,893,600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3. Defaults Upon Senior Securities.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4. Mine Safety Disclosures.</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5. Other Information.</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None.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2755"/>
                <wp:effectExtent l="0" t="0" r="0" b="0"/>
                <wp:wrapNone/>
                <wp:docPr id="120" name="Frame40"/>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4" descr=""/>
                                          <pic:cNvPicPr>
                                            <a:picLocks noChangeAspect="1" noChangeArrowheads="1"/>
                                          </pic:cNvPicPr>
                                        </pic:nvPicPr>
                                        <pic:blipFill>
                                          <a:blip r:embed="rId4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4" descr=""/>
                                    <pic:cNvPicPr>
                                      <a:picLocks noChangeAspect="1" noChangeArrowheads="1"/>
                                    </pic:cNvPicPr>
                                  </pic:nvPicPr>
                                  <pic:blipFill>
                                    <a:blip r:embed="rId45"/>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38</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rPr>
          <w:rFonts w:ascii="Arial Narrow;sans-serif" w:hAnsi="Arial Narrow;sans-serif"/>
          <w:b/>
          <w:color w:val="414042"/>
          <w:sz w:val="24"/>
        </w:rPr>
      </w:pPr>
      <w:r>
        <w:rPr>
          <w:rFonts w:ascii="Arial Narrow;sans-serif" w:hAnsi="Arial Narrow;sans-serif"/>
          <w:b/>
          <w:color w:val="414042"/>
          <w:sz w:val="24"/>
        </w:rPr>
        <w:t>Item 6. Exhibits.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71"/>
        <w:gridCol w:w="326"/>
        <w:gridCol w:w="329"/>
        <w:gridCol w:w="109"/>
        <w:gridCol w:w="109"/>
        <w:gridCol w:w="109"/>
        <w:gridCol w:w="2651"/>
        <w:gridCol w:w="2559"/>
        <w:gridCol w:w="2587"/>
        <w:gridCol w:w="307"/>
        <w:gridCol w:w="307"/>
        <w:gridCol w:w="441"/>
      </w:tblGrid>
      <w:tr>
        <w:trPr/>
        <w:tc>
          <w:tcPr>
            <w:tcW w:w="37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2559"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Description</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Filed Herewith</w:t>
            </w:r>
          </w:p>
        </w:tc>
      </w:tr>
      <w:tr>
        <w:trPr/>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46">
              <w:r>
                <w:rPr>
                  <w:rStyle w:val="InternetLink"/>
                  <w:rFonts w:ascii="Arial Narrow;sans-serif" w:hAnsi="Arial Narrow;sans-serif"/>
                  <w:b w:val="false"/>
                  <w:color w:val="000000"/>
                  <w:sz w:val="20"/>
                  <w:u w:val="single"/>
                </w:rPr>
                <w:t>3.1</w:t>
              </w:r>
            </w:hyperlink>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47">
              <w:r>
                <w:rPr>
                  <w:rStyle w:val="InternetLink"/>
                  <w:rFonts w:ascii="Arial Narrow;sans-serif" w:hAnsi="Arial Narrow;sans-serif"/>
                  <w:b w:val="false"/>
                  <w:color w:val="000000"/>
                  <w:sz w:val="20"/>
                  <w:u w:val="single"/>
                </w:rPr>
                <w:t>Amended and Restated Certificate of Incorporation of Portillo's Inc. (incorporated by reference to Exhibit 3.1 of the Company's Quarterly Report on Form 10-Q filed on November 18, 2021)</w:t>
              </w:r>
            </w:hyperlink>
          </w:p>
        </w:tc>
        <w:tc>
          <w:tcPr>
            <w:tcW w:w="10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8">
              <w:r>
                <w:rPr>
                  <w:rStyle w:val="InternetLink"/>
                  <w:rFonts w:ascii="Arial Narrow;sans-serif" w:hAnsi="Arial Narrow;sans-serif"/>
                  <w:b w:val="false"/>
                  <w:color w:val="000000"/>
                  <w:sz w:val="20"/>
                  <w:u w:val="single"/>
                </w:rPr>
                <w:t>3.2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9">
              <w:r>
                <w:rPr>
                  <w:rStyle w:val="InternetLink"/>
                  <w:rFonts w:ascii="Arial Narrow;sans-serif" w:hAnsi="Arial Narrow;sans-serif"/>
                  <w:b w:val="false"/>
                  <w:color w:val="000000"/>
                  <w:sz w:val="20"/>
                  <w:u w:val="single"/>
                </w:rPr>
                <w:t>Amended and Restated Bylaws of Portillo’s Inc. (incorporated by reference to Exhibit 3.2 of the Company's Quarterly Report on Form 10-Q filed on November 18, 2021)</w:t>
              </w:r>
            </w:hyperlink>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derrickprattoffe.htm">
              <w:r>
                <w:rPr>
                  <w:rStyle w:val="InternetLink"/>
                  <w:rFonts w:ascii="Arial Narrow;sans-serif" w:hAnsi="Arial Narrow;sans-serif"/>
                  <w:b w:val="false"/>
                  <w:color w:val="000000"/>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101derrickprattoffe.htm">
              <w:r>
                <w:rPr>
                  <w:rStyle w:val="InternetLink"/>
                  <w:rFonts w:ascii="Arial Narrow;sans-serif" w:hAnsi="Arial Narrow;sans-serif"/>
                  <w:b w:val="false"/>
                  <w:color w:val="000000"/>
                  <w:sz w:val="20"/>
                  <w:u w:val="single"/>
                </w:rPr>
                <w:t>Employment Agreement between PHD Group Holdings LLC and Derrick Pratt, entered into as of August 10, 2020</w:t>
              </w:r>
            </w:hyperlink>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0">
              <w:r>
                <w:rPr>
                  <w:rStyle w:val="InternetLink"/>
                  <w:rFonts w:ascii="Arial Narrow;sans-serif" w:hAnsi="Arial Narrow;sans-serif"/>
                  <w:b w:val="false"/>
                  <w:color w:val="000000"/>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1">
              <w:r>
                <w:rPr>
                  <w:rStyle w:val="InternetLink"/>
                  <w:rFonts w:ascii="Arial Narrow;sans-serif" w:hAnsi="Arial Narrow;sans-serif"/>
                  <w:b w:val="false"/>
                  <w:color w:val="000000"/>
                  <w:sz w:val="20"/>
                  <w:u w:val="single"/>
                </w:rPr>
                <w:t>Form of Stock and Unit Purchase Agreement by and among Portillo’s Inc. and the parties named therein (incorporated by reference to the Company's Registration Statement on S-1 filed on August 8, 2022)</w:t>
              </w:r>
            </w:hyperlink>
          </w:p>
        </w:tc>
        <w:tc>
          <w:tcPr>
            <w:tcW w:w="1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32623.htm">
              <w:r>
                <w:rPr>
                  <w:rStyle w:val="InternetLink"/>
                  <w:rFonts w:ascii="Arial Narrow;sans-serif" w:hAnsi="Arial Narrow;sans-serif"/>
                  <w:b w:val="false"/>
                  <w:color w:val="000000"/>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32623.htm">
              <w:r>
                <w:rPr>
                  <w:rStyle w:val="InternetLink"/>
                  <w:rFonts w:ascii="Arial Narrow;sans-serif" w:hAnsi="Arial Narrow;sans-serif"/>
                  <w:b w:val="false"/>
                  <w:color w:val="000000"/>
                  <w:sz w:val="20"/>
                  <w:u w:val="single"/>
                </w:rPr>
                <w:t>Certification of the Principal Executive Officer pursuant to Securities Exchange Act Rules 13a-14(a), as adopted pursuant to Section 302 of the Sarbanes-Oxley Act of 2002</w:t>
              </w:r>
            </w:hyperlink>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32623.htm">
              <w:r>
                <w:rPr>
                  <w:rStyle w:val="InternetLink"/>
                  <w:rFonts w:ascii="Arial Narrow;sans-serif" w:hAnsi="Arial Narrow;sans-serif"/>
                  <w:b w:val="false"/>
                  <w:color w:val="000000"/>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32623.htm">
              <w:r>
                <w:rPr>
                  <w:rStyle w:val="InternetLink"/>
                  <w:rFonts w:ascii="Arial Narrow;sans-serif" w:hAnsi="Arial Narrow;sans-serif"/>
                  <w:b w:val="false"/>
                  <w:color w:val="000000"/>
                  <w:sz w:val="20"/>
                  <w:u w:val="single"/>
                </w:rPr>
                <w:t>Certification of the Principal Financial Officer pursuant to Securities Exchange Act Rules 13a-14(a), as adopted pursuant to Section 302 of the Sarbanes-Oxley Act of 2002</w:t>
              </w:r>
            </w:hyperlink>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32623.htm">
              <w:r>
                <w:rPr>
                  <w:rStyle w:val="InternetLink"/>
                  <w:rFonts w:ascii="Arial Narrow;sans-serif" w:hAnsi="Arial Narrow;sans-serif"/>
                  <w:b w:val="false"/>
                  <w:color w:val="000000"/>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32623.htm">
              <w:r>
                <w:rPr>
                  <w:rStyle w:val="InternetLink"/>
                  <w:rFonts w:ascii="Arial Narrow;sans-serif" w:hAnsi="Arial Narrow;sans-serif"/>
                  <w:b w:val="false"/>
                  <w:color w:val="000000"/>
                  <w:sz w:val="20"/>
                  <w:u w:val="single"/>
                </w:rPr>
                <w:t>Certifications of the Chief Executive Officer and Chief Financial Officer pursuant to 18 U.S.C. Section 1350, as adopted pursuant to Section 906 of the Sarbanes-Oxley Act of 2002</w:t>
              </w:r>
            </w:hyperlink>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Instance Document - the instance document does not appear in the Interactive Data File because its XBRL tags are embedded within the Inline XBRL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Schema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Calculation Linkbase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Definition Linkbase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Label Linkbase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XBRL Taxonomy Extension Presentation Linkbase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 the cover page interactive data file does not appear in the Interactive Data File because its XBRL tags are embedded within the Inline XBRL document</w:t>
            </w:r>
          </w:p>
        </w:tc>
        <w:tc>
          <w:tcPr>
            <w:tcW w:w="10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spacing w:lineRule="auto" w:line="288" w:before="0" w:after="0"/>
        <w:rPr>
          <w:rFonts w:ascii="Arial Narrow;sans-serif" w:hAnsi="Arial Narrow;sans-serif"/>
          <w:b w:val="false"/>
          <w:i/>
          <w:color w:val="000000"/>
          <w:sz w:val="20"/>
        </w:rPr>
      </w:pPr>
      <w:r>
        <w:rPr>
          <w:rFonts w:ascii="Arial Narrow;sans-serif" w:hAnsi="Arial Narrow;sans-serif"/>
          <w:b w:val="false"/>
          <w:i/>
          <w:color w:val="000000"/>
          <w:sz w:val="20"/>
        </w:rPr>
        <w:t>*    Filed Herewith</w:t>
      </w:r>
    </w:p>
    <w:p>
      <w:pPr>
        <w:pStyle w:val="TextBody"/>
        <w:spacing w:lineRule="auto" w:line="288" w:before="0" w:after="0"/>
        <w:rPr>
          <w:rFonts w:ascii="Arial Narrow;sans-serif" w:hAnsi="Arial Narrow;sans-serif"/>
          <w:b w:val="false"/>
          <w:i/>
          <w:color w:val="000000"/>
          <w:sz w:val="20"/>
        </w:rPr>
      </w:pPr>
      <w:r>
        <w:rPr>
          <w:rFonts w:ascii="Arial Narrow;sans-serif" w:hAnsi="Arial Narrow;sans-serif"/>
          <w:b w:val="false"/>
          <w:i/>
          <w:color w:val="000000"/>
          <w:sz w:val="20"/>
        </w:rPr>
        <w:t>#     Furnished Herewith</w:t>
      </w:r>
    </w:p>
    <w:p>
      <w:pPr>
        <w:pStyle w:val="TextBody"/>
        <w:spacing w:lineRule="auto" w:line="288" w:before="0" w:after="0"/>
        <w:rPr>
          <w:color w:val="000000"/>
        </w:rPr>
      </w:pPr>
      <w:r>
        <w:rPr>
          <w:color w:val="000000"/>
        </w:rPr>
        <w:t>†    </w:t>
      </w:r>
      <w:r>
        <w:rPr>
          <w:rFonts w:ascii="Arial Narrow;sans-serif" w:hAnsi="Arial Narrow;sans-serif"/>
          <w:b w:val="false"/>
          <w:i/>
          <w:color w:val="000000"/>
          <w:sz w:val="20"/>
        </w:rPr>
        <w:t>Indicates a management contract or compensatory plan or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2755"/>
                <wp:effectExtent l="0" t="0" r="0" b="0"/>
                <wp:wrapNone/>
                <wp:docPr id="123" name="Frame41"/>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5" descr=""/>
                                          <pic:cNvPicPr>
                                            <a:picLocks noChangeAspect="1" noChangeArrowheads="1"/>
                                          </pic:cNvPicPr>
                                        </pic:nvPicPr>
                                        <pic:blipFill>
                                          <a:blip r:embed="rId5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52"/>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39</w:t>
                      </w:r>
                    </w:p>
                  </w:txbxContent>
                </v:textbox>
              </v:rect>
            </w:pict>
          </mc:Fallback>
        </mc:AlternateContent>
      </w:r>
    </w:p>
    <w:p>
      <w:pPr>
        <w:pStyle w:val="TextBody"/>
        <w:spacing w:before="0" w:after="0"/>
        <w:rPr/>
      </w:pPr>
      <w:r>
        <w:rPr/>
      </w:r>
    </w:p>
    <w:p>
      <w:pPr>
        <w:pStyle w:val="TextBody"/>
        <w:spacing w:lineRule="auto" w:line="288" w:before="0" w:after="0"/>
        <w:rPr/>
      </w:pPr>
      <w:hyperlink w:anchor="i4ec9254f60b249f1b48963f80e29bf2f_7">
        <w:r>
          <w:rPr>
            <w:rStyle w:val="InternetLink"/>
            <w:rFonts w:ascii="Arial Narrow;sans-serif" w:hAnsi="Arial Narrow;sans-serif"/>
            <w:b w:val="false"/>
            <w:color w:val="000000"/>
            <w:sz w:val="20"/>
            <w:u w:val="single"/>
          </w:rPr>
          <w:t>Table of Contents</w:t>
        </w:r>
      </w:hyperlink>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spacing w:before="0" w:after="0"/>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p>
      <w:pPr>
        <w:pStyle w:val="TextBody"/>
        <w:spacing w:lineRule="auto" w:line="288" w:before="0" w:after="0"/>
        <w:rPr>
          <w:color w:val="000000"/>
        </w:rPr>
      </w:pPr>
      <w:r>
        <w:rPr>
          <w:color w:val="000000"/>
        </w:rPr>
        <w:t> </w:t>
      </w:r>
    </w:p>
    <w:tbl>
      <w:tblPr>
        <w:tblW w:w="6446" w:type="dxa"/>
        <w:jc w:val="left"/>
        <w:tblInd w:w="0" w:type="dxa"/>
        <w:tblCellMar>
          <w:top w:w="28" w:type="dxa"/>
          <w:left w:w="28" w:type="dxa"/>
          <w:bottom w:w="28" w:type="dxa"/>
          <w:right w:w="28" w:type="dxa"/>
        </w:tblCellMar>
      </w:tblPr>
      <w:tblGrid>
        <w:gridCol w:w="521"/>
        <w:gridCol w:w="456"/>
        <w:gridCol w:w="462"/>
        <w:gridCol w:w="109"/>
        <w:gridCol w:w="109"/>
        <w:gridCol w:w="109"/>
        <w:gridCol w:w="110"/>
        <w:gridCol w:w="110"/>
        <w:gridCol w:w="110"/>
        <w:gridCol w:w="1271"/>
        <w:gridCol w:w="1271"/>
        <w:gridCol w:w="1808"/>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808"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before="0" w:after="283"/>
              <w:jc w:val="left"/>
              <w:rPr/>
            </w:pPr>
            <w:r>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Portillo's Inc.</w:t>
            </w:r>
          </w:p>
        </w:tc>
      </w:tr>
      <w:tr>
        <w:trPr/>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Michael Osanloo</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Michael Osanloo</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br/>
              <w:t>(Principal Executive Officer)</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Michelle Hook</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Michelle Hook</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 and Treasurer</w:t>
              <w:br/>
              <w:t>(Principal Financial Officer and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2755"/>
                <wp:effectExtent l="0" t="0" r="0" b="0"/>
                <wp:wrapNone/>
                <wp:docPr id="126" name="Frame42"/>
                <a:graphic xmlns:a="http://schemas.openxmlformats.org/drawingml/2006/main">
                  <a:graphicData uri="http://schemas.microsoft.com/office/word/2010/wordprocessingShape">
                    <wps:wsp>
                      <wps:cNvSpPr txBox="1"/>
                      <wps:spPr>
                        <a:xfrm>
                          <a:off x="0" y="0"/>
                          <a:ext cx="6480175" cy="452755"/>
                        </a:xfrm>
                        <a:prstGeom prst="rect"/>
                      </wps:spPr>
                      <wps:txb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6" descr=""/>
                                          <pic:cNvPicPr>
                                            <a:picLocks noChangeAspect="1" noChangeArrowheads="1"/>
                                          </pic:cNvPicPr>
                                        </pic:nvPicPr>
                                        <pic:blipFill>
                                          <a:blip r:embed="rId5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spacing w:before="0" w:after="0"/>
                        <w:ind w:left="0" w:right="0" w:firstLine="720"/>
                        <w:jc w:val="right"/>
                        <w:rPr/>
                      </w:pPr>
                      <w:r>
                        <w:rPr/>
                      </w:r>
                    </w:p>
                    <w:p>
                      <w:pPr>
                        <w:pStyle w:val="TextBody"/>
                        <w:spacing w:lineRule="auto" w:line="288" w:before="0" w:after="0"/>
                        <w:ind w:left="0" w:right="0" w:firstLine="720"/>
                        <w:jc w:val="right"/>
                        <w:rPr/>
                      </w:pPr>
                      <w:r>
                        <w:rPr>
                          <w:rFonts w:ascii="Arial Narrow;sans-serif" w:hAnsi="Arial Narrow;sans-serif"/>
                          <w:b w:val="false"/>
                          <w:color w:val="000000"/>
                          <w:sz w:val="20"/>
                        </w:rPr>
                        <w:t xml:space="preserve">Portillo's Inc. </w:t>
                      </w:r>
                      <w:r>
                        <w:rPr/>
                        <w:drawing>
                          <wp:inline distT="0" distB="63500" distL="0" distR="0">
                            <wp:extent cx="190500" cy="180975"/>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53"/>
                                    <a:stretch>
                                      <a:fillRect/>
                                    </a:stretch>
                                  </pic:blipFill>
                                  <pic:spPr bwMode="auto">
                                    <a:xfrm>
                                      <a:off x="0" y="0"/>
                                      <a:ext cx="190500" cy="180975"/>
                                    </a:xfrm>
                                    <a:prstGeom prst="rect">
                                      <a:avLst/>
                                    </a:prstGeom>
                                  </pic:spPr>
                                </pic:pic>
                              </a:graphicData>
                            </a:graphic>
                          </wp:inline>
                        </w:drawing>
                      </w:r>
                      <w:r>
                        <w:rPr>
                          <w:color w:val="000000"/>
                        </w:rPr>
                        <w:t xml:space="preserve"> </w:t>
                      </w:r>
                      <w:r>
                        <w:rPr>
                          <w:rFonts w:ascii="Arial Narrow;sans-serif" w:hAnsi="Arial Narrow;sans-serif"/>
                          <w:b w:val="false"/>
                          <w:color w:val="000000"/>
                          <w:sz w:val="20"/>
                        </w:rPr>
                        <w:t>Form 10-Q | 40</w:t>
                      </w:r>
                    </w:p>
                  </w:txbxContent>
                </v:textbox>
              </v:rect>
            </w:pict>
          </mc:Fallback>
        </mc:AlternateContent>
      </w:r>
    </w:p>
    <w:tbl>
      <w:tblPr>
        <w:tblW w:w="3086" w:type="dxa"/>
        <w:jc w:val="center"/>
        <w:tblInd w:w="0" w:type="dxa"/>
        <w:tblCellMar>
          <w:top w:w="28" w:type="dxa"/>
          <w:left w:w="28" w:type="dxa"/>
          <w:bottom w:w="28" w:type="dxa"/>
          <w:right w:w="28" w:type="dxa"/>
        </w:tblCellMar>
      </w:tblPr>
      <w:tblGrid>
        <w:gridCol w:w="988"/>
        <w:gridCol w:w="869"/>
        <w:gridCol w:w="1229"/>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r>
      <w:tr>
        <w:trPr/>
        <w:tc>
          <w:tcPr>
            <w:tcW w:w="3086" w:type="dxa"/>
            <w:gridSpan w:val="3"/>
            <w:tcBorders>
              <w:bottom w:val="single" w:sz="12" w:space="0" w:color="000000"/>
            </w:tcBorders>
            <w:shd w:fill="auto" w:val="clear"/>
            <w:tcMar>
              <w:top w:w="0" w:type="dxa"/>
              <w:left w:w="0" w:type="dxa"/>
              <w:right w:w="0" w:type="dxa"/>
            </w:tcMar>
            <w:vAlign w:val="center"/>
          </w:tcPr>
          <w:p>
            <w:pPr>
              <w:pStyle w:val="TableContents"/>
              <w:spacing w:before="0" w:after="160"/>
              <w:jc w:val="center"/>
              <w:rPr/>
            </w:pPr>
            <w:r>
              <w:rPr/>
              <w:drawing>
                <wp:inline distT="0" distB="63500" distL="0" distR="0">
                  <wp:extent cx="1866900" cy="523875"/>
                  <wp:effectExtent l="0" t="0" r="0" b="0"/>
                  <wp:docPr id="12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7" descr=""/>
                          <pic:cNvPicPr>
                            <a:picLocks noChangeAspect="1" noChangeArrowheads="1"/>
                          </pic:cNvPicPr>
                        </pic:nvPicPr>
                        <pic:blipFill>
                          <a:blip r:embed="rId54"/>
                          <a:stretch>
                            <a:fillRect/>
                          </a:stretch>
                        </pic:blipFill>
                        <pic:spPr bwMode="auto">
                          <a:xfrm>
                            <a:off x="0" y="0"/>
                            <a:ext cx="1866900" cy="523875"/>
                          </a:xfrm>
                          <a:prstGeom prst="rect">
                            <a:avLst/>
                          </a:prstGeom>
                        </pic:spPr>
                      </pic:pic>
                    </a:graphicData>
                  </a:graphic>
                </wp:inline>
              </w:drawing>
            </w:r>
          </w:p>
        </w:tc>
      </w:tr>
    </w:tbl>
    <w:p>
      <w:pPr>
        <w:pStyle w:val="TextBody"/>
        <w:spacing w:lineRule="auto" w:line="300"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Portillo's Hot Dogs, LLC • 200 l Spring Road, Suite 400, Oak Brook, IL 60523-3930 • (630) 954-3773 • Fax (630) 954-5851• www.portillos.com</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August 10, 2020 </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Derrick Pratt</w:t>
      </w:r>
    </w:p>
    <w:p>
      <w:pPr>
        <w:pStyle w:val="TextBody"/>
        <w:spacing w:before="0" w:after="0"/>
        <w:rPr/>
      </w:pPr>
      <w:r>
        <w:rPr/>
      </w:r>
    </w:p>
    <w:p>
      <w:pPr>
        <w:pStyle w:val="TextBody"/>
        <w:spacing w:before="0" w:after="0"/>
        <w:rPr/>
      </w:pPr>
      <w:r>
        <w:rPr/>
      </w:r>
    </w:p>
    <w:p>
      <w:pPr>
        <w:pStyle w:val="TextBody"/>
        <w:spacing w:lineRule="auto" w:line="300" w:before="0" w:after="2"/>
        <w:rPr/>
      </w:pPr>
      <w:r>
        <w:rPr>
          <w:rFonts w:ascii="Times New Roman;sans-serif" w:hAnsi="Times New Roman;sans-serif"/>
          <w:b w:val="false"/>
          <w:color w:val="000000"/>
          <w:sz w:val="22"/>
        </w:rPr>
        <w:t xml:space="preserve">Via email: </w:t>
      </w:r>
      <w:r>
        <w:rPr>
          <w:rFonts w:ascii="Times New Roman;sans-serif" w:hAnsi="Times New Roman;sans-serif"/>
          <w:b w:val="false"/>
          <w:color w:val="000000"/>
          <w:sz w:val="22"/>
          <w:highlight w:val="black"/>
        </w:rPr>
        <w:t xml:space="preserve">derrick.pratt@hotmail.com </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Dear Derrick:</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Portillo's Hot Dogs, LLC is delighted to make a contingent offer to you for the position of SVP, Restaurants, reporting directly to Michael Osanloo, CEO. We value your experience and believe your expertise will help us drive our strategic restaurant people development, restaurant sales and other priorities, allowing us to reach our overall strategic goals.</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Your starting date is set as September 14, 2020. We understand that you will be selling your home and relocating your family, so abundant flexibility is available while you attend to these issues. We will coordinate a suitable schedule with you for time in the restaurants, Restaurant Support Center, to meet the Senior Team and your direct reports to ensure alignment with Portillo's strategic goals and your success.</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The starting salary is $400,000.00 per year and is paid on a bi-weekly basis. You will also be eligible to participate in a discretionary annual bonus program at 50% of your base salary. Since you will be starting during the 2020 fiscal year, your 2020 bonus payout will be a fixed amount of $50,000.00. Bonus payments are generally paid on or around April 1 for performance in the prior year. Direct deposit is available for paychecks, and we highly encourage all employees to use it. You will receive a Sign-on Bonus to assist you in covering costs you will incur to relocate in the net amount of $85,000. In addition, you will receive a Retention Bonus of $150,000 (gross) payable $100,000.00 on January 15, 2021 and $50,000 on July 15, 2021. Should your employment be terminated by Portillo' s for Cause or if you voluntary resign within 1 year of your starting date, you will be required to repay Portillo's Hot Dogs, LLC the full amount of the Sign-on Bonus and Retention Bonus. Should your employment be terminated by Portillo's for Cause or if you voluntary resign after the first year but prior to the second anniversary of your start date, you will be required to repay Portillo's Hot Dogs, LLC one-half of the Sign-on Bonus and Retention Bonus. All repayment requirements will be based on the gross payment amount of your Sign-on Bonus and Retention Bonus and not the net amount and shall be made within ten (10) business days of termination.</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Your position is also eligible to participate in the executive stock option program. Your position will be eligible for a grant of 900,000 options, (split evenly between Time and Time/Performance Options) subject to final approval by the Board of Managers. Full family medical, dental, and vision coverage are offered through our company's employee benefit plan and is effective after a 60-day waiting period, with 100% payment of the premium equivalent by the Company, so long as such full payment is permitted by law. In the event you are currently covered under a health plan and intend to exercise your COBRA rights during the waiting period, Portillo's will pay that cost on your behalf until your waiting period is met. In addition, you will be provided with a Company car. Those arrangements will be completed once you have started your position.</w:t>
      </w:r>
    </w:p>
    <w:p>
      <w:pPr>
        <w:pStyle w:val="TextBody"/>
        <w:spacing w:before="0" w:after="0"/>
        <w:rPr/>
      </w:pPr>
      <w:r>
        <w:rPr/>
      </w:r>
    </w:p>
    <w:p>
      <w:pPr>
        <w:pStyle w:val="TextBody"/>
        <w:spacing w:before="0" w:after="2"/>
        <w:rPr/>
      </w:pPr>
      <w:r>
        <w:rPr/>
      </w:r>
    </w:p>
    <w:p>
      <w:pPr>
        <w:pStyle w:val="TextBody"/>
        <w:spacing w:before="0" w:after="2"/>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130"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 xml:space="preserve">Pratt </w:t>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Page 2</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Portillo's offers a paid vacation plan. You will receive 4 weeks' vacation, to be accrued on a pro rated monthly basis. Eligibility for the company 401K retirement plan begins after 90 days of employment. In addition, we offer a non-qualified deferred compensation plan for our highly compensated employees. You will be eligible for participation in this plan in 2021.</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This is an offer of employment only and should not be construed as an employment contract. Your employment with the company is contingent upon your execution and return of the Confidentiality, Work for Hire and Non-Solicitation Agreement, attached.</w:t>
      </w:r>
    </w:p>
    <w:p>
      <w:pPr>
        <w:pStyle w:val="TextBody"/>
        <w:spacing w:before="0" w:after="0"/>
        <w:rPr/>
      </w:pPr>
      <w:r>
        <w:rPr/>
      </w:r>
    </w:p>
    <w:p>
      <w:pPr>
        <w:pStyle w:val="TextBody"/>
        <w:spacing w:lineRule="auto" w:line="300" w:before="0" w:after="0"/>
        <w:rPr/>
      </w:pPr>
      <w:r>
        <w:rPr>
          <w:rFonts w:ascii="Times New Roman;sans-serif" w:hAnsi="Times New Roman;sans-serif"/>
          <w:b w:val="false"/>
          <w:color w:val="000000"/>
          <w:sz w:val="22"/>
        </w:rPr>
        <w:t xml:space="preserve">I am excited to have you join our Portillo's family and know that you will live our values of family, greatness, energy and fun! Please feel free to contact me via email </w:t>
      </w:r>
      <w:r>
        <w:rPr>
          <w:rFonts w:ascii="Times New Roman;sans-serif" w:hAnsi="Times New Roman;sans-serif"/>
          <w:b w:val="false"/>
          <w:color w:val="000000"/>
          <w:sz w:val="22"/>
          <w:highlight w:val="black"/>
        </w:rPr>
        <w:t>jwaite@portillo's.com</w:t>
      </w:r>
      <w:r>
        <w:rPr>
          <w:color w:val="000000"/>
        </w:rPr>
        <w:t xml:space="preserve"> </w:t>
      </w:r>
      <w:r>
        <w:rPr>
          <w:rFonts w:ascii="Times New Roman;sans-serif" w:hAnsi="Times New Roman;sans-serif"/>
          <w:b w:val="false"/>
          <w:color w:val="000000"/>
          <w:sz w:val="22"/>
        </w:rPr>
        <w:t xml:space="preserve">or my cell phone </w:t>
      </w:r>
      <w:r>
        <w:rPr>
          <w:rFonts w:ascii="Times New Roman;sans-serif" w:hAnsi="Times New Roman;sans-serif"/>
          <w:b w:val="false"/>
          <w:color w:val="000000"/>
          <w:sz w:val="22"/>
          <w:highlight w:val="black"/>
        </w:rPr>
        <w:t>(925) 822-7040</w:t>
      </w:r>
      <w:r>
        <w:rPr>
          <w:color w:val="000000"/>
        </w:rPr>
        <w:t xml:space="preserve"> </w:t>
      </w:r>
      <w:r>
        <w:rPr>
          <w:rFonts w:ascii="Times New Roman;sans-serif" w:hAnsi="Times New Roman;sans-serif"/>
          <w:b w:val="false"/>
          <w:color w:val="000000"/>
          <w:sz w:val="22"/>
        </w:rPr>
        <w:t>with any questions.</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If you choose to accept this contingent job offer, please sign below and return it to me at your earliest convenience.</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We look forward to welcoming you to the Portillo's team. </w:t>
      </w:r>
    </w:p>
    <w:p>
      <w:pPr>
        <w:pStyle w:val="TextBody"/>
        <w:spacing w:before="0" w:after="16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Jill Waite, CHRO </w:t>
      </w:r>
    </w:p>
    <w:p>
      <w:pPr>
        <w:pStyle w:val="TextBody"/>
        <w:spacing w:lineRule="auto" w:line="300" w:before="0" w:after="0"/>
        <w:rPr>
          <w:rFonts w:ascii="Times New Roman;sans-serif" w:hAnsi="Times New Roman;sans-serif"/>
          <w:b w:val="false"/>
          <w:color w:val="000000"/>
          <w:sz w:val="22"/>
        </w:rPr>
      </w:pPr>
      <w:r>
        <w:rPr>
          <w:rFonts w:ascii="Times New Roman;sans-serif" w:hAnsi="Times New Roman;sans-serif"/>
          <w:b w:val="false"/>
          <w:color w:val="000000"/>
          <w:sz w:val="22"/>
        </w:rPr>
        <w:t>Portillo's Hot Dogs LLC</w:t>
      </w:r>
    </w:p>
    <w:p>
      <w:pPr>
        <w:pStyle w:val="TextBody"/>
        <w:spacing w:before="0" w:after="0"/>
        <w:rPr/>
      </w:pPr>
      <w:r>
        <w:rPr/>
      </w:r>
    </w:p>
    <w:p>
      <w:pPr>
        <w:pStyle w:val="TextBody"/>
        <w:spacing w:before="0" w:after="0"/>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I hereby accept the contingent offer as SVP, Restaurants</w:t>
      </w:r>
    </w:p>
    <w:p>
      <w:pPr>
        <w:pStyle w:val="TextBody"/>
        <w:spacing w:before="0" w:after="0"/>
        <w:rPr/>
      </w:pPr>
      <w:r>
        <w:rPr/>
      </w:r>
    </w:p>
    <w:tbl>
      <w:tblPr>
        <w:tblW w:w="2474" w:type="dxa"/>
        <w:jc w:val="left"/>
        <w:tblInd w:w="0" w:type="dxa"/>
        <w:tblCellMar>
          <w:top w:w="28" w:type="dxa"/>
          <w:left w:w="28" w:type="dxa"/>
          <w:bottom w:w="28" w:type="dxa"/>
          <w:right w:w="28" w:type="dxa"/>
        </w:tblCellMar>
      </w:tblPr>
      <w:tblGrid>
        <w:gridCol w:w="790"/>
        <w:gridCol w:w="696"/>
        <w:gridCol w:w="988"/>
      </w:tblGrid>
      <w:tr>
        <w:trPr/>
        <w:tc>
          <w:tcPr>
            <w:tcW w:w="790"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Derrick Pratt</w:t>
            </w:r>
          </w:p>
        </w:tc>
      </w:tr>
      <w:tr>
        <w:trPr/>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Signature – Derrick Pratt</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13, 2020</w:t>
            </w:r>
          </w:p>
        </w:tc>
      </w:tr>
      <w:tr>
        <w:trPr/>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w:t>
      </w:r>
      <w:r>
        <w:rPr>
          <w:rFonts w:ascii="Arial Narrow;sans-serif" w:hAnsi="Arial Narrow;sans-serif"/>
          <w:b/>
          <w:color w:val="000000"/>
          <w:sz w:val="20"/>
        </w:rPr>
        <w:t>xhibit 31.1</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131"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CERTIFICATION OF CHIEF EXECUTIVE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 UNDER THE SECURITIES EXCHANGE ACT OF 1934,</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302 OF THE SARBANES-OXLEY ACT OF 2002</w:t>
      </w:r>
    </w:p>
    <w:p>
      <w:pPr>
        <w:pStyle w:val="TextBody"/>
        <w:spacing w:lineRule="auto" w:line="288" w:before="264" w:after="283"/>
        <w:rPr>
          <w:rFonts w:ascii="Arial Narrow;sans-serif" w:hAnsi="Arial Narrow;sans-serif"/>
          <w:b w:val="false"/>
          <w:color w:val="000000"/>
          <w:sz w:val="20"/>
        </w:rPr>
      </w:pPr>
      <w:r>
        <w:rPr>
          <w:rFonts w:ascii="Arial Narrow;sans-serif" w:hAnsi="Arial Narrow;sans-serif"/>
          <w:b w:val="false"/>
          <w:color w:val="000000"/>
          <w:sz w:val="20"/>
        </w:rPr>
        <w:t>I, Michael Osanloo, certify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905"/>
        <w:gridCol w:w="2602"/>
        <w:gridCol w:w="3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2602" w:type="dxa"/>
            <w:tcBorders/>
            <w:shd w:fill="auto" w:val="clear"/>
            <w:vAlign w:val="center"/>
          </w:tcPr>
          <w:p>
            <w:pPr>
              <w:pStyle w:val="TableContents"/>
              <w:spacing w:before="0" w:after="283"/>
              <w:rPr>
                <w:sz w:val="4"/>
                <w:szCs w:val="4"/>
              </w:rPr>
            </w:pPr>
            <w:r>
              <w:rPr>
                <w:sz w:val="4"/>
                <w:szCs w:val="4"/>
              </w:rPr>
            </w:r>
          </w:p>
        </w:tc>
        <w:tc>
          <w:tcPr>
            <w:tcW w:w="3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 have reviewed this Quarterly Report on Form 10-Q for the quarterly period ended March 26, 2023 of Portillo's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are responsible for establishing and maintaining disclosure controls and procedures (as defined in Exchange Act Rules 13a-15(e) and 15d-15(e))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[Omitted];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center"/>
        <w:rPr>
          <w:color w:val="000000"/>
        </w:rPr>
      </w:pPr>
      <w:r>
        <w:rPr>
          <w:color w:val="000000"/>
        </w:rPr>
        <w:t> </w:t>
      </w:r>
    </w:p>
    <w:tbl>
      <w:tblPr>
        <w:tblW w:w="5219" w:type="dxa"/>
        <w:jc w:val="left"/>
        <w:tblInd w:w="0" w:type="dxa"/>
        <w:tblCellMar>
          <w:top w:w="28" w:type="dxa"/>
          <w:left w:w="28" w:type="dxa"/>
          <w:bottom w:w="28" w:type="dxa"/>
          <w:right w:w="28" w:type="dxa"/>
        </w:tblCellMar>
      </w:tblPr>
      <w:tblGrid>
        <w:gridCol w:w="521"/>
        <w:gridCol w:w="456"/>
        <w:gridCol w:w="462"/>
        <w:gridCol w:w="110"/>
        <w:gridCol w:w="110"/>
        <w:gridCol w:w="110"/>
        <w:gridCol w:w="1008"/>
        <w:gridCol w:w="1008"/>
        <w:gridCol w:w="1434"/>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Michael Osanloo</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Michael Osanloo</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b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w:t>
      </w:r>
      <w:r>
        <w:rPr>
          <w:rFonts w:ascii="Arial Narrow;sans-serif" w:hAnsi="Arial Narrow;sans-serif"/>
          <w:b/>
          <w:color w:val="000000"/>
          <w:sz w:val="20"/>
        </w:rPr>
        <w:t>xhibit 31.2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32"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CERTIFICATION OF CHIEF FINANCIAL OFFICER</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 UNDER THE SECURITIES EXCHANGE ACT OF 1934,</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302 OF THE SARBANES-OXLEY ACT OF 2002</w:t>
      </w:r>
    </w:p>
    <w:p>
      <w:pPr>
        <w:pStyle w:val="TextBody"/>
        <w:spacing w:lineRule="auto" w:line="288" w:before="264" w:after="283"/>
        <w:rPr>
          <w:rFonts w:ascii="Arial Narrow;sans-serif" w:hAnsi="Arial Narrow;sans-serif"/>
          <w:b w:val="false"/>
          <w:color w:val="000000"/>
          <w:sz w:val="20"/>
        </w:rPr>
      </w:pPr>
      <w:r>
        <w:rPr>
          <w:rFonts w:ascii="Arial Narrow;sans-serif" w:hAnsi="Arial Narrow;sans-serif"/>
          <w:b w:val="false"/>
          <w:color w:val="000000"/>
          <w:sz w:val="20"/>
        </w:rPr>
        <w:t>I, Michelle Hook, certify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2854"/>
        <w:gridCol w:w="2623"/>
        <w:gridCol w:w="37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4" w:type="dxa"/>
            <w:tcBorders/>
            <w:shd w:fill="auto" w:val="clear"/>
            <w:vAlign w:val="center"/>
          </w:tcPr>
          <w:p>
            <w:pPr>
              <w:pStyle w:val="TableContents"/>
              <w:spacing w:before="0" w:after="283"/>
              <w:rPr>
                <w:sz w:val="4"/>
                <w:szCs w:val="4"/>
              </w:rPr>
            </w:pPr>
            <w:r>
              <w:rPr>
                <w:sz w:val="4"/>
                <w:szCs w:val="4"/>
              </w:rPr>
            </w:r>
          </w:p>
        </w:tc>
        <w:tc>
          <w:tcPr>
            <w:tcW w:w="2623" w:type="dxa"/>
            <w:tcBorders/>
            <w:shd w:fill="auto" w:val="clear"/>
            <w:vAlign w:val="center"/>
          </w:tcPr>
          <w:p>
            <w:pPr>
              <w:pStyle w:val="TableContents"/>
              <w:spacing w:before="0" w:after="283"/>
              <w:rPr>
                <w:sz w:val="4"/>
                <w:szCs w:val="4"/>
              </w:rPr>
            </w:pPr>
            <w:r>
              <w:rPr>
                <w:sz w:val="4"/>
                <w:szCs w:val="4"/>
              </w:rPr>
            </w:r>
          </w:p>
        </w:tc>
        <w:tc>
          <w:tcPr>
            <w:tcW w:w="37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 have reviewed this Quarterly Report on Form 10-Q for the quarterly period ended March 26, 2023 of Portillo's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are responsible for establishing and maintaining disclosure controls and procedures (as defined in Exchange Act Rules 13a-15(e) and 15d-15(e))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[Omitted];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w:t>
            </w:r>
          </w:p>
        </w:tc>
        <w:tc>
          <w:tcPr>
            <w:tcW w:w="9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center"/>
        <w:rPr>
          <w:color w:val="000000"/>
        </w:rPr>
      </w:pPr>
      <w:r>
        <w:rPr>
          <w:color w:val="000000"/>
        </w:rPr>
        <w:t> </w:t>
      </w:r>
    </w:p>
    <w:tbl>
      <w:tblPr>
        <w:tblW w:w="6119" w:type="dxa"/>
        <w:jc w:val="left"/>
        <w:tblInd w:w="0" w:type="dxa"/>
        <w:tblCellMar>
          <w:top w:w="28" w:type="dxa"/>
          <w:left w:w="28" w:type="dxa"/>
          <w:bottom w:w="28" w:type="dxa"/>
          <w:right w:w="28" w:type="dxa"/>
        </w:tblCellMar>
      </w:tblPr>
      <w:tblGrid>
        <w:gridCol w:w="521"/>
        <w:gridCol w:w="456"/>
        <w:gridCol w:w="462"/>
        <w:gridCol w:w="110"/>
        <w:gridCol w:w="110"/>
        <w:gridCol w:w="110"/>
        <w:gridCol w:w="1274"/>
        <w:gridCol w:w="1274"/>
        <w:gridCol w:w="1802"/>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Michelle Hook</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 and Treasurer</w:t>
              <w:br/>
              <w:t>(Principal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w:t>
      </w:r>
      <w:r>
        <w:rPr>
          <w:rFonts w:ascii="Arial Narrow;sans-serif" w:hAnsi="Arial Narrow;sans-serif"/>
          <w:b/>
          <w:color w:val="000000"/>
          <w:sz w:val="20"/>
        </w:rPr>
        <w:t>xhibit 32.1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33"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4" w:after="283"/>
        <w:jc w:val="center"/>
        <w:rPr>
          <w:rFonts w:ascii="Arial Narrow;sans-serif" w:hAnsi="Arial Narrow;sans-serif"/>
          <w:b/>
          <w:color w:val="000000"/>
          <w:sz w:val="20"/>
        </w:rPr>
      </w:pPr>
      <w:r>
        <w:rPr>
          <w:rFonts w:ascii="Arial Narrow;sans-serif" w:hAnsi="Arial Narrow;sans-serif"/>
          <w:b/>
          <w:color w:val="000000"/>
          <w:sz w:val="20"/>
        </w:rPr>
        <w:t>CERTIFICATION PURSUANT TO 18 U.S.C. SECTION 1350,</w:t>
      </w:r>
    </w:p>
    <w:p>
      <w:pPr>
        <w:pStyle w:val="TextBody"/>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on Form 10-Q of Portillo's Inc. (the “Company”), for the quarterly period ended March 26,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Report fully complies with the requirements of Section 13(a) or 15(d) of the Securities Exchange Act of 1934;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jc w:val="center"/>
        <w:rPr/>
      </w:pPr>
      <w:r>
        <w:rPr/>
      </w:r>
    </w:p>
    <w:tbl>
      <w:tblPr>
        <w:tblW w:w="5219" w:type="dxa"/>
        <w:jc w:val="center"/>
        <w:tblInd w:w="0" w:type="dxa"/>
        <w:tblCellMar>
          <w:top w:w="28" w:type="dxa"/>
          <w:left w:w="28" w:type="dxa"/>
          <w:bottom w:w="28" w:type="dxa"/>
          <w:right w:w="28" w:type="dxa"/>
        </w:tblCellMar>
      </w:tblPr>
      <w:tblGrid>
        <w:gridCol w:w="521"/>
        <w:gridCol w:w="456"/>
        <w:gridCol w:w="462"/>
        <w:gridCol w:w="110"/>
        <w:gridCol w:w="110"/>
        <w:gridCol w:w="110"/>
        <w:gridCol w:w="1008"/>
        <w:gridCol w:w="1008"/>
        <w:gridCol w:w="1434"/>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Michael Osanloo</w:t>
            </w:r>
          </w:p>
        </w:tc>
      </w:tr>
      <w:tr>
        <w:trPr/>
        <w:tc>
          <w:tcPr>
            <w:tcW w:w="1439" w:type="dxa"/>
            <w:gridSpan w:val="3"/>
            <w:tcBorders>
              <w:top w:val="single" w:sz="8"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Michael Osanloo</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President, Chief Executive Officer and Director</w:t>
              <w:br/>
              <w:t>(Principal Executive Officer)</w:t>
            </w:r>
          </w:p>
        </w:tc>
      </w:tr>
    </w:tbl>
    <w:p>
      <w:pPr>
        <w:pStyle w:val="TextBody"/>
        <w:spacing w:lineRule="auto" w:line="288" w:before="0" w:after="0"/>
        <w:rPr>
          <w:color w:val="000000"/>
        </w:rPr>
      </w:pPr>
      <w:r>
        <w:rPr>
          <w:color w:val="000000"/>
        </w:rPr>
        <w:t> </w:t>
      </w:r>
    </w:p>
    <w:tbl>
      <w:tblPr>
        <w:tblW w:w="6119" w:type="dxa"/>
        <w:jc w:val="left"/>
        <w:tblInd w:w="0" w:type="dxa"/>
        <w:tblCellMar>
          <w:top w:w="28" w:type="dxa"/>
          <w:left w:w="28" w:type="dxa"/>
          <w:bottom w:w="28" w:type="dxa"/>
          <w:right w:w="28" w:type="dxa"/>
        </w:tblCellMar>
      </w:tblPr>
      <w:tblGrid>
        <w:gridCol w:w="521"/>
        <w:gridCol w:w="456"/>
        <w:gridCol w:w="462"/>
        <w:gridCol w:w="110"/>
        <w:gridCol w:w="110"/>
        <w:gridCol w:w="110"/>
        <w:gridCol w:w="1274"/>
        <w:gridCol w:w="1274"/>
        <w:gridCol w:w="1802"/>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May 4, 2023</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Michelle Hook</w:t>
            </w:r>
          </w:p>
        </w:tc>
      </w:tr>
      <w:tr>
        <w:trPr/>
        <w:tc>
          <w:tcPr>
            <w:tcW w:w="1439"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Michelle Hook</w:t>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 and Treasurer</w:t>
              <w:br/>
              <w:t>(Principal Financial Officer and Principal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134"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Narrow">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hyperlink" Target="https://www.sec.gov/Archives/edgar/data/1871509/000187150921000009/exhibit31amendedandrestate.htm" TargetMode="External"/><Relationship Id="rId47" Type="http://schemas.openxmlformats.org/officeDocument/2006/relationships/hyperlink" Target="https://www.sec.gov/Archives/edgar/data/1871509/000187150921000009/exhibit31amendedandrestate.htm" TargetMode="External"/><Relationship Id="rId48" Type="http://schemas.openxmlformats.org/officeDocument/2006/relationships/hyperlink" Target="https://www.sec.gov/Archives/edgar/data/1871509/000187150921000009/exhibit32amendedandrestate.htm" TargetMode="External"/><Relationship Id="rId49" Type="http://schemas.openxmlformats.org/officeDocument/2006/relationships/hyperlink" Target="https://www.sec.gov/Archives/edgar/data/1871509/000187150921000009/exhibit32amendedandrestate.htm" TargetMode="External"/><Relationship Id="rId50" Type="http://schemas.openxmlformats.org/officeDocument/2006/relationships/hyperlink" Target="http://www.sec.gov/Archives/edgar/data/1871509/000119312522214895/d382690dex1015.htm" TargetMode="External"/><Relationship Id="rId51" Type="http://schemas.openxmlformats.org/officeDocument/2006/relationships/hyperlink" Target="http://www.sec.gov/Archives/edgar/data/1871509/000119312522214895/d382690dex1015.htm" TargetMode="External"/><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20501</Words>
  <CharactersWithSpaces>132063</CharactersWithSpaces>
  <Paragraphs>1991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