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177800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80"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u w:val="single" w:color="auto"/>
          <w:color w:val="auto"/>
        </w:rPr>
        <w:t>FORM 10-K</w:t>
      </w:r>
    </w:p>
    <w:p>
      <w:pPr>
        <w:spacing w:after="0" w:line="200" w:lineRule="exact"/>
        <w:rPr>
          <w:sz w:val="24"/>
          <w:szCs w:val="24"/>
          <w:color w:val="auto"/>
        </w:rPr>
      </w:pPr>
    </w:p>
    <w:p>
      <w:pPr>
        <w:spacing w:after="0" w:line="216" w:lineRule="exact"/>
        <w:rPr>
          <w:sz w:val="24"/>
          <w:szCs w:val="24"/>
          <w:color w:val="auto"/>
        </w:rPr>
      </w:pPr>
    </w:p>
    <w:p>
      <w:pPr>
        <w:ind w:left="1020" w:hanging="485"/>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ANNUAL REPORT PURSUANT TO SECTION 13 OR 15(d) OF THE SECURITIES EXCHANGE ACT OF 1934</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FOR THE FISCAL YEAR ENDED December 25, 2022</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OR</w:t>
      </w:r>
    </w:p>
    <w:p>
      <w:pPr>
        <w:ind w:left="560" w:hanging="432"/>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25"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20"/>
          <w:szCs w:val="20"/>
          <w:color w:val="auto"/>
        </w:rPr>
        <w:t>TO</w:t>
      </w: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17780</wp:posOffset>
            </wp:positionV>
            <wp:extent cx="228028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PORTILLO'S INC.</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00"/>
          </w:cols>
          <w:pgMar w:left="320" w:top="877" w:right="379" w:bottom="1440" w:gutter="0" w:footer="0" w:header="0"/>
        </w:sectPr>
      </w:pPr>
    </w:p>
    <w:p>
      <w:pPr>
        <w:spacing w:after="0" w:line="28"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85" w:lineRule="exact"/>
        <w:rPr>
          <w:sz w:val="24"/>
          <w:szCs w:val="24"/>
          <w:color w:val="auto"/>
        </w:rPr>
      </w:pPr>
    </w:p>
    <w:p>
      <w:pPr>
        <w:sectPr>
          <w:pgSz w:w="11900" w:h="16838" w:orient="portrait"/>
          <w:cols w:equalWidth="0" w:num="2">
            <w:col w:w="7280" w:space="720"/>
            <w:col w:w="3200"/>
          </w:cols>
          <w:pgMar w:left="320" w:top="877" w:right="379" w:bottom="1440" w:gutter="0" w:footer="0" w:header="0"/>
          <w:type w:val="continuous"/>
        </w:sect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56" w:lineRule="exact"/>
        <w:rPr>
          <w:sz w:val="24"/>
          <w:szCs w:val="24"/>
          <w:color w:val="auto"/>
        </w:rPr>
      </w:pPr>
    </w:p>
    <w:p>
      <w:pPr>
        <w:sectPr>
          <w:pgSz w:w="11900" w:h="16838" w:orient="portrait"/>
          <w:cols w:equalWidth="0" w:num="2">
            <w:col w:w="6620" w:space="720"/>
            <w:col w:w="3860"/>
          </w:cols>
          <w:pgMar w:left="320" w:top="877" w:right="37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7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w:t>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(630)-954-3773</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877" w:right="379" w:bottom="1440" w:gutter="0" w:footer="0" w:header="0"/>
          <w:type w:val="continuous"/>
        </w:sectPr>
      </w:pPr>
    </w:p>
    <w:p>
      <w:pPr>
        <w:spacing w:after="0" w:line="59"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580" w:space="720"/>
            <w:col w:w="1200" w:space="720"/>
            <w:col w:w="3980"/>
          </w:cols>
          <w:pgMar w:left="320" w:top="877" w:right="37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127" w:lineRule="exact"/>
        <w:rPr>
          <w:sz w:val="24"/>
          <w:szCs w:val="24"/>
          <w:color w:val="auto"/>
        </w:rPr>
      </w:pPr>
    </w:p>
    <w:p>
      <w:pPr>
        <w:sectPr>
          <w:pgSz w:w="11900" w:h="16838" w:orient="portrait"/>
          <w:cols w:equalWidth="0" w:num="3">
            <w:col w:w="4960" w:space="720"/>
            <w:col w:w="1480" w:space="720"/>
            <w:col w:w="3320"/>
          </w:cols>
          <w:pgMar w:left="320" w:top="877" w:right="37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p>
      <w:pPr>
        <w:sectPr>
          <w:pgSz w:w="11900" w:h="16838" w:orient="portrait"/>
          <w:cols w:equalWidth="0" w:num="1">
            <w:col w:w="11200"/>
          </w:cols>
          <w:pgMar w:left="320" w:top="877" w:right="379" w:bottom="1440" w:gutter="0" w:footer="0" w:header="0"/>
          <w:type w:val="continuous"/>
        </w:sectPr>
      </w:pPr>
    </w:p>
    <w:p>
      <w:pPr>
        <w:spacing w:after="0" w:line="222" w:lineRule="exact"/>
        <w:rPr>
          <w:sz w:val="24"/>
          <w:szCs w:val="24"/>
          <w:color w:val="auto"/>
        </w:rPr>
      </w:pPr>
    </w:p>
    <w:p>
      <w:pPr>
        <w:ind w:right="1780"/>
        <w:spacing w:after="0" w:line="22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by check mark if the registrant is not required to file reports pursuant to Section 13 or Section 15(d) of the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5" w:lineRule="exact"/>
        <w:rPr>
          <w:sz w:val="24"/>
          <w:szCs w:val="24"/>
          <w:color w:val="auto"/>
        </w:rPr>
      </w:pPr>
    </w:p>
    <w:p>
      <w:pPr>
        <w:jc w:val="both"/>
        <w:ind w:right="420"/>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5" w:lineRule="exact"/>
        <w:rPr>
          <w:sz w:val="24"/>
          <w:szCs w:val="24"/>
          <w:color w:val="auto"/>
        </w:rPr>
      </w:pPr>
    </w:p>
    <w:p>
      <w:pPr>
        <w:ind w:right="180"/>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5" w:lineRule="exact"/>
        <w:rPr>
          <w:sz w:val="24"/>
          <w:szCs w:val="24"/>
          <w:color w:val="auto"/>
        </w:rPr>
      </w:pPr>
    </w:p>
    <w:p>
      <w:pPr>
        <w:ind w:right="100"/>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40" w:type="dxa"/>
        <w:tblCellMar>
          <w:top w:w="0" w:type="dxa"/>
          <w:left w:w="0" w:type="dxa"/>
          <w:bottom w:w="0" w:type="dxa"/>
          <w:right w:w="0" w:type="dxa"/>
        </w:tblCellMar>
      </w:tblP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39"/>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8" w:lineRule="exact"/>
        <w:rPr>
          <w:sz w:val="24"/>
          <w:szCs w:val="24"/>
          <w:color w:val="auto"/>
        </w:rPr>
      </w:pPr>
    </w:p>
    <w:p>
      <w:pPr>
        <w:ind w:right="10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4"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ind w:left="5280" w:hanging="376"/>
        <w:spacing w:after="0" w:line="184" w:lineRule="exact"/>
        <w:tabs>
          <w:tab w:leader="none" w:pos="52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 240.10D-1(b).</w:t>
      </w:r>
    </w:p>
    <w:p>
      <w:pPr>
        <w:spacing w:after="0" w:line="1" w:lineRule="exact"/>
        <w:rPr>
          <w:sz w:val="20"/>
          <w:szCs w:val="20"/>
          <w:color w:val="auto"/>
        </w:rPr>
      </w:pPr>
    </w:p>
    <w:p>
      <w:pPr>
        <w:ind w:left="5280" w:hanging="376"/>
        <w:spacing w:after="0" w:line="184" w:lineRule="exact"/>
        <w:tabs>
          <w:tab w:leader="none" w:pos="52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15" w:lineRule="exact"/>
        <w:rPr>
          <w:sz w:val="20"/>
          <w:szCs w:val="20"/>
          <w:color w:val="auto"/>
        </w:rPr>
      </w:pPr>
    </w:p>
    <w:p>
      <w:pPr>
        <w:ind w:left="5280" w:hanging="376"/>
        <w:spacing w:after="0" w:line="184" w:lineRule="exact"/>
        <w:tabs>
          <w:tab w:leader="none" w:pos="52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aggregate market value of the common stock held by non-affiliates of the registrant on June 24, 2022, the last business day of the Registrant's most recently completed second fiscal quarter, based on the closing price of the registrant's Class A common stock as reported by The Nasdaq Stock Market on that date, was approximately $399,670,028. This calculation does not reflect a determination that certain persons are affiliates of the registrant for any other purpose.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23, 2023, there were 48,541,285 shares of the registrant's Class A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21590</wp:posOffset>
            </wp:positionV>
            <wp:extent cx="5966460"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00" w:type="dxa"/>
            <w:vAlign w:val="bottom"/>
            <w:gridSpan w:val="2"/>
          </w:tcPr>
          <w:p>
            <w:pPr>
              <w:spacing w:after="0"/>
              <w:rPr>
                <w:sz w:val="20"/>
                <w:szCs w:val="20"/>
                <w:color w:val="auto"/>
              </w:rPr>
            </w:pPr>
            <w:r>
              <w:rPr>
                <w:rFonts w:ascii="Arial" w:cs="Arial" w:eastAsia="Arial" w:hAnsi="Arial"/>
                <w:sz w:val="18"/>
                <w:szCs w:val="18"/>
                <w:b w:val="1"/>
                <w:bCs w:val="1"/>
                <w:color w:val="auto"/>
              </w:rPr>
              <w:t>Cautionary Note Regarding Forward-Looking Information</w:t>
            </w:r>
          </w:p>
        </w:tc>
        <w:tc>
          <w:tcPr>
            <w:tcW w:w="3520" w:type="dxa"/>
            <w:vAlign w:val="bottom"/>
            <w:gridSpan w:val="3"/>
          </w:tcPr>
          <w:p>
            <w:pPr>
              <w:jc w:val="right"/>
              <w:ind w:right="640"/>
              <w:spacing w:after="0"/>
              <w:rPr>
                <w:sz w:val="20"/>
                <w:szCs w:val="20"/>
                <w:color w:val="auto"/>
              </w:rPr>
            </w:pPr>
            <w:r>
              <w:rPr>
                <w:rFonts w:ascii="Arial" w:cs="Arial" w:eastAsia="Arial" w:hAnsi="Arial"/>
                <w:sz w:val="18"/>
                <w:szCs w:val="18"/>
                <w:color w:val="auto"/>
              </w:rPr>
              <w:t>1</w:t>
            </w:r>
          </w:p>
        </w:tc>
      </w:tr>
      <w:tr>
        <w:trPr>
          <w:trHeight w:val="48"/>
        </w:trPr>
        <w:tc>
          <w:tcPr>
            <w:tcW w:w="20" w:type="dxa"/>
            <w:vAlign w:val="bottom"/>
          </w:tcPr>
          <w:p>
            <w:pPr>
              <w:spacing w:after="0"/>
              <w:rPr>
                <w:sz w:val="4"/>
                <w:szCs w:val="4"/>
                <w:color w:val="auto"/>
              </w:rPr>
            </w:pPr>
          </w:p>
        </w:tc>
        <w:tc>
          <w:tcPr>
            <w:tcW w:w="4900" w:type="dxa"/>
            <w:vAlign w:val="bottom"/>
            <w:tcBorders>
              <w:top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4900" w:type="dxa"/>
            <w:vAlign w:val="bottom"/>
            <w:shd w:val="clear" w:color="auto" w:fill="DBDBDB"/>
          </w:tcPr>
          <w:p>
            <w:pPr>
              <w:spacing w:after="0"/>
              <w:rPr>
                <w:sz w:val="23"/>
                <w:szCs w:val="23"/>
                <w:color w:val="auto"/>
              </w:rPr>
            </w:pPr>
          </w:p>
        </w:tc>
        <w:tc>
          <w:tcPr>
            <w:tcW w:w="2800" w:type="dxa"/>
            <w:vAlign w:val="bottom"/>
            <w:shd w:val="clear" w:color="auto" w:fill="DBDBDB"/>
          </w:tcPr>
          <w:p>
            <w:pPr>
              <w:spacing w:after="0"/>
              <w:rPr>
                <w:sz w:val="23"/>
                <w:szCs w:val="23"/>
                <w:color w:val="auto"/>
              </w:rPr>
            </w:pPr>
          </w:p>
        </w:tc>
        <w:tc>
          <w:tcPr>
            <w:tcW w:w="27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r>
    </w:tbl>
    <w:p>
      <w:pPr>
        <w:spacing w:after="0" w:line="3" w:lineRule="exact"/>
        <w:rPr>
          <w:sz w:val="20"/>
          <w:szCs w:val="20"/>
          <w:color w:val="auto"/>
        </w:rPr>
      </w:pPr>
    </w:p>
    <w:p>
      <w:pPr>
        <w:ind w:left="20"/>
        <w:spacing w:after="0"/>
        <w:rPr>
          <w:sz w:val="20"/>
          <w:szCs w:val="20"/>
          <w:color w:val="auto"/>
        </w:rPr>
      </w:pPr>
      <w:r>
        <w:rPr>
          <w:rFonts w:ascii="Arial" w:cs="Arial" w:eastAsia="Arial" w:hAnsi="Arial"/>
          <w:sz w:val="20"/>
          <w:szCs w:val="20"/>
          <w:b w:val="1"/>
          <w:bCs w:val="1"/>
          <w:u w:val="single" w:color="auto"/>
          <w:color w:val="auto"/>
        </w:rPr>
        <w:t>Part I</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rPr>
                <w:sz w:val="20"/>
                <w:szCs w:val="20"/>
                <w:color w:val="auto"/>
              </w:rPr>
            </w:pPr>
            <w:r>
              <w:rPr>
                <w:rFonts w:ascii="Arial" w:cs="Arial" w:eastAsia="Arial" w:hAnsi="Arial"/>
                <w:sz w:val="18"/>
                <w:szCs w:val="18"/>
                <w:color w:val="auto"/>
              </w:rPr>
              <w:t>Item 1.</w:t>
            </w:r>
          </w:p>
        </w:tc>
        <w:tc>
          <w:tcPr>
            <w:tcW w:w="8020" w:type="dxa"/>
            <w:vAlign w:val="bottom"/>
            <w:gridSpan w:val="25"/>
            <w:shd w:val="clear" w:color="auto" w:fill="DBDBDB"/>
          </w:tcPr>
          <w:p>
            <w:pPr>
              <w:spacing w:after="0"/>
              <w:rPr>
                <w:sz w:val="20"/>
                <w:szCs w:val="20"/>
                <w:color w:val="auto"/>
              </w:rPr>
            </w:pPr>
            <w:r>
              <w:rPr>
                <w:rFonts w:ascii="Arial" w:cs="Arial" w:eastAsia="Arial" w:hAnsi="Arial"/>
                <w:sz w:val="18"/>
                <w:szCs w:val="18"/>
                <w:color w:val="auto"/>
              </w:rPr>
              <w:t>Business</w:t>
            </w:r>
          </w:p>
        </w:tc>
        <w:tc>
          <w:tcPr>
            <w:tcW w:w="660" w:type="dxa"/>
            <w:vAlign w:val="bottom"/>
            <w:gridSpan w:val="6"/>
            <w:shd w:val="clear" w:color="auto" w:fill="DBDBDB"/>
          </w:tcPr>
          <w:p>
            <w:pPr>
              <w:jc w:val="center"/>
              <w:ind w:left="350"/>
              <w:spacing w:after="0"/>
              <w:rPr>
                <w:sz w:val="20"/>
                <w:szCs w:val="20"/>
                <w:color w:val="auto"/>
              </w:rPr>
            </w:pPr>
            <w:r>
              <w:rPr>
                <w:rFonts w:ascii="Arial" w:cs="Arial" w:eastAsia="Arial" w:hAnsi="Arial"/>
                <w:sz w:val="18"/>
                <w:szCs w:val="18"/>
                <w:color w:val="auto"/>
                <w:w w:val="99"/>
              </w:rPr>
              <w:t>2</w:t>
            </w:r>
          </w:p>
        </w:tc>
        <w:tc>
          <w:tcPr>
            <w:tcW w:w="4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1A.</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Risk Factors</w:t>
            </w:r>
          </w:p>
        </w:tc>
        <w:tc>
          <w:tcPr>
            <w:tcW w:w="660" w:type="dxa"/>
            <w:vAlign w:val="bottom"/>
            <w:gridSpan w:val="6"/>
          </w:tcPr>
          <w:p>
            <w:pPr>
              <w:jc w:val="center"/>
              <w:ind w:left="350"/>
              <w:spacing w:after="0" w:line="202" w:lineRule="exact"/>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1B.</w:t>
            </w:r>
          </w:p>
        </w:tc>
        <w:tc>
          <w:tcPr>
            <w:tcW w:w="802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Unresolved Staff Comments</w:t>
            </w:r>
          </w:p>
        </w:tc>
        <w:tc>
          <w:tcPr>
            <w:tcW w:w="700" w:type="dxa"/>
            <w:vAlign w:val="bottom"/>
            <w:gridSpan w:val="7"/>
            <w:shd w:val="clear" w:color="auto" w:fill="DBDBDB"/>
          </w:tcPr>
          <w:p>
            <w:pPr>
              <w:jc w:val="center"/>
              <w:ind w:left="330"/>
              <w:spacing w:after="0" w:line="202" w:lineRule="exact"/>
              <w:rPr>
                <w:sz w:val="20"/>
                <w:szCs w:val="20"/>
                <w:color w:val="auto"/>
              </w:rPr>
            </w:pPr>
            <w:r>
              <w:rPr>
                <w:rFonts w:ascii="Arial" w:cs="Arial" w:eastAsia="Arial" w:hAnsi="Arial"/>
                <w:sz w:val="18"/>
                <w:szCs w:val="18"/>
                <w:color w:val="auto"/>
                <w:w w:val="99"/>
              </w:rPr>
              <w:t>27</w:t>
            </w: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3"/>
          </w:tcPr>
          <w:p>
            <w:pPr>
              <w:spacing w:after="0" w:line="202" w:lineRule="exact"/>
              <w:rPr>
                <w:sz w:val="20"/>
                <w:szCs w:val="20"/>
                <w:color w:val="auto"/>
              </w:rPr>
            </w:pPr>
            <w:r>
              <w:rPr>
                <w:rFonts w:ascii="Arial" w:cs="Arial" w:eastAsia="Arial" w:hAnsi="Arial"/>
                <w:sz w:val="18"/>
                <w:szCs w:val="18"/>
                <w:color w:val="auto"/>
              </w:rPr>
              <w:t>Item 2.</w:t>
            </w:r>
          </w:p>
        </w:tc>
        <w:tc>
          <w:tcPr>
            <w:tcW w:w="320" w:type="dxa"/>
            <w:vAlign w:val="bottom"/>
            <w:gridSpan w:val="2"/>
          </w:tcPr>
          <w:p>
            <w:pPr>
              <w:spacing w:after="0"/>
              <w:rPr>
                <w:sz w:val="17"/>
                <w:szCs w:val="17"/>
                <w:color w:val="auto"/>
              </w:rPr>
            </w:pPr>
          </w:p>
        </w:tc>
        <w:tc>
          <w:tcPr>
            <w:tcW w:w="2260" w:type="dxa"/>
            <w:vAlign w:val="bottom"/>
            <w:gridSpan w:val="13"/>
          </w:tcPr>
          <w:p>
            <w:pPr>
              <w:spacing w:after="0" w:line="202" w:lineRule="exact"/>
              <w:rPr>
                <w:sz w:val="20"/>
                <w:szCs w:val="20"/>
                <w:color w:val="auto"/>
              </w:rPr>
            </w:pPr>
            <w:r>
              <w:rPr>
                <w:rFonts w:ascii="Arial" w:cs="Arial" w:eastAsia="Arial" w:hAnsi="Arial"/>
                <w:sz w:val="18"/>
                <w:szCs w:val="18"/>
                <w:color w:val="auto"/>
              </w:rPr>
              <w:t>Properties</w:t>
            </w:r>
          </w:p>
        </w:tc>
        <w:tc>
          <w:tcPr>
            <w:tcW w:w="5760" w:type="dxa"/>
            <w:vAlign w:val="bottom"/>
            <w:gridSpan w:val="12"/>
          </w:tcPr>
          <w:p>
            <w:pPr>
              <w:spacing w:after="0"/>
              <w:rPr>
                <w:sz w:val="17"/>
                <w:szCs w:val="17"/>
                <w:color w:val="auto"/>
              </w:rPr>
            </w:pPr>
          </w:p>
        </w:tc>
        <w:tc>
          <w:tcPr>
            <w:tcW w:w="700" w:type="dxa"/>
            <w:vAlign w:val="bottom"/>
            <w:gridSpan w:val="7"/>
          </w:tcPr>
          <w:p>
            <w:pPr>
              <w:jc w:val="center"/>
              <w:ind w:left="330"/>
              <w:spacing w:after="0" w:line="202" w:lineRule="exact"/>
              <w:rPr>
                <w:sz w:val="20"/>
                <w:szCs w:val="20"/>
                <w:color w:val="auto"/>
              </w:rPr>
            </w:pPr>
            <w:r>
              <w:rPr>
                <w:rFonts w:ascii="Arial" w:cs="Arial" w:eastAsia="Arial" w:hAnsi="Arial"/>
                <w:sz w:val="18"/>
                <w:szCs w:val="18"/>
                <w:color w:val="auto"/>
                <w:w w:val="99"/>
              </w:rPr>
              <w:t>27</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3.</w:t>
            </w:r>
          </w:p>
        </w:tc>
        <w:tc>
          <w:tcPr>
            <w:tcW w:w="802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Legal Proceedings</w:t>
            </w:r>
          </w:p>
        </w:tc>
        <w:tc>
          <w:tcPr>
            <w:tcW w:w="700" w:type="dxa"/>
            <w:vAlign w:val="bottom"/>
            <w:gridSpan w:val="7"/>
            <w:shd w:val="clear" w:color="auto" w:fill="DBDBDB"/>
          </w:tcPr>
          <w:p>
            <w:pPr>
              <w:jc w:val="center"/>
              <w:ind w:left="330"/>
              <w:spacing w:after="0" w:line="202" w:lineRule="exact"/>
              <w:rPr>
                <w:sz w:val="20"/>
                <w:szCs w:val="20"/>
                <w:color w:val="auto"/>
              </w:rPr>
            </w:pPr>
            <w:r>
              <w:rPr>
                <w:rFonts w:ascii="Arial" w:cs="Arial" w:eastAsia="Arial" w:hAnsi="Arial"/>
                <w:sz w:val="18"/>
                <w:szCs w:val="18"/>
                <w:color w:val="auto"/>
                <w:w w:val="99"/>
              </w:rPr>
              <w:t>28</w:t>
            </w: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4.</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Mine Safety Disclosure</w:t>
            </w:r>
          </w:p>
        </w:tc>
        <w:tc>
          <w:tcPr>
            <w:tcW w:w="700" w:type="dxa"/>
            <w:vAlign w:val="bottom"/>
            <w:gridSpan w:val="7"/>
          </w:tcPr>
          <w:p>
            <w:pPr>
              <w:jc w:val="center"/>
              <w:ind w:left="330"/>
              <w:spacing w:after="0" w:line="202" w:lineRule="exact"/>
              <w:rPr>
                <w:sz w:val="20"/>
                <w:szCs w:val="20"/>
                <w:color w:val="auto"/>
              </w:rPr>
            </w:pPr>
            <w:r>
              <w:rPr>
                <w:rFonts w:ascii="Arial" w:cs="Arial" w:eastAsia="Arial" w:hAnsi="Arial"/>
                <w:sz w:val="18"/>
                <w:szCs w:val="18"/>
                <w:color w:val="auto"/>
                <w:w w:val="99"/>
              </w:rPr>
              <w:t>28</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BDBDB"/>
          </w:tcPr>
          <w:p>
            <w:pPr>
              <w:spacing w:after="0"/>
              <w:rPr>
                <w:sz w:val="18"/>
                <w:szCs w:val="18"/>
                <w:color w:val="auto"/>
              </w:rPr>
            </w:pPr>
          </w:p>
        </w:tc>
        <w:tc>
          <w:tcPr>
            <w:tcW w:w="1960" w:type="dxa"/>
            <w:vAlign w:val="bottom"/>
            <w:gridSpan w:val="9"/>
            <w:shd w:val="clear" w:color="auto" w:fill="DBDBDB"/>
          </w:tcPr>
          <w:p>
            <w:pPr>
              <w:spacing w:after="0" w:line="216" w:lineRule="exact"/>
              <w:rPr>
                <w:sz w:val="20"/>
                <w:szCs w:val="20"/>
                <w:color w:val="auto"/>
              </w:rPr>
            </w:pPr>
            <w:r>
              <w:rPr>
                <w:rFonts w:ascii="Arial" w:cs="Arial" w:eastAsia="Arial" w:hAnsi="Arial"/>
                <w:sz w:val="20"/>
                <w:szCs w:val="20"/>
                <w:b w:val="1"/>
                <w:bCs w:val="1"/>
                <w:color w:val="auto"/>
              </w:rPr>
              <w:t>Part II</w:t>
            </w:r>
          </w:p>
        </w:tc>
        <w:tc>
          <w:tcPr>
            <w:tcW w:w="6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60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40" w:type="dxa"/>
            <w:vAlign w:val="bottom"/>
            <w:tcBorders>
              <w:top w:val="single" w:sz="8" w:color="DBDBDB"/>
            </w:tcBorders>
            <w:shd w:val="clear" w:color="auto" w:fill="DBDBDB"/>
          </w:tcPr>
          <w:p>
            <w:pPr>
              <w:spacing w:after="0"/>
              <w:rPr>
                <w:sz w:val="5"/>
                <w:szCs w:val="5"/>
                <w:color w:val="auto"/>
              </w:rPr>
            </w:pPr>
          </w:p>
        </w:tc>
        <w:tc>
          <w:tcPr>
            <w:tcW w:w="940" w:type="dxa"/>
            <w:vAlign w:val="bottom"/>
            <w:tcBorders>
              <w:top w:val="single" w:sz="8" w:color="DBDBDB"/>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80" w:type="dxa"/>
            <w:vAlign w:val="bottom"/>
            <w:tcBorders>
              <w:top w:val="single" w:sz="8" w:color="DBDBDB"/>
            </w:tcBorders>
            <w:shd w:val="clear" w:color="auto" w:fill="DBDBDB"/>
          </w:tcPr>
          <w:p>
            <w:pPr>
              <w:spacing w:after="0"/>
              <w:rPr>
                <w:sz w:val="5"/>
                <w:szCs w:val="5"/>
                <w:color w:val="auto"/>
              </w:rPr>
            </w:pPr>
          </w:p>
        </w:tc>
        <w:tc>
          <w:tcPr>
            <w:tcW w:w="220" w:type="dxa"/>
            <w:vAlign w:val="bottom"/>
            <w:tcBorders>
              <w:top w:val="single" w:sz="8" w:color="DBDBDB"/>
            </w:tcBorders>
            <w:shd w:val="clear" w:color="auto" w:fill="DBDBDB"/>
          </w:tcPr>
          <w:p>
            <w:pPr>
              <w:spacing w:after="0"/>
              <w:rPr>
                <w:sz w:val="5"/>
                <w:szCs w:val="5"/>
                <w:color w:val="auto"/>
              </w:rPr>
            </w:pPr>
          </w:p>
        </w:tc>
        <w:tc>
          <w:tcPr>
            <w:tcW w:w="660" w:type="dxa"/>
            <w:vAlign w:val="bottom"/>
            <w:tcBorders>
              <w:top w:val="single" w:sz="8" w:color="DBDBDB"/>
            </w:tcBorders>
            <w:shd w:val="clear" w:color="auto" w:fill="DBDBDB"/>
          </w:tcPr>
          <w:p>
            <w:pPr>
              <w:spacing w:after="0"/>
              <w:rPr>
                <w:sz w:val="5"/>
                <w:szCs w:val="5"/>
                <w:color w:val="auto"/>
              </w:rPr>
            </w:pPr>
          </w:p>
        </w:tc>
        <w:tc>
          <w:tcPr>
            <w:tcW w:w="740" w:type="dxa"/>
            <w:vAlign w:val="bottom"/>
            <w:tcBorders>
              <w:top w:val="single" w:sz="8" w:color="DBDBDB"/>
            </w:tcBorders>
            <w:shd w:val="clear" w:color="auto" w:fill="DBDBDB"/>
          </w:tcPr>
          <w:p>
            <w:pPr>
              <w:spacing w:after="0"/>
              <w:rPr>
                <w:sz w:val="5"/>
                <w:szCs w:val="5"/>
                <w:color w:val="auto"/>
              </w:rPr>
            </w:pPr>
          </w:p>
        </w:tc>
        <w:tc>
          <w:tcPr>
            <w:tcW w:w="10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4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vMerge w:val="restart"/>
          </w:tcPr>
          <w:p>
            <w:pPr>
              <w:spacing w:after="0"/>
              <w:rPr>
                <w:sz w:val="20"/>
                <w:szCs w:val="20"/>
                <w:color w:val="auto"/>
              </w:rPr>
            </w:pPr>
            <w:r>
              <w:rPr>
                <w:rFonts w:ascii="Arial" w:cs="Arial" w:eastAsia="Arial" w:hAnsi="Arial"/>
                <w:sz w:val="18"/>
                <w:szCs w:val="18"/>
                <w:color w:val="auto"/>
              </w:rPr>
              <w:t>Item 5.</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Market For Registrant's Common Equity, Related Stockholder Matters And Issuer Purchases Of</w:t>
            </w:r>
          </w:p>
        </w:tc>
        <w:tc>
          <w:tcPr>
            <w:tcW w:w="700" w:type="dxa"/>
            <w:vAlign w:val="bottom"/>
            <w:gridSpan w:val="7"/>
            <w:vMerge w:val="restart"/>
          </w:tcPr>
          <w:p>
            <w:pPr>
              <w:jc w:val="center"/>
              <w:ind w:left="330"/>
              <w:spacing w:after="0"/>
              <w:rPr>
                <w:sz w:val="20"/>
                <w:szCs w:val="20"/>
                <w:color w:val="auto"/>
              </w:rPr>
            </w:pPr>
            <w:r>
              <w:rPr>
                <w:rFonts w:ascii="Arial" w:cs="Arial" w:eastAsia="Arial" w:hAnsi="Arial"/>
                <w:sz w:val="18"/>
                <w:szCs w:val="18"/>
                <w:color w:val="auto"/>
                <w:w w:val="99"/>
              </w:rPr>
              <w:t>29</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760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Equity Securities</w:t>
            </w:r>
          </w:p>
        </w:tc>
        <w:tc>
          <w:tcPr>
            <w:tcW w:w="420" w:type="dxa"/>
            <w:vAlign w:val="bottom"/>
          </w:tcPr>
          <w:p>
            <w:pPr>
              <w:spacing w:after="0"/>
              <w:rPr>
                <w:sz w:val="17"/>
                <w:szCs w:val="17"/>
                <w:color w:val="auto"/>
              </w:rPr>
            </w:pPr>
          </w:p>
        </w:tc>
        <w:tc>
          <w:tcPr>
            <w:tcW w:w="700" w:type="dxa"/>
            <w:vAlign w:val="bottom"/>
            <w:gridSpan w:val="7"/>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6.</w:t>
            </w:r>
          </w:p>
        </w:tc>
        <w:tc>
          <w:tcPr>
            <w:tcW w:w="802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[Reserved]</w:t>
            </w:r>
          </w:p>
        </w:tc>
        <w:tc>
          <w:tcPr>
            <w:tcW w:w="700" w:type="dxa"/>
            <w:vAlign w:val="bottom"/>
            <w:gridSpan w:val="7"/>
            <w:shd w:val="clear" w:color="auto" w:fill="DBDBDB"/>
          </w:tcPr>
          <w:p>
            <w:pPr>
              <w:jc w:val="center"/>
              <w:ind w:left="330"/>
              <w:spacing w:after="0" w:line="202" w:lineRule="exact"/>
              <w:rPr>
                <w:sz w:val="20"/>
                <w:szCs w:val="20"/>
                <w:color w:val="auto"/>
              </w:rPr>
            </w:pPr>
            <w:r>
              <w:rPr>
                <w:rFonts w:ascii="Arial" w:cs="Arial" w:eastAsia="Arial" w:hAnsi="Arial"/>
                <w:sz w:val="18"/>
                <w:szCs w:val="18"/>
                <w:color w:val="auto"/>
                <w:w w:val="99"/>
              </w:rPr>
              <w:t>31</w:t>
            </w: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7.</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00" w:type="dxa"/>
            <w:vAlign w:val="bottom"/>
            <w:gridSpan w:val="7"/>
          </w:tcPr>
          <w:p>
            <w:pPr>
              <w:jc w:val="center"/>
              <w:ind w:left="330"/>
              <w:spacing w:after="0" w:line="202" w:lineRule="exact"/>
              <w:rPr>
                <w:sz w:val="20"/>
                <w:szCs w:val="20"/>
                <w:color w:val="auto"/>
              </w:rPr>
            </w:pPr>
            <w:r>
              <w:rPr>
                <w:rFonts w:ascii="Arial" w:cs="Arial" w:eastAsia="Arial" w:hAnsi="Arial"/>
                <w:sz w:val="18"/>
                <w:szCs w:val="18"/>
                <w:color w:val="auto"/>
                <w:w w:val="99"/>
              </w:rPr>
              <w:t>32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7A.</w:t>
            </w:r>
          </w:p>
        </w:tc>
        <w:tc>
          <w:tcPr>
            <w:tcW w:w="802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700" w:type="dxa"/>
            <w:vAlign w:val="bottom"/>
            <w:gridSpan w:val="7"/>
            <w:shd w:val="clear" w:color="auto" w:fill="DBDBDB"/>
          </w:tcPr>
          <w:p>
            <w:pPr>
              <w:jc w:val="center"/>
              <w:ind w:left="330"/>
              <w:spacing w:after="0" w:line="202" w:lineRule="exact"/>
              <w:rPr>
                <w:sz w:val="20"/>
                <w:szCs w:val="20"/>
                <w:color w:val="auto"/>
              </w:rPr>
            </w:pPr>
            <w:r>
              <w:rPr>
                <w:rFonts w:ascii="Arial" w:cs="Arial" w:eastAsia="Arial" w:hAnsi="Arial"/>
                <w:sz w:val="18"/>
                <w:szCs w:val="18"/>
                <w:color w:val="auto"/>
                <w:w w:val="99"/>
              </w:rPr>
              <w:t>48</w:t>
            </w: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gridSpan w:val="3"/>
          </w:tcPr>
          <w:p>
            <w:pPr>
              <w:spacing w:after="0" w:line="202" w:lineRule="exact"/>
              <w:rPr>
                <w:sz w:val="20"/>
                <w:szCs w:val="20"/>
                <w:color w:val="auto"/>
              </w:rPr>
            </w:pPr>
            <w:r>
              <w:rPr>
                <w:rFonts w:ascii="Arial" w:cs="Arial" w:eastAsia="Arial" w:hAnsi="Arial"/>
                <w:sz w:val="18"/>
                <w:szCs w:val="18"/>
                <w:color w:val="auto"/>
              </w:rPr>
              <w:t>Item 8.</w:t>
            </w:r>
          </w:p>
        </w:tc>
        <w:tc>
          <w:tcPr>
            <w:tcW w:w="320" w:type="dxa"/>
            <w:vAlign w:val="bottom"/>
            <w:gridSpan w:val="2"/>
          </w:tcPr>
          <w:p>
            <w:pPr>
              <w:spacing w:after="0"/>
              <w:rPr>
                <w:sz w:val="17"/>
                <w:szCs w:val="17"/>
                <w:color w:val="auto"/>
              </w:rPr>
            </w:pPr>
          </w:p>
        </w:tc>
        <w:tc>
          <w:tcPr>
            <w:tcW w:w="4740" w:type="dxa"/>
            <w:vAlign w:val="bottom"/>
            <w:gridSpan w:val="18"/>
          </w:tcPr>
          <w:p>
            <w:pPr>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3280" w:type="dxa"/>
            <w:vAlign w:val="bottom"/>
            <w:gridSpan w:val="7"/>
          </w:tcPr>
          <w:p>
            <w:pPr>
              <w:spacing w:after="0"/>
              <w:rPr>
                <w:sz w:val="17"/>
                <w:szCs w:val="17"/>
                <w:color w:val="auto"/>
              </w:rPr>
            </w:pPr>
          </w:p>
        </w:tc>
        <w:tc>
          <w:tcPr>
            <w:tcW w:w="700" w:type="dxa"/>
            <w:vAlign w:val="bottom"/>
            <w:gridSpan w:val="7"/>
          </w:tcPr>
          <w:p>
            <w:pPr>
              <w:jc w:val="center"/>
              <w:ind w:left="330"/>
              <w:spacing w:after="0" w:line="202" w:lineRule="exact"/>
              <w:rPr>
                <w:sz w:val="20"/>
                <w:szCs w:val="20"/>
                <w:color w:val="auto"/>
              </w:rPr>
            </w:pPr>
            <w:r>
              <w:rPr>
                <w:rFonts w:ascii="Arial" w:cs="Arial" w:eastAsia="Arial" w:hAnsi="Arial"/>
                <w:sz w:val="18"/>
                <w:szCs w:val="18"/>
                <w:color w:val="auto"/>
                <w:w w:val="99"/>
              </w:rPr>
              <w:t>50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9.</w:t>
            </w:r>
          </w:p>
        </w:tc>
        <w:tc>
          <w:tcPr>
            <w:tcW w:w="802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Disclosures</w:t>
            </w:r>
          </w:p>
        </w:tc>
        <w:tc>
          <w:tcPr>
            <w:tcW w:w="700" w:type="dxa"/>
            <w:vAlign w:val="bottom"/>
            <w:gridSpan w:val="7"/>
            <w:shd w:val="clear" w:color="auto" w:fill="DBDBDB"/>
          </w:tcPr>
          <w:p>
            <w:pPr>
              <w:jc w:val="center"/>
              <w:ind w:left="330"/>
              <w:spacing w:after="0" w:line="202" w:lineRule="exact"/>
              <w:rPr>
                <w:sz w:val="20"/>
                <w:szCs w:val="20"/>
                <w:color w:val="auto"/>
              </w:rPr>
            </w:pPr>
            <w:r>
              <w:rPr>
                <w:rFonts w:ascii="Arial" w:cs="Arial" w:eastAsia="Arial" w:hAnsi="Arial"/>
                <w:sz w:val="18"/>
                <w:szCs w:val="18"/>
                <w:color w:val="auto"/>
                <w:w w:val="99"/>
              </w:rPr>
              <w:t>88</w:t>
            </w: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auto"/>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10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9A.</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Controls And Procedures</w:t>
            </w:r>
          </w:p>
        </w:tc>
        <w:tc>
          <w:tcPr>
            <w:tcW w:w="700" w:type="dxa"/>
            <w:vAlign w:val="bottom"/>
            <w:gridSpan w:val="7"/>
          </w:tcPr>
          <w:p>
            <w:pPr>
              <w:jc w:val="center"/>
              <w:ind w:left="330"/>
              <w:spacing w:after="0" w:line="202" w:lineRule="exact"/>
              <w:rPr>
                <w:sz w:val="20"/>
                <w:szCs w:val="20"/>
                <w:color w:val="auto"/>
              </w:rPr>
            </w:pPr>
            <w:r>
              <w:rPr>
                <w:rFonts w:ascii="Arial" w:cs="Arial" w:eastAsia="Arial" w:hAnsi="Arial"/>
                <w:sz w:val="18"/>
                <w:szCs w:val="18"/>
                <w:color w:val="auto"/>
                <w:w w:val="99"/>
              </w:rPr>
              <w:t>88</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9B.</w:t>
            </w:r>
          </w:p>
        </w:tc>
        <w:tc>
          <w:tcPr>
            <w:tcW w:w="802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Other Information</w:t>
            </w:r>
          </w:p>
        </w:tc>
        <w:tc>
          <w:tcPr>
            <w:tcW w:w="700" w:type="dxa"/>
            <w:vAlign w:val="bottom"/>
            <w:gridSpan w:val="7"/>
            <w:shd w:val="clear" w:color="auto" w:fill="DBDBDB"/>
          </w:tcPr>
          <w:p>
            <w:pPr>
              <w:jc w:val="center"/>
              <w:ind w:left="330"/>
              <w:spacing w:after="0" w:line="202" w:lineRule="exact"/>
              <w:rPr>
                <w:sz w:val="20"/>
                <w:szCs w:val="20"/>
                <w:color w:val="auto"/>
              </w:rPr>
            </w:pPr>
            <w:r>
              <w:rPr>
                <w:rFonts w:ascii="Arial" w:cs="Arial" w:eastAsia="Arial" w:hAnsi="Arial"/>
                <w:sz w:val="18"/>
                <w:szCs w:val="18"/>
                <w:color w:val="auto"/>
                <w:w w:val="99"/>
              </w:rPr>
              <w:t>88</w:t>
            </w: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9C.</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Disclosure Regarding Foreign Jurisdictions that Prevent Inspections</w:t>
            </w:r>
          </w:p>
        </w:tc>
        <w:tc>
          <w:tcPr>
            <w:tcW w:w="700" w:type="dxa"/>
            <w:vAlign w:val="bottom"/>
            <w:gridSpan w:val="7"/>
          </w:tcPr>
          <w:p>
            <w:pPr>
              <w:jc w:val="center"/>
              <w:ind w:left="330"/>
              <w:spacing w:after="0" w:line="202" w:lineRule="exact"/>
              <w:rPr>
                <w:sz w:val="20"/>
                <w:szCs w:val="20"/>
                <w:color w:val="auto"/>
              </w:rPr>
            </w:pPr>
            <w:r>
              <w:rPr>
                <w:rFonts w:ascii="Arial" w:cs="Arial" w:eastAsia="Arial" w:hAnsi="Arial"/>
                <w:sz w:val="18"/>
                <w:szCs w:val="18"/>
                <w:color w:val="auto"/>
                <w:w w:val="99"/>
              </w:rPr>
              <w:t>88</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BDBDB"/>
          </w:tcPr>
          <w:p>
            <w:pPr>
              <w:spacing w:after="0"/>
              <w:rPr>
                <w:sz w:val="18"/>
                <w:szCs w:val="18"/>
                <w:color w:val="auto"/>
              </w:rPr>
            </w:pPr>
          </w:p>
        </w:tc>
        <w:tc>
          <w:tcPr>
            <w:tcW w:w="1960" w:type="dxa"/>
            <w:vAlign w:val="bottom"/>
            <w:gridSpan w:val="9"/>
            <w:shd w:val="clear" w:color="auto" w:fill="DBDBDB"/>
          </w:tcPr>
          <w:p>
            <w:pPr>
              <w:spacing w:after="0" w:line="216" w:lineRule="exact"/>
              <w:rPr>
                <w:sz w:val="20"/>
                <w:szCs w:val="20"/>
                <w:color w:val="auto"/>
              </w:rPr>
            </w:pPr>
            <w:r>
              <w:rPr>
                <w:rFonts w:ascii="Arial" w:cs="Arial" w:eastAsia="Arial" w:hAnsi="Arial"/>
                <w:sz w:val="20"/>
                <w:szCs w:val="20"/>
                <w:b w:val="1"/>
                <w:bCs w:val="1"/>
                <w:color w:val="auto"/>
              </w:rPr>
              <w:t>Part III</w:t>
            </w:r>
          </w:p>
        </w:tc>
        <w:tc>
          <w:tcPr>
            <w:tcW w:w="6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60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40" w:type="dxa"/>
            <w:vAlign w:val="bottom"/>
            <w:tcBorders>
              <w:top w:val="single" w:sz="8" w:color="DBDBDB"/>
            </w:tcBorders>
            <w:shd w:val="clear" w:color="auto" w:fill="DBDBDB"/>
          </w:tcPr>
          <w:p>
            <w:pPr>
              <w:spacing w:after="0"/>
              <w:rPr>
                <w:sz w:val="5"/>
                <w:szCs w:val="5"/>
                <w:color w:val="auto"/>
              </w:rPr>
            </w:pPr>
          </w:p>
        </w:tc>
        <w:tc>
          <w:tcPr>
            <w:tcW w:w="940" w:type="dxa"/>
            <w:vAlign w:val="bottom"/>
            <w:tcBorders>
              <w:top w:val="single" w:sz="8" w:color="DBDBDB"/>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80" w:type="dxa"/>
            <w:vAlign w:val="bottom"/>
            <w:tcBorders>
              <w:top w:val="single" w:sz="8" w:color="DBDBDB"/>
            </w:tcBorders>
            <w:shd w:val="clear" w:color="auto" w:fill="DBDBDB"/>
          </w:tcPr>
          <w:p>
            <w:pPr>
              <w:spacing w:after="0"/>
              <w:rPr>
                <w:sz w:val="5"/>
                <w:szCs w:val="5"/>
                <w:color w:val="auto"/>
              </w:rPr>
            </w:pPr>
          </w:p>
        </w:tc>
        <w:tc>
          <w:tcPr>
            <w:tcW w:w="220" w:type="dxa"/>
            <w:vAlign w:val="bottom"/>
            <w:tcBorders>
              <w:top w:val="single" w:sz="8" w:color="DBDBDB"/>
            </w:tcBorders>
            <w:shd w:val="clear" w:color="auto" w:fill="DBDBDB"/>
          </w:tcPr>
          <w:p>
            <w:pPr>
              <w:spacing w:after="0"/>
              <w:rPr>
                <w:sz w:val="5"/>
                <w:szCs w:val="5"/>
                <w:color w:val="auto"/>
              </w:rPr>
            </w:pPr>
          </w:p>
        </w:tc>
        <w:tc>
          <w:tcPr>
            <w:tcW w:w="660" w:type="dxa"/>
            <w:vAlign w:val="bottom"/>
            <w:tcBorders>
              <w:top w:val="single" w:sz="8" w:color="DBDBDB"/>
            </w:tcBorders>
            <w:shd w:val="clear" w:color="auto" w:fill="DBDBDB"/>
          </w:tcPr>
          <w:p>
            <w:pPr>
              <w:spacing w:after="0"/>
              <w:rPr>
                <w:sz w:val="5"/>
                <w:szCs w:val="5"/>
                <w:color w:val="auto"/>
              </w:rPr>
            </w:pPr>
          </w:p>
        </w:tc>
        <w:tc>
          <w:tcPr>
            <w:tcW w:w="740" w:type="dxa"/>
            <w:vAlign w:val="bottom"/>
            <w:tcBorders>
              <w:top w:val="single" w:sz="8" w:color="DBDBDB"/>
            </w:tcBorders>
            <w:shd w:val="clear" w:color="auto" w:fill="DBDBDB"/>
          </w:tcPr>
          <w:p>
            <w:pPr>
              <w:spacing w:after="0"/>
              <w:rPr>
                <w:sz w:val="5"/>
                <w:szCs w:val="5"/>
                <w:color w:val="auto"/>
              </w:rPr>
            </w:pPr>
          </w:p>
        </w:tc>
        <w:tc>
          <w:tcPr>
            <w:tcW w:w="10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4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10.</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700" w:type="dxa"/>
            <w:vAlign w:val="bottom"/>
            <w:gridSpan w:val="7"/>
          </w:tcPr>
          <w:p>
            <w:pPr>
              <w:jc w:val="center"/>
              <w:ind w:left="330"/>
              <w:spacing w:after="0" w:line="202" w:lineRule="exact"/>
              <w:rPr>
                <w:sz w:val="20"/>
                <w:szCs w:val="20"/>
                <w:color w:val="auto"/>
              </w:rPr>
            </w:pPr>
            <w:r>
              <w:rPr>
                <w:rFonts w:ascii="Arial" w:cs="Arial" w:eastAsia="Arial" w:hAnsi="Arial"/>
                <w:sz w:val="18"/>
                <w:szCs w:val="18"/>
                <w:color w:val="auto"/>
                <w:w w:val="99"/>
              </w:rPr>
              <w:t>89</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64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w w:val="95"/>
              </w:rPr>
              <w:t>Item 11.</w:t>
            </w:r>
          </w:p>
        </w:tc>
        <w:tc>
          <w:tcPr>
            <w:tcW w:w="340" w:type="dxa"/>
            <w:vAlign w:val="bottom"/>
            <w:gridSpan w:val="3"/>
            <w:shd w:val="clear" w:color="auto" w:fill="DBDBDB"/>
          </w:tcPr>
          <w:p>
            <w:pPr>
              <w:spacing w:after="0"/>
              <w:rPr>
                <w:sz w:val="17"/>
                <w:szCs w:val="17"/>
                <w:color w:val="auto"/>
              </w:rPr>
            </w:pPr>
          </w:p>
        </w:tc>
        <w:tc>
          <w:tcPr>
            <w:tcW w:w="2000" w:type="dxa"/>
            <w:vAlign w:val="bottom"/>
            <w:gridSpan w:val="11"/>
            <w:shd w:val="clear" w:color="auto" w:fill="DBDBDB"/>
          </w:tcPr>
          <w:p>
            <w:pPr>
              <w:spacing w:after="0" w:line="202" w:lineRule="exact"/>
              <w:rPr>
                <w:sz w:val="20"/>
                <w:szCs w:val="20"/>
                <w:color w:val="auto"/>
              </w:rPr>
            </w:pPr>
            <w:r>
              <w:rPr>
                <w:rFonts w:ascii="Arial" w:cs="Arial" w:eastAsia="Arial" w:hAnsi="Arial"/>
                <w:sz w:val="18"/>
                <w:szCs w:val="18"/>
                <w:color w:val="auto"/>
                <w:w w:val="99"/>
              </w:rPr>
              <w:t>Executive Compensation</w:t>
            </w:r>
          </w:p>
        </w:tc>
        <w:tc>
          <w:tcPr>
            <w:tcW w:w="6020" w:type="dxa"/>
            <w:vAlign w:val="bottom"/>
            <w:gridSpan w:val="14"/>
            <w:shd w:val="clear" w:color="auto" w:fill="DBDBDB"/>
          </w:tcPr>
          <w:p>
            <w:pPr>
              <w:spacing w:after="0"/>
              <w:rPr>
                <w:sz w:val="17"/>
                <w:szCs w:val="17"/>
                <w:color w:val="auto"/>
              </w:rPr>
            </w:pPr>
          </w:p>
        </w:tc>
        <w:tc>
          <w:tcPr>
            <w:tcW w:w="700" w:type="dxa"/>
            <w:vAlign w:val="bottom"/>
            <w:gridSpan w:val="7"/>
            <w:shd w:val="clear" w:color="auto" w:fill="DBDBDB"/>
          </w:tcPr>
          <w:p>
            <w:pPr>
              <w:jc w:val="center"/>
              <w:ind w:left="330"/>
              <w:spacing w:after="0" w:line="202" w:lineRule="exact"/>
              <w:rPr>
                <w:sz w:val="20"/>
                <w:szCs w:val="20"/>
                <w:color w:val="auto"/>
              </w:rPr>
            </w:pPr>
            <w:r>
              <w:rPr>
                <w:rFonts w:ascii="Arial" w:cs="Arial" w:eastAsia="Arial" w:hAnsi="Arial"/>
                <w:sz w:val="18"/>
                <w:szCs w:val="18"/>
                <w:color w:val="auto"/>
                <w:w w:val="99"/>
              </w:rPr>
              <w:t>94</w:t>
            </w: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vMerge w:val="restart"/>
          </w:tcPr>
          <w:p>
            <w:pPr>
              <w:spacing w:after="0"/>
              <w:rPr>
                <w:sz w:val="20"/>
                <w:szCs w:val="20"/>
                <w:color w:val="auto"/>
              </w:rPr>
            </w:pPr>
            <w:r>
              <w:rPr>
                <w:rFonts w:ascii="Arial" w:cs="Arial" w:eastAsia="Arial" w:hAnsi="Arial"/>
                <w:sz w:val="18"/>
                <w:szCs w:val="18"/>
                <w:color w:val="auto"/>
              </w:rPr>
              <w:t>Item 12.</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Stockholder</w:t>
            </w:r>
          </w:p>
        </w:tc>
        <w:tc>
          <w:tcPr>
            <w:tcW w:w="700" w:type="dxa"/>
            <w:vAlign w:val="bottom"/>
            <w:gridSpan w:val="7"/>
            <w:vMerge w:val="restart"/>
          </w:tcPr>
          <w:p>
            <w:pPr>
              <w:jc w:val="center"/>
              <w:ind w:left="310"/>
              <w:spacing w:after="0"/>
              <w:rPr>
                <w:sz w:val="20"/>
                <w:szCs w:val="20"/>
                <w:color w:val="auto"/>
              </w:rPr>
            </w:pPr>
            <w:r>
              <w:rPr>
                <w:rFonts w:ascii="Arial" w:cs="Arial" w:eastAsia="Arial" w:hAnsi="Arial"/>
                <w:sz w:val="18"/>
                <w:szCs w:val="18"/>
                <w:color w:val="auto"/>
                <w:w w:val="99"/>
              </w:rPr>
              <w:t>102</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7440" w:type="dxa"/>
            <w:vAlign w:val="bottom"/>
            <w:tcBorders>
              <w:top w:val="single" w:sz="8" w:color="auto"/>
            </w:tcBorders>
            <w:gridSpan w:val="23"/>
          </w:tcPr>
          <w:p>
            <w:pPr>
              <w:spacing w:after="0" w:line="196" w:lineRule="exact"/>
              <w:rPr>
                <w:sz w:val="20"/>
                <w:szCs w:val="20"/>
                <w:color w:val="auto"/>
              </w:rPr>
            </w:pPr>
            <w:r>
              <w:rPr>
                <w:rFonts w:ascii="Arial" w:cs="Arial" w:eastAsia="Arial" w:hAnsi="Arial"/>
                <w:sz w:val="18"/>
                <w:szCs w:val="18"/>
                <w:color w:val="auto"/>
              </w:rPr>
              <w:t>Matters</w:t>
            </w:r>
          </w:p>
        </w:tc>
        <w:tc>
          <w:tcPr>
            <w:tcW w:w="580" w:type="dxa"/>
            <w:vAlign w:val="bottom"/>
            <w:gridSpan w:val="2"/>
          </w:tcPr>
          <w:p>
            <w:pPr>
              <w:spacing w:after="0"/>
              <w:rPr>
                <w:sz w:val="17"/>
                <w:szCs w:val="17"/>
                <w:color w:val="auto"/>
              </w:rPr>
            </w:pPr>
          </w:p>
        </w:tc>
        <w:tc>
          <w:tcPr>
            <w:tcW w:w="700" w:type="dxa"/>
            <w:vAlign w:val="bottom"/>
            <w:gridSpan w:val="7"/>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13.</w:t>
            </w:r>
          </w:p>
        </w:tc>
        <w:tc>
          <w:tcPr>
            <w:tcW w:w="802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Current Relationships And Related Transactions, And Director Independence</w:t>
            </w:r>
          </w:p>
        </w:tc>
        <w:tc>
          <w:tcPr>
            <w:tcW w:w="700" w:type="dxa"/>
            <w:vAlign w:val="bottom"/>
            <w:gridSpan w:val="7"/>
            <w:shd w:val="clear" w:color="auto" w:fill="DBDBDB"/>
          </w:tcPr>
          <w:p>
            <w:pPr>
              <w:jc w:val="center"/>
              <w:ind w:left="310"/>
              <w:spacing w:after="0" w:line="202" w:lineRule="exact"/>
              <w:rPr>
                <w:sz w:val="20"/>
                <w:szCs w:val="20"/>
                <w:color w:val="auto"/>
              </w:rPr>
            </w:pPr>
            <w:r>
              <w:rPr>
                <w:rFonts w:ascii="Arial" w:cs="Arial" w:eastAsia="Arial" w:hAnsi="Arial"/>
                <w:sz w:val="18"/>
                <w:szCs w:val="18"/>
                <w:color w:val="auto"/>
                <w:w w:val="99"/>
              </w:rPr>
              <w:t>104</w:t>
            </w: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94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660" w:type="dxa"/>
            <w:vAlign w:val="bottom"/>
            <w:tcBorders>
              <w:top w:val="single" w:sz="8" w:color="auto"/>
            </w:tcBorders>
            <w:shd w:val="clear" w:color="auto" w:fill="DBDBDB"/>
          </w:tcPr>
          <w:p>
            <w:pPr>
              <w:spacing w:after="0"/>
              <w:rPr>
                <w:sz w:val="4"/>
                <w:szCs w:val="4"/>
                <w:color w:val="auto"/>
              </w:rPr>
            </w:pPr>
          </w:p>
        </w:tc>
        <w:tc>
          <w:tcPr>
            <w:tcW w:w="740" w:type="dxa"/>
            <w:vAlign w:val="bottom"/>
            <w:tcBorders>
              <w:top w:val="single" w:sz="8" w:color="auto"/>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14.</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Principal Accounting Fees And Services</w:t>
            </w:r>
          </w:p>
        </w:tc>
        <w:tc>
          <w:tcPr>
            <w:tcW w:w="700" w:type="dxa"/>
            <w:vAlign w:val="bottom"/>
            <w:gridSpan w:val="7"/>
          </w:tcPr>
          <w:p>
            <w:pPr>
              <w:jc w:val="center"/>
              <w:ind w:left="330"/>
              <w:spacing w:after="0" w:line="202" w:lineRule="exact"/>
              <w:rPr>
                <w:sz w:val="20"/>
                <w:szCs w:val="20"/>
                <w:color w:val="auto"/>
              </w:rPr>
            </w:pPr>
            <w:r>
              <w:rPr>
                <w:rFonts w:ascii="Arial" w:cs="Arial" w:eastAsia="Arial" w:hAnsi="Arial"/>
                <w:sz w:val="18"/>
                <w:szCs w:val="18"/>
                <w:color w:val="auto"/>
                <w:w w:val="93"/>
              </w:rPr>
              <w:t>110</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DBDBDB"/>
          </w:tcPr>
          <w:p>
            <w:pPr>
              <w:spacing w:after="0"/>
              <w:rPr>
                <w:sz w:val="18"/>
                <w:szCs w:val="18"/>
                <w:color w:val="auto"/>
              </w:rPr>
            </w:pPr>
          </w:p>
        </w:tc>
        <w:tc>
          <w:tcPr>
            <w:tcW w:w="1960" w:type="dxa"/>
            <w:vAlign w:val="bottom"/>
            <w:gridSpan w:val="9"/>
            <w:shd w:val="clear" w:color="auto" w:fill="DBDBDB"/>
          </w:tcPr>
          <w:p>
            <w:pPr>
              <w:spacing w:after="0" w:line="216" w:lineRule="exact"/>
              <w:rPr>
                <w:sz w:val="20"/>
                <w:szCs w:val="20"/>
                <w:color w:val="auto"/>
              </w:rPr>
            </w:pPr>
            <w:r>
              <w:rPr>
                <w:rFonts w:ascii="Arial" w:cs="Arial" w:eastAsia="Arial" w:hAnsi="Arial"/>
                <w:sz w:val="20"/>
                <w:szCs w:val="20"/>
                <w:b w:val="1"/>
                <w:bCs w:val="1"/>
                <w:color w:val="auto"/>
              </w:rPr>
              <w:t>Part IV</w:t>
            </w:r>
          </w:p>
        </w:tc>
        <w:tc>
          <w:tcPr>
            <w:tcW w:w="6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9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DBDBDB"/>
            </w:tcBorders>
            <w:shd w:val="clear" w:color="auto" w:fill="DBDBDB"/>
          </w:tcPr>
          <w:p>
            <w:pPr>
              <w:spacing w:after="0"/>
              <w:rPr>
                <w:sz w:val="5"/>
                <w:szCs w:val="5"/>
                <w:color w:val="auto"/>
              </w:rPr>
            </w:pPr>
          </w:p>
        </w:tc>
        <w:tc>
          <w:tcPr>
            <w:tcW w:w="560" w:type="dxa"/>
            <w:vAlign w:val="bottom"/>
            <w:tcBorders>
              <w:top w:val="single" w:sz="8" w:color="auto"/>
            </w:tcBorders>
            <w:shd w:val="clear" w:color="auto" w:fill="DBDBDB"/>
          </w:tcPr>
          <w:p>
            <w:pPr>
              <w:spacing w:after="0"/>
              <w:rPr>
                <w:sz w:val="5"/>
                <w:szCs w:val="5"/>
                <w:color w:val="auto"/>
              </w:rPr>
            </w:pPr>
          </w:p>
        </w:tc>
        <w:tc>
          <w:tcPr>
            <w:tcW w:w="60" w:type="dxa"/>
            <w:vAlign w:val="bottom"/>
            <w:tcBorders>
              <w:top w:val="single" w:sz="8" w:color="auto"/>
            </w:tcBorders>
            <w:shd w:val="clear" w:color="auto" w:fill="DBDBDB"/>
          </w:tcPr>
          <w:p>
            <w:pPr>
              <w:spacing w:after="0"/>
              <w:rPr>
                <w:sz w:val="5"/>
                <w:szCs w:val="5"/>
                <w:color w:val="auto"/>
              </w:rPr>
            </w:pPr>
          </w:p>
        </w:tc>
        <w:tc>
          <w:tcPr>
            <w:tcW w:w="20" w:type="dxa"/>
            <w:vAlign w:val="bottom"/>
            <w:tcBorders>
              <w:top w:val="single" w:sz="8" w:color="auto"/>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300" w:type="dxa"/>
            <w:vAlign w:val="bottom"/>
            <w:tcBorders>
              <w:top w:val="single" w:sz="8" w:color="DBDBDB"/>
            </w:tcBorders>
            <w:shd w:val="clear" w:color="auto" w:fill="DBDBDB"/>
          </w:tcPr>
          <w:p>
            <w:pPr>
              <w:spacing w:after="0"/>
              <w:rPr>
                <w:sz w:val="5"/>
                <w:szCs w:val="5"/>
                <w:color w:val="auto"/>
              </w:rPr>
            </w:pPr>
          </w:p>
        </w:tc>
        <w:tc>
          <w:tcPr>
            <w:tcW w:w="600" w:type="dxa"/>
            <w:vAlign w:val="bottom"/>
            <w:tcBorders>
              <w:top w:val="single" w:sz="8" w:color="DBDBDB"/>
            </w:tcBorders>
            <w:shd w:val="clear" w:color="auto" w:fill="DBDBDB"/>
          </w:tcPr>
          <w:p>
            <w:pPr>
              <w:spacing w:after="0"/>
              <w:rPr>
                <w:sz w:val="5"/>
                <w:szCs w:val="5"/>
                <w:color w:val="auto"/>
              </w:rPr>
            </w:pPr>
          </w:p>
        </w:tc>
        <w:tc>
          <w:tcPr>
            <w:tcW w:w="14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20" w:type="dxa"/>
            <w:vAlign w:val="bottom"/>
            <w:tcBorders>
              <w:top w:val="single" w:sz="8" w:color="DBDBDB"/>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18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240" w:type="dxa"/>
            <w:vAlign w:val="bottom"/>
            <w:tcBorders>
              <w:top w:val="single" w:sz="8" w:color="DBDBDB"/>
            </w:tcBorders>
            <w:shd w:val="clear" w:color="auto" w:fill="DBDBDB"/>
          </w:tcPr>
          <w:p>
            <w:pPr>
              <w:spacing w:after="0"/>
              <w:rPr>
                <w:sz w:val="5"/>
                <w:szCs w:val="5"/>
                <w:color w:val="auto"/>
              </w:rPr>
            </w:pPr>
          </w:p>
        </w:tc>
        <w:tc>
          <w:tcPr>
            <w:tcW w:w="940" w:type="dxa"/>
            <w:vAlign w:val="bottom"/>
            <w:tcBorders>
              <w:top w:val="single" w:sz="8" w:color="DBDBDB"/>
            </w:tcBorders>
            <w:shd w:val="clear" w:color="auto" w:fill="DBDBDB"/>
          </w:tcPr>
          <w:p>
            <w:pPr>
              <w:spacing w:after="0"/>
              <w:rPr>
                <w:sz w:val="5"/>
                <w:szCs w:val="5"/>
                <w:color w:val="auto"/>
              </w:rPr>
            </w:pPr>
          </w:p>
        </w:tc>
        <w:tc>
          <w:tcPr>
            <w:tcW w:w="340" w:type="dxa"/>
            <w:vAlign w:val="bottom"/>
            <w:tcBorders>
              <w:top w:val="single" w:sz="8" w:color="DBDBDB"/>
            </w:tcBorders>
            <w:shd w:val="clear" w:color="auto" w:fill="DBDBDB"/>
          </w:tcPr>
          <w:p>
            <w:pPr>
              <w:spacing w:after="0"/>
              <w:rPr>
                <w:sz w:val="5"/>
                <w:szCs w:val="5"/>
                <w:color w:val="auto"/>
              </w:rPr>
            </w:pPr>
          </w:p>
        </w:tc>
        <w:tc>
          <w:tcPr>
            <w:tcW w:w="200" w:type="dxa"/>
            <w:vAlign w:val="bottom"/>
            <w:tcBorders>
              <w:top w:val="single" w:sz="8" w:color="DBDBDB"/>
            </w:tcBorders>
            <w:shd w:val="clear" w:color="auto" w:fill="DBDBDB"/>
          </w:tcPr>
          <w:p>
            <w:pPr>
              <w:spacing w:after="0"/>
              <w:rPr>
                <w:sz w:val="5"/>
                <w:szCs w:val="5"/>
                <w:color w:val="auto"/>
              </w:rPr>
            </w:pPr>
          </w:p>
        </w:tc>
        <w:tc>
          <w:tcPr>
            <w:tcW w:w="780" w:type="dxa"/>
            <w:vAlign w:val="bottom"/>
            <w:tcBorders>
              <w:top w:val="single" w:sz="8" w:color="DBDBDB"/>
            </w:tcBorders>
            <w:shd w:val="clear" w:color="auto" w:fill="DBDBDB"/>
          </w:tcPr>
          <w:p>
            <w:pPr>
              <w:spacing w:after="0"/>
              <w:rPr>
                <w:sz w:val="5"/>
                <w:szCs w:val="5"/>
                <w:color w:val="auto"/>
              </w:rPr>
            </w:pPr>
          </w:p>
        </w:tc>
        <w:tc>
          <w:tcPr>
            <w:tcW w:w="220" w:type="dxa"/>
            <w:vAlign w:val="bottom"/>
            <w:tcBorders>
              <w:top w:val="single" w:sz="8" w:color="DBDBDB"/>
            </w:tcBorders>
            <w:shd w:val="clear" w:color="auto" w:fill="DBDBDB"/>
          </w:tcPr>
          <w:p>
            <w:pPr>
              <w:spacing w:after="0"/>
              <w:rPr>
                <w:sz w:val="5"/>
                <w:szCs w:val="5"/>
                <w:color w:val="auto"/>
              </w:rPr>
            </w:pPr>
          </w:p>
        </w:tc>
        <w:tc>
          <w:tcPr>
            <w:tcW w:w="660" w:type="dxa"/>
            <w:vAlign w:val="bottom"/>
            <w:tcBorders>
              <w:top w:val="single" w:sz="8" w:color="DBDBDB"/>
            </w:tcBorders>
            <w:shd w:val="clear" w:color="auto" w:fill="DBDBDB"/>
          </w:tcPr>
          <w:p>
            <w:pPr>
              <w:spacing w:after="0"/>
              <w:rPr>
                <w:sz w:val="5"/>
                <w:szCs w:val="5"/>
                <w:color w:val="auto"/>
              </w:rPr>
            </w:pPr>
          </w:p>
        </w:tc>
        <w:tc>
          <w:tcPr>
            <w:tcW w:w="740" w:type="dxa"/>
            <w:vAlign w:val="bottom"/>
            <w:tcBorders>
              <w:top w:val="single" w:sz="8" w:color="DBDBDB"/>
            </w:tcBorders>
            <w:shd w:val="clear" w:color="auto" w:fill="DBDBDB"/>
          </w:tcPr>
          <w:p>
            <w:pPr>
              <w:spacing w:after="0"/>
              <w:rPr>
                <w:sz w:val="5"/>
                <w:szCs w:val="5"/>
                <w:color w:val="auto"/>
              </w:rPr>
            </w:pPr>
          </w:p>
        </w:tc>
        <w:tc>
          <w:tcPr>
            <w:tcW w:w="106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80" w:type="dxa"/>
            <w:vAlign w:val="bottom"/>
            <w:tcBorders>
              <w:top w:val="single" w:sz="8" w:color="DBDBDB"/>
            </w:tcBorders>
            <w:shd w:val="clear" w:color="auto" w:fill="DBDBDB"/>
          </w:tcPr>
          <w:p>
            <w:pPr>
              <w:spacing w:after="0"/>
              <w:rPr>
                <w:sz w:val="5"/>
                <w:szCs w:val="5"/>
                <w:color w:val="auto"/>
              </w:rPr>
            </w:pPr>
          </w:p>
        </w:tc>
        <w:tc>
          <w:tcPr>
            <w:tcW w:w="160" w:type="dxa"/>
            <w:vAlign w:val="bottom"/>
            <w:tcBorders>
              <w:top w:val="single" w:sz="8" w:color="DBDBDB"/>
            </w:tcBorders>
            <w:shd w:val="clear" w:color="auto" w:fill="DBDBDB"/>
          </w:tcPr>
          <w:p>
            <w:pPr>
              <w:spacing w:after="0"/>
              <w:rPr>
                <w:sz w:val="5"/>
                <w:szCs w:val="5"/>
                <w:color w:val="auto"/>
              </w:rPr>
            </w:pPr>
          </w:p>
        </w:tc>
        <w:tc>
          <w:tcPr>
            <w:tcW w:w="420" w:type="dxa"/>
            <w:vAlign w:val="bottom"/>
            <w:tcBorders>
              <w:top w:val="single" w:sz="8" w:color="DBDBDB"/>
            </w:tcBorders>
            <w:shd w:val="clear" w:color="auto" w:fill="DBDBDB"/>
          </w:tcPr>
          <w:p>
            <w:pPr>
              <w:spacing w:after="0"/>
              <w:rPr>
                <w:sz w:val="5"/>
                <w:szCs w:val="5"/>
                <w:color w:val="auto"/>
              </w:rPr>
            </w:pPr>
          </w:p>
        </w:tc>
        <w:tc>
          <w:tcPr>
            <w:tcW w:w="400" w:type="dxa"/>
            <w:vAlign w:val="bottom"/>
            <w:tcBorders>
              <w:top w:val="single" w:sz="8" w:color="DBDBDB"/>
            </w:tcBorders>
            <w:shd w:val="clear" w:color="auto" w:fill="DBDBDB"/>
          </w:tcPr>
          <w:p>
            <w:pPr>
              <w:spacing w:after="0"/>
              <w:rPr>
                <w:sz w:val="5"/>
                <w:szCs w:val="5"/>
                <w:color w:val="auto"/>
              </w:rPr>
            </w:pPr>
          </w:p>
        </w:tc>
        <w:tc>
          <w:tcPr>
            <w:tcW w:w="2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100" w:type="dxa"/>
            <w:vAlign w:val="bottom"/>
            <w:tcBorders>
              <w:top w:val="single" w:sz="8" w:color="DBDBDB"/>
            </w:tcBorders>
            <w:shd w:val="clear" w:color="auto" w:fill="DBDBDB"/>
          </w:tcPr>
          <w:p>
            <w:pPr>
              <w:spacing w:after="0"/>
              <w:rPr>
                <w:sz w:val="5"/>
                <w:szCs w:val="5"/>
                <w:color w:val="auto"/>
              </w:rPr>
            </w:pPr>
          </w:p>
        </w:tc>
        <w:tc>
          <w:tcPr>
            <w:tcW w:w="60" w:type="dxa"/>
            <w:vAlign w:val="bottom"/>
            <w:tcBorders>
              <w:top w:val="single" w:sz="8" w:color="DBDBDB"/>
            </w:tcBorders>
            <w:shd w:val="clear" w:color="auto" w:fill="DBDBDB"/>
          </w:tcPr>
          <w:p>
            <w:pPr>
              <w:spacing w:after="0"/>
              <w:rPr>
                <w:sz w:val="5"/>
                <w:szCs w:val="5"/>
                <w:color w:val="auto"/>
              </w:rPr>
            </w:pPr>
          </w:p>
        </w:tc>
        <w:tc>
          <w:tcPr>
            <w:tcW w:w="40" w:type="dxa"/>
            <w:vAlign w:val="bottom"/>
            <w:tcBorders>
              <w:top w:val="single" w:sz="8" w:color="DBDBDB"/>
            </w:tcBorders>
            <w:shd w:val="clear" w:color="auto" w:fill="DBDBDB"/>
          </w:tcPr>
          <w:p>
            <w:pPr>
              <w:spacing w:after="0"/>
              <w:rPr>
                <w:sz w:val="5"/>
                <w:szCs w:val="5"/>
                <w:color w:val="auto"/>
              </w:rPr>
            </w:pPr>
          </w:p>
        </w:tc>
        <w:tc>
          <w:tcPr>
            <w:tcW w:w="540" w:type="dxa"/>
            <w:vAlign w:val="bottom"/>
            <w:tcBorders>
              <w:top w:val="single" w:sz="8" w:color="DBDBDB"/>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gridSpan w:val="5"/>
          </w:tcPr>
          <w:p>
            <w:pPr>
              <w:spacing w:after="0" w:line="202" w:lineRule="exact"/>
              <w:rPr>
                <w:sz w:val="20"/>
                <w:szCs w:val="20"/>
                <w:color w:val="auto"/>
              </w:rPr>
            </w:pPr>
            <w:r>
              <w:rPr>
                <w:rFonts w:ascii="Arial" w:cs="Arial" w:eastAsia="Arial" w:hAnsi="Arial"/>
                <w:sz w:val="18"/>
                <w:szCs w:val="18"/>
                <w:color w:val="auto"/>
              </w:rPr>
              <w:t>Item 15.</w:t>
            </w:r>
          </w:p>
        </w:tc>
        <w:tc>
          <w:tcPr>
            <w:tcW w:w="8020" w:type="dxa"/>
            <w:vAlign w:val="bottom"/>
            <w:gridSpan w:val="25"/>
          </w:tcPr>
          <w:p>
            <w:pPr>
              <w:spacing w:after="0" w:line="202" w:lineRule="exact"/>
              <w:rPr>
                <w:sz w:val="20"/>
                <w:szCs w:val="20"/>
                <w:color w:val="auto"/>
              </w:rPr>
            </w:pPr>
            <w:r>
              <w:rPr>
                <w:rFonts w:ascii="Arial" w:cs="Arial" w:eastAsia="Arial" w:hAnsi="Arial"/>
                <w:sz w:val="18"/>
                <w:szCs w:val="18"/>
                <w:color w:val="auto"/>
              </w:rPr>
              <w:t>Exhibits And Financial Statement Schedules</w:t>
            </w:r>
          </w:p>
        </w:tc>
        <w:tc>
          <w:tcPr>
            <w:tcW w:w="700" w:type="dxa"/>
            <w:vAlign w:val="bottom"/>
            <w:gridSpan w:val="7"/>
          </w:tcPr>
          <w:p>
            <w:pPr>
              <w:jc w:val="center"/>
              <w:ind w:left="330"/>
              <w:spacing w:after="0" w:line="202" w:lineRule="exact"/>
              <w:rPr>
                <w:sz w:val="20"/>
                <w:szCs w:val="20"/>
                <w:color w:val="auto"/>
              </w:rPr>
            </w:pPr>
            <w:r>
              <w:rPr>
                <w:rFonts w:ascii="Arial" w:cs="Arial" w:eastAsia="Arial" w:hAnsi="Arial"/>
                <w:sz w:val="18"/>
                <w:szCs w:val="18"/>
                <w:color w:val="auto"/>
                <w:w w:val="93"/>
              </w:rPr>
              <w:t>111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980" w:type="dxa"/>
            <w:vAlign w:val="bottom"/>
            <w:gridSpan w:val="5"/>
            <w:shd w:val="clear" w:color="auto" w:fill="DBDBDB"/>
          </w:tcPr>
          <w:p>
            <w:pPr>
              <w:spacing w:after="0" w:line="202" w:lineRule="exact"/>
              <w:rPr>
                <w:sz w:val="20"/>
                <w:szCs w:val="20"/>
                <w:color w:val="auto"/>
              </w:rPr>
            </w:pPr>
            <w:r>
              <w:rPr>
                <w:rFonts w:ascii="Arial" w:cs="Arial" w:eastAsia="Arial" w:hAnsi="Arial"/>
                <w:sz w:val="18"/>
                <w:szCs w:val="18"/>
                <w:color w:val="auto"/>
              </w:rPr>
              <w:t>Item 16.</w:t>
            </w:r>
          </w:p>
        </w:tc>
        <w:tc>
          <w:tcPr>
            <w:tcW w:w="8020" w:type="dxa"/>
            <w:vAlign w:val="bottom"/>
            <w:gridSpan w:val="25"/>
            <w:shd w:val="clear" w:color="auto" w:fill="DBDBDB"/>
          </w:tcPr>
          <w:p>
            <w:pPr>
              <w:spacing w:after="0" w:line="202" w:lineRule="exact"/>
              <w:rPr>
                <w:sz w:val="20"/>
                <w:szCs w:val="20"/>
                <w:color w:val="auto"/>
              </w:rPr>
            </w:pPr>
            <w:r>
              <w:rPr>
                <w:rFonts w:ascii="Arial" w:cs="Arial" w:eastAsia="Arial" w:hAnsi="Arial"/>
                <w:sz w:val="18"/>
                <w:szCs w:val="18"/>
                <w:color w:val="auto"/>
              </w:rPr>
              <w:t>Form 10-K Summary</w:t>
            </w:r>
          </w:p>
        </w:tc>
        <w:tc>
          <w:tcPr>
            <w:tcW w:w="700" w:type="dxa"/>
            <w:vAlign w:val="bottom"/>
            <w:gridSpan w:val="7"/>
            <w:shd w:val="clear" w:color="auto" w:fill="DBDBDB"/>
          </w:tcPr>
          <w:p>
            <w:pPr>
              <w:jc w:val="center"/>
              <w:ind w:left="330"/>
              <w:spacing w:after="0" w:line="202" w:lineRule="exact"/>
              <w:rPr>
                <w:sz w:val="20"/>
                <w:szCs w:val="20"/>
                <w:color w:val="auto"/>
              </w:rPr>
            </w:pPr>
            <w:r>
              <w:rPr>
                <w:rFonts w:ascii="Arial" w:cs="Arial" w:eastAsia="Arial" w:hAnsi="Arial"/>
                <w:sz w:val="18"/>
                <w:szCs w:val="18"/>
                <w:color w:val="auto"/>
                <w:w w:val="93"/>
              </w:rPr>
              <w:t>111</w:t>
            </w:r>
          </w:p>
        </w:tc>
        <w:tc>
          <w:tcPr>
            <w:tcW w:w="5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3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940" w:type="dxa"/>
            <w:vAlign w:val="bottom"/>
            <w:tcBorders>
              <w:top w:val="single" w:sz="8" w:color="DBDBDB"/>
            </w:tcBorders>
            <w:shd w:val="clear" w:color="auto" w:fill="DBDBDB"/>
          </w:tcPr>
          <w:p>
            <w:pPr>
              <w:spacing w:after="0"/>
              <w:rPr>
                <w:sz w:val="4"/>
                <w:szCs w:val="4"/>
                <w:color w:val="auto"/>
              </w:rPr>
            </w:pPr>
          </w:p>
        </w:tc>
        <w:tc>
          <w:tcPr>
            <w:tcW w:w="3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66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106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8" w:lineRule="exact"/>
        <w:rPr>
          <w:sz w:val="20"/>
          <w:szCs w:val="20"/>
          <w:color w:val="auto"/>
        </w:rPr>
      </w:pPr>
    </w:p>
    <w:p>
      <w:pPr>
        <w:ind w:left="1980"/>
        <w:spacing w:after="0"/>
        <w:rPr>
          <w:sz w:val="20"/>
          <w:szCs w:val="20"/>
          <w:color w:val="auto"/>
        </w:rPr>
      </w:pPr>
      <w:r>
        <w:rPr>
          <w:rFonts w:ascii="Arial" w:cs="Arial" w:eastAsia="Arial" w:hAnsi="Arial"/>
          <w:sz w:val="18"/>
          <w:szCs w:val="18"/>
          <w:u w:val="single" w:color="auto"/>
          <w:color w:val="auto"/>
        </w:rPr>
        <w:t>Exhibit Index</w:t>
      </w:r>
    </w:p>
    <w:p>
      <w:pPr>
        <w:spacing w:after="0" w:line="63" w:lineRule="exact"/>
        <w:rPr>
          <w:sz w:val="20"/>
          <w:szCs w:val="20"/>
          <w:color w:val="auto"/>
        </w:rPr>
      </w:pPr>
    </w:p>
    <w:p>
      <w:pPr>
        <w:ind w:left="1980"/>
        <w:spacing w:after="0"/>
        <w:rPr>
          <w:sz w:val="20"/>
          <w:szCs w:val="20"/>
          <w:color w:val="auto"/>
        </w:rPr>
      </w:pPr>
      <w:r>
        <w:rPr>
          <w:rFonts w:ascii="Arial" w:cs="Arial" w:eastAsia="Arial" w:hAnsi="Arial"/>
          <w:sz w:val="18"/>
          <w:szCs w:val="18"/>
          <w:u w:val="single" w:color="auto"/>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1864995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21590</wp:posOffset>
            </wp:positionV>
            <wp:extent cx="596646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Annual Report on Form 10-K ("Form 10-K")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including, but not limited to: the potential future impact of COVID-19 (including any variant) on our results of operations, supply chain or liquidity; risks related to or arising from our organizational structure; risks of food-borne illness and food safety and other health concerns about our food; risks associated with our reliance on certain information technology systems and potential failures or interruptions; privacy and cyber security risks related to our digital ordering and payment platforms for our delivery business; the impact of competition, including from our competitors in the restaurant industry or our own restaurants; the increasingly competitive labor market and our ability to attract and retain the best talent and qualified employees; the impact of federal, state or local government regulations relating to privacy, data protection, advertising and consumer protection, building and zoning requirements, costs or ability to open new restaurants, or sale of food and alcoholic beverage control regulations; our ability to achieve our growth strategy, such as the availability of suitable new restaurant sites in existing and new markets and the opening of new restaurants at the anticipated rate and on the anticipated timeline; increases in food and other operating costs, tariffs and import taxes, and supply shortages; and certain other risk factors identified in Part I, Item 1A of this Form 10-K.</w:t>
      </w:r>
    </w:p>
    <w:p>
      <w:pPr>
        <w:spacing w:after="0" w:line="21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All statements other than statements of historical fact are forward-looking statements. Many of the forward-looking statements are located in Part II, Item 7 of this Form 10-K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and are based on currently available operating, financial and competitive information which are subject to various risks and uncertainties, so you should not place undue reliance on forward-looking statements. You can identify forward-looking statements by the fact that they do not relate strictly to historical or current facts. These statements may include words such as "aim," "anticipate," "believe," "estimate," "expect," "forecast," "future," "outlook," "potential," "project," "projection," "plan," "intend," "seek," "may," "could," "would," "will," "should," "can," "can have," "likely," the negatives thereof and other similar expressions.</w:t>
      </w:r>
    </w:p>
    <w:p>
      <w:pPr>
        <w:spacing w:after="0" w:line="21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10-K in the context of the risks and uncertainties disclosed in Part I, Item 1A of this Form 10-K under the heading "Risk Factors" and Part II, Item 7 "Management's Discussion and Analysis of Financial Condition and Results of Operations."</w:t>
      </w:r>
    </w:p>
    <w:p>
      <w:pPr>
        <w:spacing w:after="0" w:line="19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forward-looking statements included in this Form 10-K are made only as of the date hereof. The Company undertakes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414042"/>
        </w:rPr>
        <w:t>PART I</w:t>
      </w:r>
    </w:p>
    <w:p>
      <w:pPr>
        <w:spacing w:after="0" w:line="53"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414042"/>
        </w:rPr>
        <w:t>ITEM 1.</w:t>
        <w:tab/>
        <w:t>BUSINESS</w:t>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Portillo’s Inc. (the “Company") was formed and incorporated as a Delaware corporation on June 8, 2021. The Company was formed for the purpose of completing an initial public offering in October 2021 ("IPO")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as sole managing member, the Company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the "Company" and other similar references refer to Portillo's Inc. and its subsidiaries, including Portillo’s OpCo.</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 and the Transactions</w:t>
      </w:r>
    </w:p>
    <w:p>
      <w:pPr>
        <w:spacing w:after="0" w:line="2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registration statement on Form S-1, as amended (Registration No. 333-259810), related to its IPO was declared effective October 20, 2021, and the Company's Class A common stock began trading on the Nasdaq Global Select Market ("Nasdaq") under the symbol "PTLO" on October 21, 2021. On October 25, 2021, the Company completed its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we completed the following:</w:t>
      </w:r>
    </w:p>
    <w:p>
      <w:pPr>
        <w:spacing w:after="0" w:line="252" w:lineRule="exact"/>
        <w:rPr>
          <w:sz w:val="20"/>
          <w:szCs w:val="20"/>
          <w:color w:val="auto"/>
        </w:rPr>
      </w:pPr>
    </w:p>
    <w:p>
      <w:pPr>
        <w:ind w:left="660" w:right="40" w:hanging="328"/>
        <w:spacing w:after="0" w:line="268"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amended and restated the limited liability company agreement of Portillo’s OpCo ("Amended LLC Agreement") to, among other things, convert all outstanding equity interests (except for those redeemable preferred units which were redeemed in connection with the IPO) into LLC Units.</w:t>
      </w:r>
    </w:p>
    <w:p>
      <w:pPr>
        <w:spacing w:after="0" w:line="197" w:lineRule="exact"/>
        <w:rPr>
          <w:rFonts w:ascii="Arial" w:cs="Arial" w:eastAsia="Arial" w:hAnsi="Arial"/>
          <w:sz w:val="18"/>
          <w:szCs w:val="18"/>
          <w:color w:val="auto"/>
        </w:rPr>
      </w:pPr>
    </w:p>
    <w:p>
      <w:pPr>
        <w:ind w:left="660" w:right="100" w:hanging="328"/>
        <w:spacing w:after="0" w:line="275" w:lineRule="auto"/>
        <w:tabs>
          <w:tab w:leader="none" w:pos="669"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became the sole managing member of Portillo's OpCo. Because we manage and operate the business and control the strategic decisions and day-to-day operations of Portillo’s OpCo and because we also have a substantial financial interest in Portillo’s OpCo, we will consolidate the financial results of Portillo’s OpCo, and a portion of our net income will be allocated to non-controlling interests to reflect the entitlement of the pre-IPO LLC Members who retained their equity ownership in Portillo's OpCo. In addition, because Portillo’s OpCo was under the common control of the pre-IPO LLC Members before and after the Transactions, we measured the assets and liabilities of Portillo’s OpCo at their carrying amounts as of the date of the completion of the Transactions.</w:t>
      </w:r>
    </w:p>
    <w:p>
      <w:pPr>
        <w:spacing w:after="0" w:line="195" w:lineRule="exact"/>
        <w:rPr>
          <w:rFonts w:ascii="Arial" w:cs="Arial" w:eastAsia="Arial" w:hAnsi="Arial"/>
          <w:sz w:val="17"/>
          <w:szCs w:val="17"/>
          <w:color w:val="auto"/>
        </w:rPr>
      </w:pPr>
    </w:p>
    <w:p>
      <w:pPr>
        <w:ind w:left="660" w:right="40" w:hanging="328"/>
        <w:spacing w:after="0" w:line="262"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authorize the issuance of two series of common stock: Class A common stock and Class B common stock. Each share of Class A common stock and Class B common stock entitles its holder to one vote per share on all matters submitted to a vote of our shareholders. The Class B common stock is not entitled to economic interests in Portillo’s Inc.</w:t>
      </w:r>
    </w:p>
    <w:p>
      <w:pPr>
        <w:spacing w:after="0" w:line="20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the Company entered into a Tax Receivable Agreement ("TRA") with certain pre-IPO LLC Members, pursuant to which the Company will be generally obligated to pay 85% of the amount of applicable cash savings, if any, in U.S. federal, state, and local income tax that the Company actually realizes or is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redemptions or exchanges of LLC Units by pre-IPO LLC Members for Class A common stock and</w:t>
      </w:r>
    </w:p>
    <w:p>
      <w:pPr>
        <w:spacing w:after="0" w:line="6" w:lineRule="exact"/>
        <w:rPr>
          <w:sz w:val="20"/>
          <w:szCs w:val="20"/>
          <w:color w:val="auto"/>
        </w:rPr>
      </w:pPr>
    </w:p>
    <w:p>
      <w:pPr>
        <w:ind w:right="480" w:firstLine="8"/>
        <w:spacing w:after="0" w:line="266"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other tax benefits related to entering into the TRA, including payments made under the TRA. We will retain the benefit of the remaining 15% of these tax savings.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third quarter and fourth quarter of 2022, the Company completed two secondary offerings of 8,066,458 shares (including 66,458 shares sold to the underwriters pursuant to their overallotment option) and 8,000,000 shares, respectively, of the Company's Class A common stock at an offering price of $23.75 and $22.69, respectively, per share. We used all of the net proceeds from the secondary offerings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0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As of December 25, 2022, the Company owned 67.0% of Portillo's OpCo and the pre-IPO LLC Members owned the remaining 33.0% of Portillo's OpCo.</w:t>
      </w:r>
    </w:p>
    <w:p>
      <w:pPr>
        <w:spacing w:after="0" w:line="18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See the consolidated financial statements included in Part II, Item 8 "Financial Statements And Supplementary Data" for more information about the above-mentioned transactions.</w:t>
      </w:r>
    </w:p>
    <w:p>
      <w:pPr>
        <w:sectPr>
          <w:pgSz w:w="11900" w:h="16838" w:orient="portrait"/>
          <w:cols w:equalWidth="0" w:num="1">
            <w:col w:w="11220"/>
          </w:cols>
          <w:pgMar w:left="320" w:top="364" w:right="359" w:bottom="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D22630"/>
        </w:rPr>
        <w:t>New Credit Agreement</w:t>
      </w:r>
    </w:p>
    <w:p>
      <w:pPr>
        <w:spacing w:after="0" w:line="2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February 2, 2023, PHD Intermediate LLC, a Delaware limited liability company (“Holdings”), Portillo’s Holdings, LLC, a Delaware limited liability company (the “Borrower”), the other Guarantors party thereto from time to time, each lender party thereto from time to time and Fifth Third Bank, National Association, as Administrative Agent, L/C Issuer and Swing Line Lender entered into a Credit Agreement (“New Credit Agreement”) which provides for a Term A Loan ("Term Loan") in an initial aggregate principal amount of $300.0 million and initial Revolving Credit Commitments in an initial aggregate principal amount of $100.0 million (the “New Revolver Facility”). The proceeds under the Term Loan and New Revolver Facility, along with cash on hand, were used to repay outstanding indebtedness under the First Lien Credit Agreement and to pay related transaction expenses. The Term Loan and New Revolver Facility are scheduled to mature on February 2, 2028. The Company anticipates using the remainder of the loan proceeds for general corporate purposes and working capital needs.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Overview of Portillo's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that Dick Portillo called “The Dog House,” we have grown to become a treasured brand with a passionate (some might say obsessed) nationwide following. Our diverse menu features all-American favorites such as Chicago-style hot dogs and sausages, Italian beef sandwiches, char-grilled burgers, chopped salads, crinkle-cut french fries, homemade chocolate cake and signature chocolate cake shake. We create a consumer experience like no other by combining the best attributes of fast-casual and quick-service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high-quality food and deliver a memorable guest experience. We believe the combination of our craveable food, multichannel sales model, dedication to operational excellence, and a distinctive culture driven by our team members gives us a competitive advantage.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25, 2022, we owned and operated 72 restaurants across nine states, including a restaurant owned by C&amp;O Chicago,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("C&amp;O") of which we own 50% of the equity.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Story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relish the opportunity to create lifelong memories by igniting the senses with unrivaled food and experiences.</w:t>
      </w: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An Iconic and Beloved Brand with Obsessed, Lifelong Fans</w:t>
      </w:r>
      <w:r>
        <w:rPr>
          <w:rFonts w:ascii="Arial" w:cs="Arial" w:eastAsia="Arial" w:hAnsi="Arial"/>
          <w:sz w:val="18"/>
          <w:szCs w:val="18"/>
          <w:color w:val="auto"/>
        </w:rPr>
        <w:t>. We capture the hearts, minds and stomachs of our guests with every meal.</w:t>
      </w:r>
      <w:r>
        <w:rPr>
          <w:rFonts w:ascii="Arial" w:cs="Arial" w:eastAsia="Arial" w:hAnsi="Arial"/>
          <w:sz w:val="18"/>
          <w:szCs w:val="18"/>
          <w:b w:val="1"/>
          <w:bCs w:val="1"/>
          <w:color w:val="auto"/>
        </w:rPr>
        <w:t xml:space="preserve"> </w:t>
      </w:r>
      <w:r>
        <w:rPr>
          <w:rFonts w:ascii="Arial" w:cs="Arial" w:eastAsia="Arial" w:hAnsi="Arial"/>
          <w:sz w:val="18"/>
          <w:szCs w:val="18"/>
          <w:color w:val="auto"/>
        </w:rPr>
        <w:t>Our menu features something for everyone and appeals to a broad demographic, which enables our restaurants to thrive across diverse trade areas and generate strong and balanced volumes across multiple dayparts, weekdays and occasions. Our new restaurant openings draw massive crowds of passionate fans with lines stretching around the block.</w:t>
      </w:r>
    </w:p>
    <w:p>
      <w:pPr>
        <w:spacing w:after="0" w:line="20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No matter the location, our fans are </w:t>
      </w:r>
      <w:r>
        <w:rPr>
          <w:rFonts w:ascii="Arial" w:cs="Arial" w:eastAsia="Arial" w:hAnsi="Arial"/>
          <w:sz w:val="18"/>
          <w:szCs w:val="18"/>
          <w:i w:val="1"/>
          <w:iCs w:val="1"/>
          <w:color w:val="auto"/>
        </w:rPr>
        <w:t>bun-believably</w:t>
      </w:r>
      <w:r>
        <w:rPr>
          <w:rFonts w:ascii="Arial" w:cs="Arial" w:eastAsia="Arial" w:hAnsi="Arial"/>
          <w:sz w:val="18"/>
          <w:szCs w:val="18"/>
          <w:color w:val="auto"/>
        </w:rPr>
        <w:t xml:space="preserve"> obsessed! Guests </w:t>
      </w:r>
      <w:r>
        <w:rPr>
          <w:rFonts w:ascii="Arial" w:cs="Arial" w:eastAsia="Arial" w:hAnsi="Arial"/>
          <w:sz w:val="18"/>
          <w:szCs w:val="18"/>
          <w:i w:val="1"/>
          <w:iCs w:val="1"/>
          <w:color w:val="auto"/>
        </w:rPr>
        <w:t>cake shake</w:t>
      </w:r>
      <w:r>
        <w:rPr>
          <w:rFonts w:ascii="Arial" w:cs="Arial" w:eastAsia="Arial" w:hAnsi="Arial"/>
          <w:sz w:val="18"/>
          <w:szCs w:val="18"/>
          <w:color w:val="auto"/>
        </w:rPr>
        <w:t xml:space="preserve"> their way in for our Chicago-style hot dogs, Italian beef sandwiches, char-grilled burgers, cheese fries, fresh salads and famous chocolate cake. But it's not just our menu that sets us apart.</w:t>
      </w:r>
    </w:p>
    <w:p>
      <w:pPr>
        <w:spacing w:after="0" w:line="18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Energetic Restaurant Atmosphere that Engages the Senses. </w:t>
      </w:r>
      <w:r>
        <w:rPr>
          <w:rFonts w:ascii="Arial" w:cs="Arial" w:eastAsia="Arial" w:hAnsi="Arial"/>
          <w:sz w:val="18"/>
          <w:szCs w:val="18"/>
          <w:color w:val="auto"/>
        </w:rPr>
        <w:t>While our operating model is focused on getting delicious, made-to-order</w:t>
      </w:r>
      <w:r>
        <w:rPr>
          <w:rFonts w:ascii="Arial" w:cs="Arial" w:eastAsia="Arial" w:hAnsi="Arial"/>
          <w:sz w:val="18"/>
          <w:szCs w:val="18"/>
          <w:b w:val="1"/>
          <w:bCs w:val="1"/>
          <w:color w:val="auto"/>
        </w:rPr>
        <w:t xml:space="preserve"> </w:t>
      </w:r>
      <w:r>
        <w:rPr>
          <w:rFonts w:ascii="Arial" w:cs="Arial" w:eastAsia="Arial" w:hAnsi="Arial"/>
          <w:sz w:val="18"/>
          <w:szCs w:val="18"/>
          <w:color w:val="auto"/>
        </w:rPr>
        <w:t>food to our guests quickly, our atmosphere makes the experience even more than a delicious meal. When guests walk into a Portillo’s, they get an experience completely different than a typical chain restaurant visit. Our restaurants engage all the senses to create a fun, relaxed and memorable occasion.</w:t>
      </w:r>
    </w:p>
    <w:p>
      <w:pPr>
        <w:spacing w:after="0" w:line="203"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Our dining areas evoke nostalgia and local influences. No two Portillo’s are alike. Each of our restaurants has its own themed décor, ranging from a 1930’s prohibition motif to a 1950’s jukebox, to a 1960’s hippie bus. The period music ties to the theme, from ragtime to doo wop to disco. No detail is too small, be it lighting, signage or even the stars subtly sparkling on the ceiling. Each restaurant also draws design elements from the community. The layouts create spaces comfortable for individual diners, families, large groups, and even wedding parties.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Beyond the space itself, the energy of a Portillo’s is unique. Our guests can see into our huge, open kitchens, where their meals are prepared right before their eyes. The smells of burgers broiling, french fries frying, and beef simmering emanate from the kitchen. Each completed meal is announced with a fun rhyme (“Number two, we got you”; “Number seven, welcome to Portillo’s heaven”). But the most important element of the energy is the enthusiasm of the scores of guests who are all excited to be there and enjoying their Portillo’s. We want every guest that visits to leave with a memorable experience, a satiated appetite and a desire to return.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Food</w:t>
      </w:r>
    </w:p>
    <w:p>
      <w:pPr>
        <w:spacing w:after="0" w:line="2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menu offers something for everyone. We obsess over each and every ingredient and curate our menu to ensure that each item receives high marks from our guests and meets our rigorous quality standards. We're known for our famous Chicago-style hot dogs, Italian beef sandwiches, chopped salad, cheese fries, homemade chocolate cake, and chocolate cake shake. Our Italian beef is slow-roasted for four hours, thinly sliced, and served on freshly baked French bread. Then, it's dipped in hot gravy made with our homemade blend of seasonings that we've been perfecting for 50 years. Our Chicago-style hot dogs feature mustard, relish, freshly chopped onion, sliced red ripe tomatoes, a kosher pickle and sport peppers piled high onto a perfectly steamed poppy seed bun, all finished with a few shakes of savory celery salt. Guests also love our craveable crinkle-cut french fries that are cooked in beef tallow resulting in a perfectly salted, crispy outside with a soft inside. Lastly, for those craving something sweet, our famous homemade fluffy chocolate cakes are baked with love each morning in every restaurant and generously iced with rich chocolate frosting.</w:t>
      </w:r>
    </w:p>
    <w:p>
      <w:pPr>
        <w:spacing w:after="0" w:line="208"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i w:val="1"/>
          <w:iCs w:val="1"/>
          <w:color w:val="auto"/>
        </w:rPr>
        <w:t xml:space="preserve">Commitment to Quality. </w:t>
      </w:r>
      <w:r>
        <w:rPr>
          <w:rFonts w:ascii="Arial" w:cs="Arial" w:eastAsia="Arial" w:hAnsi="Arial"/>
          <w:sz w:val="18"/>
          <w:szCs w:val="18"/>
          <w:color w:val="auto"/>
        </w:rPr>
        <w:t>Our food is prepared with fresh, high-quality ingredients, and our commitment to quality is brought to light by every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 on the menu. We obsess over each and every ingredient and recipe to ensure our food is high quality, consistently prepared and tastes great. We have been perfecting our menu for over 50 years, and we are constantly seeking ways to further enhance the quality and selection of our offerings.</w:t>
      </w:r>
    </w:p>
    <w:p>
      <w:pPr>
        <w:sectPr>
          <w:pgSz w:w="11900" w:h="16838" w:orient="portrait"/>
          <w:cols w:equalWidth="0" w:num="1">
            <w:col w:w="11240"/>
          </w:cols>
          <w:pgMar w:left="320" w:top="359" w:right="339" w:bottom="0" w:gutter="0" w:footer="0" w:header="0"/>
        </w:sectPr>
      </w:pPr>
    </w:p>
    <w:bookmarkStart w:id="6" w:name="page7"/>
    <w:bookmarkEnd w:id="6"/>
    <w:p>
      <w:pPr>
        <w:spacing w:after="0" w:line="29" w:lineRule="exact"/>
        <w:rPr>
          <w:sz w:val="20"/>
          <w:szCs w:val="20"/>
          <w:color w:val="auto"/>
        </w:rPr>
      </w:pPr>
    </w:p>
    <w:p>
      <w:pPr>
        <w:ind w:right="240"/>
        <w:spacing w:after="0" w:line="286" w:lineRule="auto"/>
        <w:rPr>
          <w:sz w:val="20"/>
          <w:szCs w:val="20"/>
          <w:color w:val="auto"/>
        </w:rPr>
      </w:pPr>
      <w:r>
        <w:rPr>
          <w:rFonts w:ascii="Arial" w:cs="Arial" w:eastAsia="Arial" w:hAnsi="Arial"/>
          <w:sz w:val="18"/>
          <w:szCs w:val="18"/>
          <w:b w:val="1"/>
          <w:bCs w:val="1"/>
          <w:i w:val="1"/>
          <w:iCs w:val="1"/>
          <w:color w:val="auto"/>
        </w:rPr>
        <w:t xml:space="preserve">Our Menu. </w:t>
      </w:r>
      <w:r>
        <w:rPr>
          <w:rFonts w:ascii="Arial" w:cs="Arial" w:eastAsia="Arial" w:hAnsi="Arial"/>
          <w:sz w:val="18"/>
          <w:szCs w:val="18"/>
          <w:color w:val="auto"/>
        </w:rPr>
        <w:t>Our menu features unrivaled Chicago-style street food and all-American favorites. With something for everyone, our expansive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menu creates a “veto-proof” proposition and drives a broad set of consumer occasions.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Menu Innovation. </w:t>
      </w:r>
      <w:r>
        <w:rPr>
          <w:rFonts w:ascii="Arial" w:cs="Arial" w:eastAsia="Arial" w:hAnsi="Arial"/>
          <w:sz w:val="18"/>
          <w:szCs w:val="18"/>
          <w:color w:val="auto"/>
        </w:rPr>
        <w:t>Our primary strategy for menu innovation is to drive traffic through truly craveable foods that can be made with a Portillo’s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spin. New menu items are introduced when we believe they will offer superior guest satisfaction and typically coincide with the removal of an existing menu item to ensure a manageable menu size, so that our team members can maintain the operational efficiency that enables our high volumes and consistently high quality offerings. Recent examples of new menu items include our Spicy Chicken Sandwich featuring our proprietary spicy giardiniera sauce, launched in 2021, and the Plant-based Garden Dog, launched in 2022.</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Sales Channels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restaurants are thoughtfully designed for both their variety of access modes and the overall guest experience.</w:t>
      </w:r>
    </w:p>
    <w:p>
      <w:pPr>
        <w:spacing w:after="0" w:line="25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color w:val="auto"/>
        </w:rPr>
        <w:t xml:space="preserve">Drive-Thru. </w:t>
      </w:r>
      <w:r>
        <w:rPr>
          <w:rFonts w:ascii="Arial" w:cs="Arial" w:eastAsia="Arial" w:hAnsi="Arial"/>
          <w:sz w:val="18"/>
          <w:szCs w:val="18"/>
          <w:color w:val="auto"/>
        </w:rPr>
        <w:t>Our restaurants are built with double lane drive-thrus staffed with engaging attendants that ensure a pleasant and efficient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with all food made to order. We also have locations that feature three drive-thru lanes, including one specifically for pickup of advanced orders placed on our app or website.</w:t>
      </w:r>
    </w:p>
    <w:p>
      <w:pPr>
        <w:spacing w:after="0" w:line="19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b w:val="1"/>
          <w:bCs w:val="1"/>
          <w:color w:val="auto"/>
        </w:rPr>
        <w:t xml:space="preserve">Dine-In. </w:t>
      </w:r>
      <w:r>
        <w:rPr>
          <w:rFonts w:ascii="Arial" w:cs="Arial" w:eastAsia="Arial" w:hAnsi="Arial"/>
          <w:sz w:val="18"/>
          <w:szCs w:val="18"/>
          <w:color w:val="auto"/>
        </w:rPr>
        <w:t>Our restaurant dining rooms are elaborately decorated with timeless, nostalgic designs inspired by the local community. Our dining</w:t>
      </w:r>
      <w:r>
        <w:rPr>
          <w:rFonts w:ascii="Arial" w:cs="Arial" w:eastAsia="Arial" w:hAnsi="Arial"/>
          <w:sz w:val="18"/>
          <w:szCs w:val="18"/>
          <w:b w:val="1"/>
          <w:bCs w:val="1"/>
          <w:color w:val="auto"/>
        </w:rPr>
        <w:t xml:space="preserve"> </w:t>
      </w:r>
      <w:r>
        <w:rPr>
          <w:rFonts w:ascii="Arial" w:cs="Arial" w:eastAsia="Arial" w:hAnsi="Arial"/>
          <w:sz w:val="18"/>
          <w:szCs w:val="18"/>
          <w:color w:val="auto"/>
        </w:rPr>
        <w:t>areas feature a variety of flexible seating arrangements designed to accommodate single diners, couples, families and large groups. Guests dining in our restaurants wait in an ordering line to place their order and walk up to a designated pick-up area when their order is called.</w:t>
      </w:r>
    </w:p>
    <w:p>
      <w:pPr>
        <w:spacing w:after="0" w:line="19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color w:val="auto"/>
        </w:rPr>
        <w:t xml:space="preserve">Carryout. </w:t>
      </w:r>
      <w:r>
        <w:rPr>
          <w:rFonts w:ascii="Arial" w:cs="Arial" w:eastAsia="Arial" w:hAnsi="Arial"/>
          <w:sz w:val="18"/>
          <w:szCs w:val="18"/>
          <w:color w:val="auto"/>
        </w:rPr>
        <w:t>Guests placing a carryout order can order online or through our app. They have the option to walk into the restaurant to pick up</w:t>
      </w:r>
      <w:r>
        <w:rPr>
          <w:rFonts w:ascii="Arial" w:cs="Arial" w:eastAsia="Arial" w:hAnsi="Arial"/>
          <w:sz w:val="18"/>
          <w:szCs w:val="18"/>
          <w:b w:val="1"/>
          <w:bCs w:val="1"/>
          <w:color w:val="auto"/>
        </w:rPr>
        <w:t xml:space="preserve"> </w:t>
      </w:r>
      <w:r>
        <w:rPr>
          <w:rFonts w:ascii="Arial" w:cs="Arial" w:eastAsia="Arial" w:hAnsi="Arial"/>
          <w:sz w:val="18"/>
          <w:szCs w:val="18"/>
          <w:color w:val="auto"/>
        </w:rPr>
        <w:t>their order at our service counter.</w:t>
      </w:r>
    </w:p>
    <w:p>
      <w:pPr>
        <w:spacing w:after="0" w:line="18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color w:val="auto"/>
        </w:rPr>
        <w:t xml:space="preserve">Delivery. </w:t>
      </w:r>
      <w:r>
        <w:rPr>
          <w:rFonts w:ascii="Arial" w:cs="Arial" w:eastAsia="Arial" w:hAnsi="Arial"/>
          <w:sz w:val="18"/>
          <w:szCs w:val="18"/>
          <w:color w:val="auto"/>
        </w:rPr>
        <w:t>We have established partnerships with multiple third-party delivery providers and have added in-house delivery capability to fulfill</w:t>
      </w:r>
      <w:r>
        <w:rPr>
          <w:rFonts w:ascii="Arial" w:cs="Arial" w:eastAsia="Arial" w:hAnsi="Arial"/>
          <w:sz w:val="18"/>
          <w:szCs w:val="18"/>
          <w:b w:val="1"/>
          <w:bCs w:val="1"/>
          <w:color w:val="auto"/>
        </w:rPr>
        <w:t xml:space="preserve"> </w:t>
      </w:r>
      <w:r>
        <w:rPr>
          <w:rFonts w:ascii="Arial" w:cs="Arial" w:eastAsia="Arial" w:hAnsi="Arial"/>
          <w:sz w:val="18"/>
          <w:szCs w:val="18"/>
          <w:color w:val="auto"/>
        </w:rPr>
        <w:t>larger orders through our team members.</w:t>
      </w:r>
    </w:p>
    <w:p>
      <w:pPr>
        <w:spacing w:after="0" w:line="180" w:lineRule="exact"/>
        <w:rPr>
          <w:sz w:val="20"/>
          <w:szCs w:val="20"/>
          <w:color w:val="auto"/>
        </w:rPr>
      </w:pPr>
    </w:p>
    <w:p>
      <w:pPr>
        <w:jc w:val="both"/>
        <w:ind w:right="720"/>
        <w:spacing w:after="0" w:line="282" w:lineRule="auto"/>
        <w:rPr>
          <w:sz w:val="20"/>
          <w:szCs w:val="20"/>
          <w:color w:val="auto"/>
        </w:rPr>
      </w:pPr>
      <w:r>
        <w:rPr>
          <w:rFonts w:ascii="Arial" w:cs="Arial" w:eastAsia="Arial" w:hAnsi="Arial"/>
          <w:sz w:val="17"/>
          <w:szCs w:val="17"/>
          <w:b w:val="1"/>
          <w:bCs w:val="1"/>
          <w:color w:val="auto"/>
        </w:rPr>
        <w:t xml:space="preserve">Catering Offerings. </w:t>
      </w:r>
      <w:r>
        <w:rPr>
          <w:rFonts w:ascii="Arial" w:cs="Arial" w:eastAsia="Arial" w:hAnsi="Arial"/>
          <w:sz w:val="17"/>
          <w:szCs w:val="17"/>
          <w:color w:val="auto"/>
        </w:rPr>
        <w:t>Our catering offerings include buffet-style packages of our ready-to-eat favorites like Italian beef, sausages and</w:t>
      </w:r>
      <w:r>
        <w:rPr>
          <w:rFonts w:ascii="Arial" w:cs="Arial" w:eastAsia="Arial" w:hAnsi="Arial"/>
          <w:sz w:val="17"/>
          <w:szCs w:val="17"/>
          <w:b w:val="1"/>
          <w:bCs w:val="1"/>
          <w:color w:val="auto"/>
        </w:rPr>
        <w:t xml:space="preserve"> </w:t>
      </w:r>
      <w:r>
        <w:rPr>
          <w:rFonts w:ascii="Arial" w:cs="Arial" w:eastAsia="Arial" w:hAnsi="Arial"/>
          <w:sz w:val="17"/>
          <w:szCs w:val="17"/>
          <w:color w:val="auto"/>
        </w:rPr>
        <w:t>meatballs, gourmet salads, pastas and whole cakes. We also sell “Take &amp; Make” offerings – a series of catering items and packages designed for convenient, at-home preparation by our guests. For impromptu gatherings we offer “Fast Packs,” which are convenient packages of eight of our most popular sandwiches, prewrapped and ready to top, which can be prepared and delivered quickly.</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Direct Shipping Offerings. </w:t>
      </w:r>
      <w:r>
        <w:rPr>
          <w:rFonts w:ascii="Arial" w:cs="Arial" w:eastAsia="Arial" w:hAnsi="Arial"/>
          <w:sz w:val="18"/>
          <w:szCs w:val="18"/>
          <w:color w:val="auto"/>
        </w:rPr>
        <w:t>Our direct shipping offerings include some of our most popular menu items, including Italian beef (8 sandwich or</w:t>
      </w:r>
      <w:r>
        <w:rPr>
          <w:rFonts w:ascii="Arial" w:cs="Arial" w:eastAsia="Arial" w:hAnsi="Arial"/>
          <w:sz w:val="18"/>
          <w:szCs w:val="18"/>
          <w:b w:val="1"/>
          <w:bCs w:val="1"/>
          <w:color w:val="auto"/>
        </w:rPr>
        <w:t xml:space="preserve"> </w:t>
      </w:r>
      <w:r>
        <w:rPr>
          <w:rFonts w:ascii="Arial" w:cs="Arial" w:eastAsia="Arial" w:hAnsi="Arial"/>
          <w:sz w:val="18"/>
          <w:szCs w:val="18"/>
          <w:color w:val="auto"/>
        </w:rPr>
        <w:t>20 sandwich pack), Chicago-style hot dogs (10 or 50 pack), sausages, chocolate cake and tamales.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Growth Strategies</w:t>
      </w: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Expand Our Restaurant Base</w:t>
      </w:r>
      <w:r>
        <w:rPr>
          <w:rFonts w:ascii="Arial" w:cs="Arial" w:eastAsia="Arial" w:hAnsi="Arial"/>
          <w:sz w:val="18"/>
          <w:szCs w:val="18"/>
          <w:color w:val="auto"/>
        </w:rPr>
        <w:t>. We are in the early stages of our nationwide growth with 72 locations across nine states as of December 25,</w:t>
      </w:r>
      <w:r>
        <w:rPr>
          <w:rFonts w:ascii="Arial" w:cs="Arial" w:eastAsia="Arial" w:hAnsi="Arial"/>
          <w:sz w:val="18"/>
          <w:szCs w:val="18"/>
          <w:b w:val="1"/>
          <w:bCs w:val="1"/>
          <w:color w:val="auto"/>
        </w:rPr>
        <w:t xml:space="preserve"> </w:t>
      </w:r>
      <w:r>
        <w:rPr>
          <w:rFonts w:ascii="Arial" w:cs="Arial" w:eastAsia="Arial" w:hAnsi="Arial"/>
          <w:sz w:val="18"/>
          <w:szCs w:val="18"/>
          <w:color w:val="auto"/>
        </w:rPr>
        <w:t>2022, including C&amp;O. Since 2015, we have opened new restaurants at a compounded annual growth rate of approximately 8.3%. Over the long term, we aim to increase our number of restaurants by approximately 10% annually. Our near-term restaurant growth strategy is focused on leveraging our proven unit economic model primarily in markets outside Chicagoland with favorable macro-economic tailwinds where we already have a presence. We will also add select new restaurants in the Chicagoland market.</w:t>
      </w:r>
    </w:p>
    <w:p>
      <w:pPr>
        <w:spacing w:after="0" w:line="206"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color w:val="auto"/>
        </w:rPr>
        <w:t xml:space="preserve">Increase Our Same-Restaurant Sales. </w:t>
      </w:r>
      <w:r>
        <w:rPr>
          <w:rFonts w:ascii="Arial" w:cs="Arial" w:eastAsia="Arial" w:hAnsi="Arial"/>
          <w:sz w:val="18"/>
          <w:szCs w:val="18"/>
          <w:color w:val="auto"/>
        </w:rPr>
        <w:t>We aim to continue delivering an outstanding value proposition to our guests and enhance our</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to grow our volumes. We believe the following initiatives will drive same-restaurant sales growth.</w:t>
      </w:r>
    </w:p>
    <w:p>
      <w:pPr>
        <w:spacing w:after="0" w:line="180" w:lineRule="exact"/>
        <w:rPr>
          <w:sz w:val="20"/>
          <w:szCs w:val="20"/>
          <w:color w:val="auto"/>
        </w:rPr>
      </w:pPr>
    </w:p>
    <w:p>
      <w:pPr>
        <w:ind w:left="660" w:right="680" w:hanging="328"/>
        <w:spacing w:after="0" w:line="257"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Deliver a Consistently Outstanding Guest Experience at an Incredible Everyday Value</w:t>
      </w:r>
      <w:r>
        <w:rPr>
          <w:rFonts w:ascii="Arial" w:cs="Arial" w:eastAsia="Arial" w:hAnsi="Arial"/>
          <w:sz w:val="18"/>
          <w:szCs w:val="18"/>
          <w:color w:val="auto"/>
        </w:rPr>
        <w:t>. Our relentless focus on operational</w:t>
      </w:r>
      <w:r>
        <w:rPr>
          <w:rFonts w:ascii="Arial" w:cs="Arial" w:eastAsia="Arial" w:hAnsi="Arial"/>
          <w:sz w:val="18"/>
          <w:szCs w:val="18"/>
          <w:i w:val="1"/>
          <w:iCs w:val="1"/>
          <w:color w:val="auto"/>
        </w:rPr>
        <w:t xml:space="preserve"> </w:t>
      </w:r>
      <w:r>
        <w:rPr>
          <w:rFonts w:ascii="Arial" w:cs="Arial" w:eastAsia="Arial" w:hAnsi="Arial"/>
          <w:sz w:val="18"/>
          <w:szCs w:val="18"/>
          <w:color w:val="auto"/>
        </w:rPr>
        <w:t>excellence enables us to drive significant throughput in our restaurants, provide a one-of-a-kind experience and a compelling everyday value proposition to our guests and thereby drive increased customer trial and frequency.</w:t>
      </w:r>
    </w:p>
    <w:p>
      <w:pPr>
        <w:spacing w:after="0" w:line="1" w:lineRule="exact"/>
        <w:rPr>
          <w:rFonts w:ascii="Arial" w:cs="Arial" w:eastAsia="Arial" w:hAnsi="Arial"/>
          <w:sz w:val="18"/>
          <w:szCs w:val="18"/>
          <w:color w:val="auto"/>
        </w:rPr>
      </w:pPr>
    </w:p>
    <w:p>
      <w:pPr>
        <w:ind w:left="660" w:hanging="328"/>
        <w:spacing w:after="0" w:line="250"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Purposeful Menu Enhancements</w:t>
      </w:r>
      <w:r>
        <w:rPr>
          <w:rFonts w:ascii="Arial" w:cs="Arial" w:eastAsia="Arial" w:hAnsi="Arial"/>
          <w:sz w:val="18"/>
          <w:szCs w:val="18"/>
          <w:color w:val="auto"/>
        </w:rPr>
        <w:t>. We are constantly studying ways to further enhance our existing offerings while thoughtfully adding</w:t>
      </w:r>
      <w:r>
        <w:rPr>
          <w:rFonts w:ascii="Arial" w:cs="Arial" w:eastAsia="Arial" w:hAnsi="Arial"/>
          <w:sz w:val="18"/>
          <w:szCs w:val="18"/>
          <w:i w:val="1"/>
          <w:iCs w:val="1"/>
          <w:color w:val="auto"/>
        </w:rPr>
        <w:t xml:space="preserve"> </w:t>
      </w:r>
      <w:r>
        <w:rPr>
          <w:rFonts w:ascii="Arial" w:cs="Arial" w:eastAsia="Arial" w:hAnsi="Arial"/>
          <w:sz w:val="18"/>
          <w:szCs w:val="18"/>
          <w:color w:val="auto"/>
        </w:rPr>
        <w:t>new high-quality items. We are also disciplined in maintaining the number of options on our menu, while ensuring consistency in execution, and maintaining the breadth that helps drive our industry-leading volumes. When a new item earns its way onto our menu, we often replace an existing item to maintain our operational efficiency. We believe this purposeful enhancement drives increased guest frequency and reinforces our everyday value proposition that is key to our success.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Increase Brand Awareness Through Non-Traditional and Social Marketing. </w:t>
      </w:r>
      <w:r>
        <w:rPr>
          <w:rFonts w:ascii="Arial" w:cs="Arial" w:eastAsia="Arial" w:hAnsi="Arial"/>
          <w:sz w:val="18"/>
          <w:szCs w:val="18"/>
          <w:color w:val="auto"/>
        </w:rPr>
        <w:t>We do not rely on mass media advertising or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to drive traffic to our restaurants. We actively engage our fans and guests through a dynamic social media effort that includes email, Twitter, Instagram, TikTok, Facebook, and other platforms. Our social media activity generates significant engagement with our guests and provides our most passionate fans an opportunity to share their enthusiasm with their followers.</w:t>
      </w:r>
    </w:p>
    <w:p>
      <w:pPr>
        <w:spacing w:after="0" w:line="1" w:lineRule="exact"/>
        <w:rPr>
          <w:rFonts w:ascii="Arial" w:cs="Arial" w:eastAsia="Arial" w:hAnsi="Arial"/>
          <w:sz w:val="18"/>
          <w:szCs w:val="18"/>
          <w:color w:val="auto"/>
        </w:rPr>
      </w:pPr>
    </w:p>
    <w:p>
      <w:pPr>
        <w:ind w:left="660" w:right="440" w:hanging="328"/>
        <w:spacing w:after="0" w:line="266"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Enhance Our Off-Premises Guest Experience. </w:t>
      </w:r>
      <w:r>
        <w:rPr>
          <w:rFonts w:ascii="Arial" w:cs="Arial" w:eastAsia="Arial" w:hAnsi="Arial"/>
          <w:sz w:val="18"/>
          <w:szCs w:val="18"/>
          <w:color w:val="auto"/>
        </w:rPr>
        <w:t>We have always been committed to providing our guests with our delicious food,</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and whenever they want it.</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Leverage Our Infrastructure to Drive Profitability. </w:t>
      </w:r>
      <w:r>
        <w:rPr>
          <w:rFonts w:ascii="Arial" w:cs="Arial" w:eastAsia="Arial" w:hAnsi="Arial"/>
          <w:sz w:val="18"/>
          <w:szCs w:val="18"/>
          <w:color w:val="auto"/>
        </w:rPr>
        <w:t>Our attractive business model generates strong operating margins and cash flow. We</w:t>
      </w:r>
      <w:r>
        <w:rPr>
          <w:rFonts w:ascii="Arial" w:cs="Arial" w:eastAsia="Arial" w:hAnsi="Arial"/>
          <w:sz w:val="18"/>
          <w:szCs w:val="18"/>
          <w:b w:val="1"/>
          <w:bCs w:val="1"/>
          <w:color w:val="auto"/>
        </w:rPr>
        <w:t xml:space="preserve"> </w:t>
      </w:r>
      <w:r>
        <w:rPr>
          <w:rFonts w:ascii="Arial" w:cs="Arial" w:eastAsia="Arial" w:hAnsi="Arial"/>
          <w:sz w:val="18"/>
          <w:szCs w:val="18"/>
          <w:color w:val="auto"/>
        </w:rPr>
        <w:t>constantly focus on restaurant-level operations while ensuring that we do not sacrifice the quality and experience for which we are known. Our strong average unit volumes and operational focus give us the ability to manage variable costs and leverage our fixed costs. We believe we will continue to grow revenue and system-wide profitability by executing our growth strategy and leveraging the experience of our existing general managers to lead our new restaurants to drive successful and efficient new openings. Our investments to enhance our multichannel capabilities and drive a frictionless guest order experience are also expected to further leverage our fixed costs. We have made significant investments at the corporate level, which we believe we will leverage in the future, exclusive of the additional costs of operating as a public company.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Team – Human Capital Management</w:t>
      </w:r>
    </w:p>
    <w:p>
      <w:pPr>
        <w:sectPr>
          <w:pgSz w:w="11900" w:h="16868" w:orient="portrait"/>
          <w:cols w:equalWidth="0" w:num="1">
            <w:col w:w="11240"/>
          </w:cols>
          <w:pgMar w:left="320" w:top="121" w:right="339" w:bottom="0" w:gutter="0" w:footer="0" w:header="0"/>
        </w:sectPr>
      </w:pPr>
    </w:p>
    <w:p>
      <w:pPr>
        <w:spacing w:after="0" w:line="26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team member base, as of December 25, 2022, consisted of 8,040 team members. This included 171 Restaurant Support Center (“RSC”) team members, 295 restaurant managers, assistant general managers, and general managers, and 7,489 restaurant hourly team members</w:t>
      </w:r>
    </w:p>
    <w:p>
      <w:pPr>
        <w:sectPr>
          <w:pgSz w:w="11900" w:h="16868" w:orient="portrait"/>
          <w:cols w:equalWidth="0" w:num="1">
            <w:col w:w="11240"/>
          </w:cols>
          <w:pgMar w:left="320" w:top="121" w:right="339" w:bottom="0" w:gutter="0" w:footer="0" w:header="0"/>
          <w:type w:val="continuous"/>
        </w:sectPr>
      </w:pPr>
    </w:p>
    <w:bookmarkStart w:id="7" w:name="page8"/>
    <w:bookmarkEnd w:id="7"/>
    <w:p>
      <w:pPr>
        <w:ind w:right="160"/>
        <w:spacing w:after="0" w:line="286" w:lineRule="auto"/>
        <w:rPr>
          <w:sz w:val="20"/>
          <w:szCs w:val="20"/>
          <w:color w:val="auto"/>
        </w:rPr>
      </w:pPr>
      <w:r>
        <w:rPr>
          <w:rFonts w:ascii="Arial" w:cs="Arial" w:eastAsia="Arial" w:hAnsi="Arial"/>
          <w:sz w:val="18"/>
          <w:szCs w:val="18"/>
          <w:color w:val="auto"/>
        </w:rPr>
        <w:t>in positions such as crew chief, training lead, food production and guest services. We also have 73 hourly team members and 12 managers and above at our commissaries. Our team members are not covered by any collective bargaining agreements.</w:t>
      </w:r>
    </w:p>
    <w:p>
      <w:pPr>
        <w:spacing w:after="0" w:line="181"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Our executives have extensive experience in the restaurant industry. In August 2022, we hired an industry real estate and development executive who comes to Portillo’s with achievements in scaling people, process, and systems in large organizations.</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Board of Directors and Board committees provide oversight on certain human capital programs. The Compensation Committee, with input from management and a third -party compensation consultant who provides benchmarked data, has responsibility for administering and approving compensation, including our incentive and equity-based plans for executive officers. We discuss talent and succession plans annually for key positions and levels including the executive team.</w:t>
      </w:r>
    </w:p>
    <w:p>
      <w:pPr>
        <w:spacing w:after="0" w:line="2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color w:val="auto"/>
        </w:rPr>
        <w:t>Values-Driven, People-Centered Culture</w:t>
      </w:r>
      <w:r>
        <w:rPr>
          <w:rFonts w:ascii="Arial" w:cs="Arial" w:eastAsia="Arial" w:hAnsi="Arial"/>
          <w:sz w:val="18"/>
          <w:szCs w:val="18"/>
          <w:color w:val="231F20"/>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2022, Portillo’s was selected by QSR Magazine as one of the Best Brands to Work For.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we received a Best in Biz Award in the 'Best Place to Work' category. We believe this is attributed to our conviction that our People are the Heart of Portillo’s. We hire and train great people who can turn their obsession for our brand into a profession. Our team members are passionate about our food, love our guests, and call their teammates “family.” And that family is both diverse and inclusive. We strive to foster a sense of individuality, safety, support, belonging and fairness through inclusive practices in talent acquisition, talent management, total rewards and learning and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people-centric culture is centered on working together to create a fun, energetic atmosphere while living our values: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“Family” </w:t>
      </w:r>
      <w:r>
        <w:rPr>
          <w:rFonts w:ascii="Arial" w:cs="Arial" w:eastAsia="Arial" w:hAnsi="Arial"/>
          <w:sz w:val="18"/>
          <w:szCs w:val="18"/>
          <w:color w:val="auto"/>
        </w:rPr>
        <w:t>– We work together to make everyone feel at home, and we step up when someone needs help.</w:t>
      </w:r>
    </w:p>
    <w:p>
      <w:pPr>
        <w:spacing w:after="0" w:line="252" w:lineRule="exact"/>
        <w:rPr>
          <w:sz w:val="20"/>
          <w:szCs w:val="20"/>
          <w:color w:val="auto"/>
        </w:rPr>
      </w:pPr>
    </w:p>
    <w:p>
      <w:pPr>
        <w:ind w:left="660" w:right="540"/>
        <w:spacing w:after="0" w:line="287" w:lineRule="auto"/>
        <w:rPr>
          <w:sz w:val="20"/>
          <w:szCs w:val="20"/>
          <w:color w:val="auto"/>
        </w:rPr>
      </w:pPr>
      <w:r>
        <w:rPr>
          <w:rFonts w:ascii="Arial" w:cs="Arial" w:eastAsia="Arial" w:hAnsi="Arial"/>
          <w:sz w:val="18"/>
          <w:szCs w:val="18"/>
          <w:i w:val="1"/>
          <w:iCs w:val="1"/>
          <w:color w:val="auto"/>
        </w:rPr>
        <w:t xml:space="preserve">“Greatness” </w:t>
      </w:r>
      <w:r>
        <w:rPr>
          <w:rFonts w:ascii="Arial" w:cs="Arial" w:eastAsia="Arial" w:hAnsi="Arial"/>
          <w:sz w:val="18"/>
          <w:szCs w:val="18"/>
          <w:color w:val="auto"/>
        </w:rPr>
        <w:t>– We are obsessed with being the best and work hard to continuously improve. Our greatness is rooted in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Attitude and Cleanliness (“QSAC”).</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“Energy” </w:t>
      </w:r>
      <w:r>
        <w:rPr>
          <w:rFonts w:ascii="Arial" w:cs="Arial" w:eastAsia="Arial" w:hAnsi="Arial"/>
          <w:sz w:val="18"/>
          <w:szCs w:val="18"/>
          <w:color w:val="auto"/>
        </w:rPr>
        <w:t>– We move with urgency and passion, while maintaining attention to detail.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“Fun” </w:t>
      </w:r>
      <w:r>
        <w:rPr>
          <w:rFonts w:ascii="Arial" w:cs="Arial" w:eastAsia="Arial" w:hAnsi="Arial"/>
          <w:sz w:val="18"/>
          <w:szCs w:val="18"/>
          <w:color w:val="auto"/>
        </w:rPr>
        <w:t>– We entertain our guests, we connect authentically, and we make each other smile.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values extend beyond our restaurants, to every Portillo's team member.</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Living these values enforces the culture we’re proud to have built. It’s why we are passionate about attracting and selecting team members who are aligned with our purpose and values, as well as why we established an employee value proposition centered around culture. It’s also why our team members are our best ambassadors and why we’ve seen success with our referral program. Our culture results in top quartile industry retention for management and hourly team members.</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Leadership Development. </w:t>
      </w:r>
      <w:r>
        <w:rPr>
          <w:rFonts w:ascii="Arial" w:cs="Arial" w:eastAsia="Arial" w:hAnsi="Arial"/>
          <w:sz w:val="18"/>
          <w:szCs w:val="18"/>
          <w:color w:val="auto"/>
        </w:rPr>
        <w:t>We provide a full spectrum of resources, from skill building to leadership development, at every level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Our philosophy is to develop people to be ready before a position is open, as opposed to waiting for a position to be open and then training them. We view this investment as fundamental to our growth, building a pipeline of leaders for our future. In 2022, more than 80% of our leadership openings were filled internally.</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committed to continuing education and providing ways for individuals to build their talents. In 2022, Portillo’s invested in LinkedIn Learning for all hourly Crew Chiefs, Restaurant Management, Commissary Team Members and RSC Team Members. This initiative allows us to give additional learning and development opportunities above and beyond job skills or initial leadership development. We have also partnered with Better Up Coaching to give our leaders feedback and opportunities for personal growth.</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ensure everyone has access to our leadership program, we continue to hold quarterly career interest days in all markets, where interested team members hear about opportunities within the company and how to apply for development programs. In addition, we work with team members and managers to build individual development plans with training and experiences, and we hold regularly scheduled development programs throughout the year for each level of leadership. Further, we hold bi-annual talent and succession planning to identify and support individuals with career pathing and development opportunities. In 2022, we also leveraged our training lead program to provide a dedicated team member in each restaurant to oversee station and new initiative training.</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Engagement &amp; Experience. </w:t>
      </w:r>
      <w:r>
        <w:rPr>
          <w:rFonts w:ascii="Arial" w:cs="Arial" w:eastAsia="Arial" w:hAnsi="Arial"/>
          <w:sz w:val="18"/>
          <w:szCs w:val="18"/>
          <w:color w:val="auto"/>
        </w:rPr>
        <w:t>We believe in our team members having a voice to share their ideas, feedback and contribute to organizational</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We continue to partner with Gallup to implement our EverEngaged survey to gather, listen to and act on the team members’ feedback. Our engagement overall score improved in a year where the overall national score declined. Our engagement results for our multi-unit and general managers were in the top quartile scores. Our team members reflected that they know what is expected of them at work and strongly agree they have what they need to do their jobs. These are both foundational to an individual’s engagement and success. We will conduct this survey annually to measure improvement and areas of focus. In addition to the survey, we regularly hold roundtable discussions with team members and stay interviews with leaders to gain insights into ways we can cultivate an energizing, collaborative work environment.</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also prioritized a flexible work environment, addressing work-life flexibility and balance across our different workplaces. In 2022, we implemented a new scheduling system that allows our hourly team members to align their work schedule with their personal schedule, as well as submit schedules, trade shifts and submit all time-off requests in an easier way. For our RSC team members, we provide the option to work remote or at the office, based on personal preference and business needs. We still make sure to build on our culture in this flexible environment. Quarterly, we hold engagement-focused RSC culture weeks to bring the team together for connecting, recognition and development. In the spirit of continuing education, we also have a "no meeting" policy for Friday afternoons. Instead, our team members can use this time for professional development or focused work time. From Memorial Day through Labor Day, team members can also take this time for personal use and get an early start to the weekend.</w:t>
      </w:r>
    </w:p>
    <w:p>
      <w:pPr>
        <w:spacing w:after="0" w:line="21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auto"/>
        </w:rPr>
        <w:t xml:space="preserve">Total Rewards. </w:t>
      </w:r>
      <w:r>
        <w:rPr>
          <w:rFonts w:ascii="Arial" w:cs="Arial" w:eastAsia="Arial" w:hAnsi="Arial"/>
          <w:sz w:val="18"/>
          <w:szCs w:val="18"/>
          <w:color w:val="auto"/>
        </w:rPr>
        <w:t>The physical, financial, and mental well-being of our team members remains our top priority, and we continue to invest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success. We believe in a total rewards philosophy of providing top quartile pay in our restaurants, especially across our leadership positions. We remain focused on compensating our team members equally across gender and race/ethnicity.</w:t>
      </w:r>
    </w:p>
    <w:p>
      <w:pPr>
        <w:sectPr>
          <w:pgSz w:w="11900" w:h="16838" w:orient="portrait"/>
          <w:cols w:equalWidth="0" w:num="1">
            <w:col w:w="11240"/>
          </w:cols>
          <w:pgMar w:left="320" w:top="121" w:right="339" w:bottom="0" w:gutter="0" w:footer="0" w:header="0"/>
        </w:sectPr>
      </w:pPr>
    </w:p>
    <w:bookmarkStart w:id="8" w:name="page9"/>
    <w:bookmarkEnd w:id="8"/>
    <w:p>
      <w:pPr>
        <w:ind w:right="120"/>
        <w:spacing w:after="0" w:line="262" w:lineRule="auto"/>
        <w:rPr>
          <w:sz w:val="20"/>
          <w:szCs w:val="20"/>
          <w:color w:val="auto"/>
        </w:rPr>
      </w:pPr>
      <w:r>
        <w:rPr>
          <w:rFonts w:ascii="Arial" w:cs="Arial" w:eastAsia="Arial" w:hAnsi="Arial"/>
          <w:sz w:val="18"/>
          <w:szCs w:val="18"/>
          <w:color w:val="auto"/>
        </w:rPr>
        <w:t>This commitment is evidenced by our investment in our compensation packages and robust suite of benefit offerings. In 2022, we increased base hourly pay across many of our geographies and all of our restaurant management positions. Additionally, we enhanced our benefits with parental leave and reduced healthcare premiums for our hourly team members. To prioritize overall well-being, we also continue to enhance our wellness platform to provide fitness and other programs that promote wellness of the whole individual.</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all of our team members should act like owners of the Company, and we are committed to providing all team members with an ownership opportunity. To that end, in 2022, we implemented our Employee Stock Purchase Plan ("ESPP"), internally referred to as "Beef Stock." Eligible employees can contribute up to 15% of their gross base earnings for purchases under the ESPP through regular payroll deductions, subject to an annual maximum dollar amount. In addition to our Beef Stock program, all restaurant team members who are newly hired or promoted to a General Manager role become eligible for our long-term equity incentive plan. In 2023, many of our leaders will receive annual grants providing our team with opportunities to own shares, which supports retention of key team members.</w:t>
      </w:r>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color w:val="auto"/>
        </w:rPr>
        <w:t xml:space="preserve">Diversity, Equity, Inclusion and Belonging. </w:t>
      </w:r>
      <w:r>
        <w:rPr>
          <w:rFonts w:ascii="Arial" w:cs="Arial" w:eastAsia="Arial" w:hAnsi="Arial"/>
          <w:sz w:val="18"/>
          <w:szCs w:val="18"/>
          <w:color w:val="auto"/>
        </w:rPr>
        <w:t>At Portillo’s, we embrace Diversity, Equity, Inclusion and Belonging ("DEIB") through our core</w:t>
      </w:r>
      <w:r>
        <w:rPr>
          <w:rFonts w:ascii="Arial" w:cs="Arial" w:eastAsia="Arial" w:hAnsi="Arial"/>
          <w:sz w:val="18"/>
          <w:szCs w:val="18"/>
          <w:b w:val="1"/>
          <w:bCs w:val="1"/>
          <w:color w:val="auto"/>
        </w:rPr>
        <w:t xml:space="preserve"> </w:t>
      </w:r>
      <w:r>
        <w:rPr>
          <w:rFonts w:ascii="Arial" w:cs="Arial" w:eastAsia="Arial" w:hAnsi="Arial"/>
          <w:sz w:val="18"/>
          <w:szCs w:val="18"/>
          <w:color w:val="auto"/>
        </w:rPr>
        <w:t>values of Family, Greatness, Energy and Fun. These values are engrained in everything we do as a company, and they guide how we support our Portillo's family.</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past year we launched our DEIB initiative. The DEIB initiative is sponsored by two members from our executive leadership team and one sponsor from our Board of Directors. It is then guided by a DEIB Advisory Group, which reviews programs ideated by our 10-member DEIB committee. This cross-company working group is building the framework for programs that support a diverse workforce. This includes increased awareness and education of our team members, with courses such as Unconscious Bias. We've also expanded our recruiting efforts to encourage members of underserved communities, such as military veterans, to join the Portillo's family.</w:t>
      </w:r>
    </w:p>
    <w:p>
      <w:pPr>
        <w:spacing w:after="0" w:line="20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Heart of Portillo's Foundation. </w:t>
      </w:r>
      <w:r>
        <w:rPr>
          <w:rFonts w:ascii="Arial" w:cs="Arial" w:eastAsia="Arial" w:hAnsi="Arial"/>
          <w:sz w:val="18"/>
          <w:szCs w:val="18"/>
          <w:color w:val="auto"/>
        </w:rPr>
        <w:t>We care deeply about our people and believe that by taking care of our team members, they will in turn take</w:t>
      </w:r>
      <w:r>
        <w:rPr>
          <w:rFonts w:ascii="Arial" w:cs="Arial" w:eastAsia="Arial" w:hAnsi="Arial"/>
          <w:sz w:val="18"/>
          <w:szCs w:val="18"/>
          <w:b w:val="1"/>
          <w:bCs w:val="1"/>
          <w:color w:val="auto"/>
        </w:rPr>
        <w:t xml:space="preserve"> </w:t>
      </w:r>
      <w:r>
        <w:rPr>
          <w:rFonts w:ascii="Arial" w:cs="Arial" w:eastAsia="Arial" w:hAnsi="Arial"/>
          <w:sz w:val="18"/>
          <w:szCs w:val="18"/>
          <w:color w:val="auto"/>
        </w:rPr>
        <w:t>care of our guests. In June 2020, we started the “Heart of Portillo’s Fund,” an IRC section 501(c)(3) charitable fund, within the Portillo’s organization that raised over $350,000 to provide emergency assistance to team members in need in 2022. In 2022, the fund awarded over 40 grants and has provided support to team members for expenses following illness or injury, the unexpected death of a family member and other financial hardships.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Sourcing and Supply Chain</w:t>
      </w:r>
    </w:p>
    <w:p>
      <w:pPr>
        <w:spacing w:after="0" w:line="26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are committed to maintaining our high-quality food standards leveraging the ability to acquire fresh ingredients that meet our stringent specifications. We partner with a variety of companies that are similarly aligned with producing and providing high quality products.</w:t>
      </w:r>
    </w:p>
    <w:p>
      <w:pPr>
        <w:spacing w:after="0" w:line="1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supply chain approach is based on alignment with key strategic partners that are identified through a comprehensive evaluation process to ensure our standards and expectations are met on a continual basis. This platform affords our organization the opportunity for real time performance assessments to identify any potential gaps and implement corrective measures where required. Robust contingency platforms are reviewed and updated on a regular basis to provide assured supply of products and services for the organization. Through a risk assessment strategy, the supply chain team will identify areas critical to supporting the restaurants and any necessary adjustments or alternate programs are undertaken. While we are actively working to mitigate any effects of supply chain constraints, such constraints could result in higher food and beverage cost associated with general increases in input price levels as well as increased product substitutions and elevated freight costs. While we have not experienced significant supply chain disruptions since the COVID-19 pandemic, we have experienced limited product shortages in our supply chain at certain times.</w:t>
      </w:r>
    </w:p>
    <w:p>
      <w:pPr>
        <w:spacing w:after="0" w:line="2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Supplier and distribution partners are managed under both a code of conduct and a pricing protocol that provides transparent insight to costing mechanisms. In addition, we engage directly with manufacturers to ensure compliance with negotiated contract pricing and requisite volume expectations. Our distribution network is comprised of several independently operated partners aligned under the UniPro umbrella, the largest food service distribution cooperative in the United States. This strategy affords us the opportunity to align with right-sized organizations that are dedicated to us which allows us to leverage volume and scale for a competitive advantage and exceptional customer service.</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operate two commissaries that we leverage to supply our network of restaurants with several of our most iconic products and ensure product consistency and quality. Our commissaries produce our signature beef, peppers and gravy for our Italian beef sandwiches. The prepared ingredients are shipped to our restaurants where our team members will finish the preparation in our kitchens to serve our guests.</w:t>
      </w:r>
    </w:p>
    <w:p>
      <w:pPr>
        <w:spacing w:after="0" w:line="19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Quality and food safety are paramount to protecting our brand and are treated with the utmost priority. Our supplier and distribution partners participate in third party audits to ensure all applicable quality system expectations are being met. Our commissaries also undergo food safety and quality audits on a regular basis.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Competition</w:t>
      </w:r>
    </w:p>
    <w:p>
      <w:pPr>
        <w:spacing w:after="0" w:line="2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compete in the highly competitive and fragmented restaurant industry. We compete primarily with quick service and fast casual concepts, and to a lesser extent, full-service restaurants. The number, size and strength of competitors vary by region. Our competition in these segments includes a variety of small locally owned restaurants, medium-sized regional restaurant concepts, and larger national restaurant concepts that provide some combination of dine-in, carry-out, drive thru and delivery services to their guests. We believe competition with these restaurants is based primarily on food quality, taste, ambiance, convenience, service speed, price and value.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Intellectual Property</w:t>
      </w:r>
    </w:p>
    <w:p>
      <w:pPr>
        <w:spacing w:after="0" w:line="261"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Our intellectual property includes our trademarks and service marks registered with the United States Patent and Trademark Office (including Portillo’s ® and other names used by our restaurants), the trade dress of our restaurants, our websites and domain names (including our website at portillos.com and other websites and domain names used by our restaurants) and other unregistered intellectual property.</w:t>
      </w:r>
    </w:p>
    <w:p>
      <w:pPr>
        <w:sectPr>
          <w:pgSz w:w="11900" w:h="16838" w:orient="portrait"/>
          <w:cols w:equalWidth="0" w:num="1">
            <w:col w:w="11220"/>
          </w:cols>
          <w:pgMar w:left="320" w:top="364" w:right="359" w:bottom="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D22630"/>
        </w:rPr>
        <w:t>Governmental Regulation and Environmental Matters</w:t>
      </w:r>
    </w:p>
    <w:p>
      <w:pPr>
        <w:sectPr>
          <w:pgSz w:w="11900" w:h="16838" w:orient="portrait"/>
          <w:cols w:equalWidth="0" w:num="1">
            <w:col w:w="11220"/>
          </w:cols>
          <w:pgMar w:left="320" w:top="364" w:right="359" w:bottom="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Regulation and Compliance</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subject to extensive federal, state and local government regulation, including those relating to, among others, public health and safety, nutritional content labeling, zoning and fire codes, environmental protection, and employment regulations. Failure to obtain or retain food or other licenses and registrations or exemptions would adversely affect the operations of restaurants. Additionally, any difficulties, delays or failures in obtaining licenses, permits, registrations, exemptions, or approvals could delay or prevent the opening of, or adversely impact the viability of, a restaurant in a particular area.</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development of additional restaurants will be subject to compliance with applicable regulations, including those relating to zoning, land use, water quality and retention, and environment. We believe federal and state environmental regulations have not had a material effect on operations, but more stringent and varied requirements of local government bodies with respect to zoning, land use and environmental factors, among others, could delay construction and increase development costs for new restaurants.</w:t>
      </w:r>
    </w:p>
    <w:p>
      <w:pPr>
        <w:spacing w:after="0" w:line="20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also subject to the Fair Labor Standards Act, the Immigration Reform and Control Act of 1986 and various federal, state and local laws governing such matters as minimum wages, exempt versus non-exempt, overtime, unemployment tax rates, workers’ compensation rates, citizenship requirements and other working conditions. Our team members are all paid more than the applicable minimum wage in the area where they work, and increases in federal or state minimum wages or unemployment benefits may result in increases in the wage rates paid. We are also subject to the Americans with Disabilities Act (the “ADA”), which prohibits discrimination on the basis of disability in public accommodations and employment, which may require us to design or modify our restaurants to make reasonable accommodations for disabled persons.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the various risks we face from regulation and compliance matters, see Part I, 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Seasonality</w:t>
      </w:r>
    </w:p>
    <w:p>
      <w:pPr>
        <w:spacing w:after="0" w:line="26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business is subject to seasonal fluctuations in that our revenues are typically nominally higher during the second, third and fourth quarters of the fiscal year. Our quarterly results have been and will continue to be affected by the timing of new restaurant openings and their associated pre-opening expenses. As a result of these factors, our financial results for any single quarter or for periods of less than a year are not necessarily indicative of the results that may be achieved for a full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Available Information</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website is located at www.portillos.com, and our investor relations website is located at http://investors.portillos.com. We are subject to the informational requirements of the Securities Exchange Act of 1934 (the "Exchange Act") and file or furnish reports, proxy statements and other information with the U.S. Securities and Exchange Commission ("SEC"). Our Annual Reports on Form 10-K, Quarterly Reports on Form 10-Q, Current Reports on Form 8-K, proxy statements, statements of changes in beneficial ownership and amendments to those reports are available for free on our investor relations website as soon as reasonably practicable after we electronically file them with, or furnish them to, the SEC. The SEC maintains a website (www.sec.gov) that contains reports, proxy and information statements and other information regarding issuers that file electronically with the SEC.</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as part of our investor relations website. Investors and others can receive notifications of new information posted on our investor relations website in real time by subscribing to email alerts. We also make certain corporate governance documents available on our investor relations website, including our corporate governance guidelines, board committee charters, and code of business conduct.</w:t>
      </w:r>
    </w:p>
    <w:p>
      <w:pPr>
        <w:spacing w:after="0" w:line="20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contents of our website are not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1A.</w:t>
        <w:tab/>
        <w:t>RISK FACTORS</w:t>
      </w:r>
    </w:p>
    <w:p>
      <w:pPr>
        <w:spacing w:after="0" w:line="1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Described below are risks that we believe apply to our business and the industry in which we operate. You should carefully consider each of the following risk factors in conjunction with other information provided in this Annual Report on Form 10-K and in our other public disclosures. The risks described below highlight potential events, trends or other circumstances that could adversely affect our business, financial condition, results of operations, cash flows, liquidity or access to sources of financing, and consequently, the market value of our Class A common stock. These risks could cause our future results to differ materially from historical results and from guidance we may provide regarding our expectations of future financial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Summary Risk Factors</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and results of operations. These risks are discussed more fully below and include, but are not limited to the following: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Growth Strategies</w:t>
      </w:r>
    </w:p>
    <w:p>
      <w:pPr>
        <w:spacing w:after="0" w:line="27" w:lineRule="exact"/>
        <w:rPr>
          <w:sz w:val="20"/>
          <w:szCs w:val="20"/>
          <w:color w:val="auto"/>
        </w:rPr>
      </w:pPr>
    </w:p>
    <w:p>
      <w:pPr>
        <w:ind w:left="340" w:right="32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financial condition and results of operations have been and may continue to be adversely affected by the COVID-19 pandemic or future pandemics or disease outbreaks.</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vulnerable to changes in economic conditions, increases in food and commodity costs and consumer preferences.</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unsuccessful in opening new restaurants or establishing new markets and our new restaurants may not perform as well as anticipated, may not be profitable or may close.</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open new restaurants, and the ongoing need for capital expenditures at our existing restaurants, require us to spend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same-restaurant sales may be lower than we expect in future periods.</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marketing programs and any limited time or seasonal offerings may not be successful and could fail to meet expectations, and our new menu items, advertising campaigns, heavy reliance on social media and restaurant designs and remodels may not generate increased sales or profits.</w:t>
      </w:r>
    </w:p>
    <w:p>
      <w:pPr>
        <w:spacing w:after="0" w:line="1" w:lineRule="exact"/>
        <w:rPr>
          <w:rFonts w:ascii="Arial" w:cs="Arial" w:eastAsia="Arial" w:hAnsi="Arial"/>
          <w:sz w:val="18"/>
          <w:szCs w:val="18"/>
          <w:color w:val="auto"/>
        </w:rPr>
      </w:pPr>
    </w:p>
    <w:p>
      <w:pPr>
        <w:ind w:left="340" w:right="64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Incidents involving food-borne illness and food safety, including food tampering or contamination could adversely affect our brand perception.</w:t>
      </w:r>
    </w:p>
    <w:p>
      <w:pPr>
        <w:ind w:left="340" w:right="2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for guests, and our inability to compete effectively may affect our traffic, our sales and our operating profit margins.</w:t>
      </w:r>
    </w:p>
    <w:p>
      <w:pPr>
        <w:ind w:left="340" w:right="18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restaurant base is geographically concentrated in the Midwestern United States, and we could be negatively affected by conditions specific to that region.</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Damage to our reputation and negative publicity.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digital and delivery business, and expansion thereof, is uncertain and subject to risk.</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prolonged disruption in the operations of our two commissaries could harm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on our executive officers and certain other key team members, the loss of whom could have a material adverse effect.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maintain our corporate culture as we grow could have a material adverse effect on our business.</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Matters relating to employment and labor law could have a material adverse effect, result in litigation or union activities, add significant costs and divert management attention.</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quality, labor shortages or increased labor costs could have a material adverse effect.</w:t>
      </w:r>
    </w:p>
    <w:p>
      <w:pPr>
        <w:spacing w:after="0" w:line="9" w:lineRule="exact"/>
        <w:rPr>
          <w:rFonts w:ascii="Arial" w:cs="Arial" w:eastAsia="Arial" w:hAnsi="Arial"/>
          <w:sz w:val="18"/>
          <w:szCs w:val="18"/>
          <w:color w:val="auto"/>
        </w:rPr>
      </w:pPr>
    </w:p>
    <w:p>
      <w:pPr>
        <w:ind w:left="340" w:right="22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risks associated with leasing property subject to long-term and non-cancelable leases and may be unable to renew leases at the end of their terms.</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subject to risks related to our sale of alcoholic beverages.</w:t>
      </w:r>
    </w:p>
    <w:p>
      <w:pPr>
        <w:spacing w:after="0" w:line="9" w:lineRule="exact"/>
        <w:rPr>
          <w:rFonts w:ascii="Arial" w:cs="Arial" w:eastAsia="Arial" w:hAnsi="Arial"/>
          <w:sz w:val="18"/>
          <w:szCs w:val="18"/>
          <w:color w:val="auto"/>
        </w:rPr>
      </w:pPr>
    </w:p>
    <w:p>
      <w:pPr>
        <w:ind w:left="340" w:right="18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impairment in the carrying value of our goodwill, indefinite-lived intangible assets or long-lived assets could have a material adverse effect on our business.</w:t>
      </w:r>
    </w:p>
    <w:p>
      <w:pPr>
        <w:ind w:left="340" w:right="280" w:hanging="332"/>
        <w:spacing w:after="0" w:line="250"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disasters, unusual weather conditions, pandemic outbreaks, political events, war and terrorism could disrupt our business and result in lower sales, increased operating costs and capital expenditures.</w:t>
      </w:r>
    </w:p>
    <w:p>
      <w:pPr>
        <w:ind w:left="340" w:right="200" w:hanging="332"/>
        <w:spacing w:after="0" w:line="266" w:lineRule="auto"/>
        <w:tabs>
          <w:tab w:leader="none" w:pos="3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focus on environmental sustainability and social initiatives could increase our costs, harm our reputation, and adversely impact our financial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7" w:lineRule="exact"/>
        <w:rPr>
          <w:sz w:val="20"/>
          <w:szCs w:val="20"/>
          <w:color w:val="auto"/>
        </w:rPr>
      </w:pPr>
    </w:p>
    <w:p>
      <w:pPr>
        <w:ind w:left="340" w:right="180" w:hanging="332"/>
        <w:spacing w:after="0" w:line="266" w:lineRule="auto"/>
        <w:tabs>
          <w:tab w:leader="none" w:pos="3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level of indebtedness could have a material adverse effect on our business and limit our ability to plan for or respond to changes in our business.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right="20" w:hanging="332"/>
        <w:spacing w:after="0" w:line="287" w:lineRule="auto"/>
        <w:tabs>
          <w:tab w:leader="none" w:pos="3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generate sufficient cash flow to satisfy our debt service obligations or experience a downgrade in our credit ratings, which would have a material adverse effect on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interests of Berkshire may conflict with our interests or the interests of the holders of our Class A common stock in the future.</w:t>
      </w:r>
    </w:p>
    <w:p>
      <w:pPr>
        <w:spacing w:after="0" w:line="9" w:lineRule="exact"/>
        <w:rPr>
          <w:rFonts w:ascii="Arial" w:cs="Arial" w:eastAsia="Arial" w:hAnsi="Arial"/>
          <w:sz w:val="18"/>
          <w:szCs w:val="18"/>
          <w:color w:val="auto"/>
        </w:rPr>
      </w:pPr>
    </w:p>
    <w:p>
      <w:pPr>
        <w:ind w:left="340" w:right="56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Delaware law and our organizational documents, as well as our existing and future debt agreements, may impede or discourage a takeover, which could deprive our investors of the opportunity to receive a premium for their shares.</w:t>
      </w:r>
    </w:p>
    <w:p>
      <w:pPr>
        <w:ind w:left="340" w:right="2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a holding company and our principal asset is our ownership of LLC Units in Portillo’s OpCo, and we are accordingly dependent upon distributions from Portillo’s OpCo to pay dividends, if any, and taxes, make payments under the Tax Receivable Agreement and pay other expenses.</w:t>
      </w:r>
    </w:p>
    <w:p>
      <w:pPr>
        <w:spacing w:after="0" w:line="1" w:lineRule="exact"/>
        <w:rPr>
          <w:rFonts w:ascii="Arial" w:cs="Arial" w:eastAsia="Arial" w:hAnsi="Arial"/>
          <w:sz w:val="18"/>
          <w:szCs w:val="18"/>
          <w:color w:val="auto"/>
        </w:rPr>
      </w:pPr>
    </w:p>
    <w:p>
      <w:pPr>
        <w:ind w:left="340" w:right="78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certain circumstances, Portillo’s OpCo will be required to make distributions to us and the other holders of LLC Units, and the distributions that Portillo’s OpCo will be required to make may be substantial.</w:t>
      </w:r>
    </w:p>
    <w:p>
      <w:pPr>
        <w:ind w:left="340" w:right="36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Tax Receivable Agreement with the TRA Parties requires us to make cash payments to them in respect of certain tax benefits to which we may become entitled, and we expect that the payments we are required to make will be substantial.</w:t>
      </w:r>
    </w:p>
    <w:p>
      <w:pPr>
        <w:ind w:left="340" w:right="10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organizational structure, including the Tax Receivable Agreement, confers certain benefits upon the TRA Parties that will not benefit holders of our Class A common stock to the same extent that it will benefit the TRA Parties.</w:t>
      </w:r>
    </w:p>
    <w:p>
      <w:pPr>
        <w:ind w:left="340" w:right="12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certain cases, payments under the Tax Receivable Agreement to the TRA Parties may be accelerated or significantly exceed any actual benefits we realize in respect of the tax attributes subject to the Tax Receivable Agreement may impair our ability to consummate change of control transactions or negatively impact the value received by owners of our Class A common stock.</w:t>
      </w:r>
    </w:p>
    <w:p>
      <w:pPr>
        <w:spacing w:after="0" w:line="1" w:lineRule="exact"/>
        <w:rPr>
          <w:rFonts w:ascii="Arial" w:cs="Arial" w:eastAsia="Arial" w:hAnsi="Arial"/>
          <w:sz w:val="18"/>
          <w:szCs w:val="18"/>
          <w:color w:val="auto"/>
        </w:rPr>
      </w:pPr>
    </w:p>
    <w:p>
      <w:pPr>
        <w:ind w:left="340" w:right="420" w:hanging="332"/>
        <w:spacing w:after="0" w:line="250"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not be reimbursed for any payments made to the TRA Parties under the Tax Receivable Agreement in the event that any tax benefits are disallowed.</w:t>
      </w:r>
    </w:p>
    <w:p>
      <w:pPr>
        <w:ind w:left="340" w:right="60" w:hanging="332"/>
        <w:spacing w:after="0" w:line="258" w:lineRule="auto"/>
        <w:tabs>
          <w:tab w:leader="none" w:pos="3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were deemed to be an investment company under the Investment Company Act of 1940, as amended (the “1940 Act”), as a result of our ownership of Portillo’s OpCo, applicable restrictions could make it impractical for us to continue our business as contemplated and could have a material adverse effect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Information Technology, and Data Security</w:t>
      </w:r>
    </w:p>
    <w:p>
      <w:pPr>
        <w:spacing w:after="0" w:line="2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to protect and maintain our intellectual property, including our trademarks, could have a material adverse effect.</w:t>
      </w:r>
    </w:p>
    <w:p>
      <w:pPr>
        <w:spacing w:after="0" w:line="9" w:lineRule="exact"/>
        <w:rPr>
          <w:rFonts w:ascii="Arial" w:cs="Arial" w:eastAsia="Arial" w:hAnsi="Arial"/>
          <w:sz w:val="18"/>
          <w:szCs w:val="18"/>
          <w:color w:val="auto"/>
        </w:rPr>
      </w:pPr>
    </w:p>
    <w:p>
      <w:pPr>
        <w:ind w:left="340" w:right="560" w:hanging="332"/>
        <w:spacing w:after="0" w:line="250" w:lineRule="auto"/>
        <w:tabs>
          <w:tab w:leader="none" w:pos="3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breaches, system interruptions or a material failure could negatively impact our business by causing disruption to our operations, a compromise of confidential guest information or team member information and could subject us to loss and harm our business.</w:t>
      </w:r>
    </w:p>
    <w:p>
      <w:pPr>
        <w:spacing w:after="0" w:line="1" w:lineRule="exact"/>
        <w:rPr>
          <w:rFonts w:ascii="Arial" w:cs="Arial" w:eastAsia="Arial" w:hAnsi="Arial"/>
          <w:sz w:val="18"/>
          <w:szCs w:val="18"/>
          <w:color w:val="auto"/>
        </w:rPr>
      </w:pPr>
    </w:p>
    <w:p>
      <w:pPr>
        <w:ind w:left="340" w:right="780" w:hanging="332"/>
        <w:spacing w:after="0" w:line="250" w:lineRule="auto"/>
        <w:tabs>
          <w:tab w:leader="none" w:pos="3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comply with existing or new federal and state laws and regulations relating to privacy, data protection, advertising and consumer protection could have a material adverse effect.</w:t>
      </w:r>
    </w:p>
    <w:p>
      <w:pPr>
        <w:ind w:left="340" w:right="620" w:hanging="332"/>
        <w:spacing w:after="0" w:line="266" w:lineRule="auto"/>
        <w:tabs>
          <w:tab w:leader="none" w:pos="3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with respect to intellectual property, if decided against us, may result in competing uses or require adoption of new, non-infringing intellectual property, which may in turn adversely affect sales and revenues.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many federal, state and local laws with which compliance can be both costly and complex.</w:t>
      </w:r>
    </w:p>
    <w:p>
      <w:pPr>
        <w:spacing w:after="0" w:line="9" w:lineRule="exact"/>
        <w:rPr>
          <w:rFonts w:ascii="Arial" w:cs="Arial" w:eastAsia="Arial" w:hAnsi="Arial"/>
          <w:sz w:val="18"/>
          <w:szCs w:val="18"/>
          <w:color w:val="auto"/>
        </w:rPr>
      </w:pPr>
    </w:p>
    <w:p>
      <w:pPr>
        <w:ind w:left="340" w:right="320" w:hanging="332"/>
        <w:spacing w:after="0" w:line="250" w:lineRule="auto"/>
        <w:tabs>
          <w:tab w:leader="none" w:pos="3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party to litigation that could distract management, increase our expenses or subject us to material monetary damages or other remedies.</w:t>
      </w: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can incur liabilities arising from environmental laws and compliance with environmental laws could increase our operating expenses.</w:t>
      </w:r>
    </w:p>
    <w:p>
      <w:pPr>
        <w:spacing w:after="0" w:line="9" w:lineRule="exact"/>
        <w:rPr>
          <w:rFonts w:ascii="Arial" w:cs="Arial" w:eastAsia="Arial" w:hAnsi="Arial"/>
          <w:sz w:val="18"/>
          <w:szCs w:val="18"/>
          <w:color w:val="auto"/>
        </w:rPr>
      </w:pPr>
    </w:p>
    <w:p>
      <w:pPr>
        <w:ind w:left="340" w:right="160" w:hanging="332"/>
        <w:spacing w:after="0" w:line="266" w:lineRule="auto"/>
        <w:tabs>
          <w:tab w:leader="none" w:pos="3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maintain effective internal controls over financial reporting, our ability to produce timely and accurate financial information or comply with Section 404 of the Sarbanes-Oxley Act of 2002 could be impaired, which could have a material adverse effect.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7" w:lineRule="exact"/>
        <w:rPr>
          <w:sz w:val="20"/>
          <w:szCs w:val="20"/>
          <w:color w:val="auto"/>
        </w:rPr>
      </w:pPr>
    </w:p>
    <w:p>
      <w:pPr>
        <w:ind w:left="340" w:right="160" w:hanging="332"/>
        <w:spacing w:after="0" w:line="250" w:lineRule="auto"/>
        <w:tabs>
          <w:tab w:leader="none" w:pos="3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tax obligations and effective tax rate and realization of our deferred tax assets may result in volatility of our results of operations.</w:t>
      </w: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insurance may not provide adequate levels of coverage against claims.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 applicable to us could have a material adverse effect.</w:t>
      </w:r>
    </w:p>
    <w:p>
      <w:pPr>
        <w:spacing w:after="0" w:line="9" w:lineRule="exact"/>
        <w:rPr>
          <w:rFonts w:ascii="Arial" w:cs="Arial" w:eastAsia="Arial" w:hAnsi="Arial"/>
          <w:sz w:val="18"/>
          <w:szCs w:val="18"/>
          <w:color w:val="auto"/>
        </w:rPr>
      </w:pPr>
    </w:p>
    <w:p>
      <w:pPr>
        <w:ind w:left="340" w:right="380" w:hanging="332"/>
        <w:spacing w:after="0" w:line="250" w:lineRule="auto"/>
        <w:tabs>
          <w:tab w:leader="none" w:pos="3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designates the Court of Chancery of the State of Delaware as the sole and exclusive forum for certain types of actions that may be initiated by our shareholders, and designates the federal district courts of the United States as the sole and exclusive forum for claims arising under the Securities Act, which, in each case could limit our shareholders’ ability to obtain a favorable judicial forum for certain disputes.</w:t>
      </w:r>
    </w:p>
    <w:p>
      <w:pPr>
        <w:spacing w:after="0" w:line="1" w:lineRule="exact"/>
        <w:rPr>
          <w:rFonts w:ascii="Arial" w:cs="Arial" w:eastAsia="Arial" w:hAnsi="Arial"/>
          <w:sz w:val="18"/>
          <w:szCs w:val="18"/>
          <w:color w:val="auto"/>
        </w:rPr>
      </w:pPr>
    </w:p>
    <w:p>
      <w:pPr>
        <w:ind w:left="340" w:right="60" w:hanging="332"/>
        <w:spacing w:after="0" w:line="250" w:lineRule="auto"/>
        <w:tabs>
          <w:tab w:leader="none" w:pos="3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public company, we incur significant costs to comply with the laws and regulations affecting public companies which could harm our business and results of operations.</w:t>
      </w:r>
    </w:p>
    <w:p>
      <w:pPr>
        <w:ind w:left="340" w:right="40" w:hanging="332"/>
        <w:spacing w:after="0" w:line="258" w:lineRule="auto"/>
        <w:tabs>
          <w:tab w:leader="none" w:pos="3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and quarterly results of operations may fluctuate, and if our operating and financial performance in any given period does not meet the guidance that we have provided to the public or the expectations of our investors and securities analysts, the trading price of our Class A common stock may decline.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Our Business, Industry and Growth Strategies</w:t>
      </w:r>
    </w:p>
    <w:p>
      <w:pPr>
        <w:spacing w:after="0" w:line="263"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b w:val="1"/>
          <w:bCs w:val="1"/>
          <w:i w:val="1"/>
          <w:iCs w:val="1"/>
          <w:color w:val="auto"/>
        </w:rPr>
        <w:t>Our financial condition and results of operations have been and may continue to be adversely affected by the COVID-19 pandemic or future pandemics or disease outbreaks.</w:t>
      </w:r>
    </w:p>
    <w:p>
      <w:pPr>
        <w:spacing w:after="0" w:line="16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COVID-19 was officially declared a global pandemic by the World Health Organization in March 2020, and the virus and its variants have caused businesses, including our business, as well as federal, state and local governments to implement significant actions to attempt to mitigate this public health crisis in the United States. Our operations have been impacted by the COVID-19 pandemic. Future pandemics (or epidemics on a local basis) could have a similar impact on our business.</w:t>
      </w:r>
    </w:p>
    <w:p>
      <w:pPr>
        <w:spacing w:after="0" w:line="20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2020 and early 2021, in response to the COVID-19 pandemic and government restrictions, we were required to close or restrict our dining rooms, but were able to continue to operate our drive-thru and delivery channels. The mobility restrictions, fear of contracting COVID-19 and the sharp increase in unemployment caused by the closure of businesses in response to the COVID-19 pandemic, have adversely affected and may continue to adversely affect our guest traffic, which in turn adversely impacts our business, financial condition or results of operations. Even as the mobility restrictions were loosened or lifted, some guests remained reluctant to return to in-restaurant dining and the impact of lost wages due to COVID-19 related unemployment dampened consumer spending. Our restaurant operations have been and could continue to be adversely affected by employees who are unable or unwilling to work, whether because of illness, quarantine, fear of contracting COVID-19 or caring for family members due to COVID-19 disruptions or illness. Restaurant closures, limited service options or modified hours of operation due to staffing shortages could materially adversely affect our business, liquidity, financial condition or results of operations.</w:t>
      </w:r>
    </w:p>
    <w:p>
      <w:pPr>
        <w:spacing w:after="0" w:line="21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extent of the impact of the COVID-19 pandemic on our operations and financial results depends on future developments and is highly uncertain due to the unknown duration and severity of the outbreak, including the potential impact of future COVID-19 variants. All of our restaurants are currently operating in all sales channels. We are actively monitoring the situation and will adopt policies in accordance with state and local regulations at the appropriate time to ensure we are acting in the best interest of our team members, customers, suppliers, and shareholders; however, any failure to comply with, or difficulty maintaining staffing levels due to governmental rules or regulations may have a material adverse impact on our business, financial condition and results of operations.</w:t>
      </w:r>
    </w:p>
    <w:p>
      <w:pPr>
        <w:spacing w:after="0" w:line="20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COVID-19 pandemic or other infectious diseases may also have the effect of heightening other risks, including, but not limited to, those related to our growth strategy, our liquidity and ability to service our debt obligations, comply with debt covenants, access to capital markets and other funding sources, changes in consumer spending behaviors, supply chain interruptions and/or commodity price increases.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vulnerable to changes in economic conditions, increases in food and commodity costs and consumer preferences.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volatility in food and commodity costs and availability. Accordingly, our profitability depends in part on our ability to</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anticipate and react to changes in food and commodity costs and availability. As is true of all companies in the restaurant industry, we are susceptible to increases in food and commodity costs that are outside of our control. Factors that can impact food and commodity costs</w:t>
      </w:r>
    </w:p>
    <w:p>
      <w:pPr>
        <w:spacing w:after="0" w:line="1"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include general economic conditions, inflation, labor shortages, seasonal fluctuations, weather and climate conditions, energy costs, global demand, trade protections and subsidies, food safety issues, infectious diseases, possible terrorist activity, cyberattacks, transportation issues, currency fluctuations, product recalls, and government regulatory schemes.</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Changes in the price or availability of certain food products, including as a result of the recent inflationary environment and the COVID-19 pandemic, among other things, have affected and could continue to affect our profitability and reputation. While a portion of the commodities we purchase are subject to contract pricing, as our contracts expire we may not be able to successfully re-negotiate terms that protect us from price inflation in the future or the portion not covered by contact pricing might increase unexpectedly, creating price inflation we have not planned for. Furthermore, we experienced 15.2% commodity price inflation for the year ended December 25, 2022 compared to the year ended December 26, 2021.</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event of cost increases with respect to one or more of our raw ingredients, we may choose to temporarily suspend or permanently discontinue serving menu items rather than paying the increased cost for the ingredients. Any such changes to our available menu could negatively impact our restaurant traffic, business and results of operations during the shortage and thereafter. While future cost increases can be partially offset by menu price increases, there can be no assurance that we will be able to offset all future cost increases by such menu price increases. If we implement menu price increases, there can be no assurance that increased menu prices will be fully absorbed by our guests without any resulting change to their visit frequencies or purchasing patterns. Competitive conditions may limit our menu pricing flexibility and if we implement menu price increases to protect our margins, restaurant traffic could be materially adversely affected.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restaurant industry depends on consumer discretionary spending and is often affected by changes in consumer tastes, and national, regional and local economic conditions and demographic trends, including changes in behavior caused by the COVID-19 pandemic. In addition, factors such as traffic patterns, weather, fuel prices, local demographics, local regulations and the type, number and locations of competing restaurants may adversely affect the performances of our individual locations. In addition, economic downturns, inflation or increased food or energy costs could harm the restaurant industry generally and our restaurants in particular. Our profitability also depends, in part, on our ability to anticipate and react to changes in the cost of sales of, among other things, pork, beef, chicken, potatoes, bread, and produce items. Adverse changes in any of these factors could reduce consumer traffic or impose practical limits on pricing that could have a material adverse effect on our business, financial condition and results of operations.</w:t>
      </w:r>
    </w:p>
    <w:p>
      <w:pPr>
        <w:spacing w:after="0" w:line="21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Our restaurants are primarily located in high-activity trade areas that often contain retail centers, lifestyle centers, and entertainment centers. We depend on high visitor rates in these trade areas to attract guests to our restaurants. A decline in traffic at these locations for a sustained period could have a material adverse effect on our business, financial condition and results of operations.</w:t>
      </w:r>
    </w:p>
    <w:p>
      <w:pPr>
        <w:spacing w:after="0" w:line="200"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auto"/>
        </w:rPr>
        <w:t>We may be unsuccessful in opening new restaurants or establishing new markets and our new restaurants may not perform as well as anticipated, may not be profitable or may close.</w:t>
      </w:r>
    </w:p>
    <w:p>
      <w:pPr>
        <w:spacing w:after="0" w:line="16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 key part of our growth strategy includes opening new restaurants in existing and new markets and operating those restaurants on a profitable basis. From November 2020 through the end of fiscal 2022, we opened 10 new restaurants, including new locations in Illinois, Indiana, Michigan, Florida, Wisconsin and Arizona. Over the long term, we aim to increase our number of restaurants by approximately 10% annually. We must identify target markets where we can enter or expand, and we may not be able to open our planned new restaurants within budget or on a timely basis, and our new restaurants may not perform as well as anticipated. Our ability to successfully open new restaurants is affected by several factors, many of which are beyond our control, including our ability to identify and reach agreements on a sufficient number of available, appropriate and attractive sites, construct within a reasonable time frame and appropriate costs.</w:t>
      </w:r>
    </w:p>
    <w:p>
      <w:pPr>
        <w:spacing w:after="0" w:line="19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There is no guarantee that a sufficient number of available, appropriate and attractive restaurant sites will be available in desirable areas or on terms that are acceptable to us in order to achieve our growth plan. If we are unable to open new restaurants, or if planned restaurant openings are significantly delayed, it could have a material adverse effect on our business, financial condition and results of operations.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long-term growth strategy, we may open restaurants in geographic markets in which we have little or no prior operating experience. Our restaurant base is geographically concentrated in the Midwestern United States, and we may encounter new challenges as we enter new markets. Moreover, consumer recognition of our brand has been important in the success of our restaurants in our existing markets, and we may find that our concept has limited appeal in new markets. Restaurants we open in new markets may take longer to reach expected sales and profit levels on a consistent basis and may have higher construction, occupancy and operating costs than existing restaurants. In addition, if we open new restaurants in or near markets in which we already have restaurants, it could have a material adverse effect on sales at these existing restaurants. Any failure on our part to recognize or respond to these challenges may adversely affect the success of any new restaurants and could have a material adverse effect on our business, financial condition and results of operations.</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Some of our restaurants open with an initial start-up period of higher-than-normal sales volumes, and our Restaurant-Level Adjusted EBITDA Margins are generally lower through the first 12 months of operation. In new markets, the length of time before average sales for new restaurants stabilize is less predictable as a result of our limited knowledge of these markets and consumers’ limited awareness of our brand. In addition, our average unit volume ("AUV") and same-restaurant sales may not increase at the rates our existing restaurants have achieved over the past several years. Our ability to operate new restaurants profitably and increase AUV and same-restaurant sales will depend on many factors, some of which are beyond our control.</w:t>
      </w:r>
    </w:p>
    <w:p>
      <w:pPr>
        <w:spacing w:after="0" w:line="20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Although we target specified operating and financial metrics, new restaurants may not meet these targets or may take longer than anticipated to do so. If our new restaurants do not perform as planned or close, or if we are unable to achieve our expected restaurant sales, it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Further, our existing restaurant management systems, financial and management controls and information systems may be inadequate to support our planned expansion. Managing our growth effectively will require us to continue to enhance these systems, procedures and controls and to hire, train and retain managers and team members. We may not respond quickly enough to the changing demands that our expansion will impose on our management, restaurant teams and existing infrastructure, which could have a material adverse effect on our business, financial condition and results of operations. These demands could cause us to operate our existing business less effectively, which in turn could cause a deterioration in the financial performance of our existing restaurants. If we experience a decline in the financial performance, we may decrease the number of or discontinue restaurant openings, or we may decide to close restaurants that we are unable to operate in a profitable manner.</w:t>
      </w:r>
    </w:p>
    <w:p>
      <w:pPr>
        <w:spacing w:after="0" w:line="214"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b w:val="1"/>
          <w:bCs w:val="1"/>
          <w:i w:val="1"/>
          <w:iCs w:val="1"/>
          <w:color w:val="auto"/>
        </w:rPr>
        <w:t>Our plans to open new restaurants, and the ongoing need for capital expenditures at our existing restaurants, require us to spend capital.</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growth strategy depends on opening new restaurants, which will require us to use cash flows from operations. We cannot assure that cash flows from operations will be sufficient to allow us to implement our growth strategy. If this cash is not allocated efficiently among our various projects, or if any of these initiatives prove to be unsuccessful, we may experience reduced profitability and we could be required to delay, significantly curtail or eliminate planned restaurant openings, which could have a material adverse effect on our business, financial condition, and results of operations.</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addition, as our restaurants mature, our business will require capital expenditures for the maintenance, renovation and improvement of existing restaurants to remain competitive and maintain the value of our brand standard. This creates an ongoing need for cash, and, to the extent we cannot fund capital expenditures from cash flows from operations, funds will need to be borrowed or otherwise obtained.</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the costs of funding new restaurants or renovations or enhancements at existing restaurants exceed budgeted amounts, or the time for building or renovation is longer than anticipated, our profits could be reduced. If we cannot access the capital we need, we may not be able to execute on our growth strategy, take advantage of future opportunities or respond to competitive pressures.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same-restaurant sales may be lower than we expect in future periods.</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Same-restaurant sales will continue to be a critical factor affecting our ability to generate profits because the profit margin on same-restaurant sales is generally higher than the profit margin on new restaurant sales. Our ability to increase same-restaurant sales depends in part on our ability to successfully implement our initiatives to build sales. It is possible such initiatives will not be successful, that we will not achieve our target same-restaurant sales or that the change in same-restaurant sales could be negative, which may cause a decrease in sales growth and ability to achieve profitability. Any such events could have a material adverse effect on our business, financial condition and results of operations.</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b w:val="1"/>
          <w:bCs w:val="1"/>
          <w:i w:val="1"/>
          <w:iCs w:val="1"/>
          <w:color w:val="auto"/>
        </w:rPr>
        <w:t>Our marketing programs and any limited time or seasonal offerings may not be successful and could fail to meet expectations, and our new menu items, advertising campaigns, heavy reliance on social media and restaurant designs and remodels may not generate increased sales or profits.</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incur costs and expend other resources in our marketing efforts on new and seasonal menu items, advertising campaigns and restaurant designs and remodels to raise brand awareness and attract and retain guests. In addition, as the number of our restaurants increases, and as we expand into new markets, we expect to increase our investment in advertising and consider additional promotional activities. Accordingly, in the future, we will incur greater marketing expenditures, resulting in greater financial risk. Our limited time or seasonal menu offerings, which we offer as a part of our promotional activities from time to time, may not perform as anticipated, which could have an adverse impact on our results of operations for the related period. If these initiatives are not successful, it could result in us incurring expenses without the benefit of higher revenues, which could have a material adverse effect on our business, financial condition and results of operations.</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marketing efforts rely heavily on the use of social media. Many of our competitors are expanding their use of social media, and new social media platforms are rapidly being developed, potentially making more traditional social media platforms obsolete. As a result, we need to continuously innovate and develop our social media strategies in order to maintain broad appeal with customers and brand relevance, particularly given the rise in digital orders by customers. We also continue to invest in other digital marketing initiatives that allow us to reach our customers across multiple digital channels and build their awareness of, engagement with, and loyalty to our brand. These initiatives may not be successful, resulting in expenses incurred without the benefit of higher sales or increased brand recognition. Additionally, negative commentary regarding our restaurants, our food or our service may be posted on social media platforms and may be adverse to our reputation or business. This harm may be immediate, without affording us an opportunity for redress or correction.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laws and regulations rapidly evolve to govern the use of these platforms and devices, the failure by us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results of operations. In addition,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Incidents involving food-borne illness and food safety could have an adverse effect.</w:t>
      </w:r>
    </w:p>
    <w:p>
      <w:pPr>
        <w:spacing w:after="0" w:line="25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Food safety is a top priority, and we dedicate substantial resources to help ensure that our guests enjoy safe, quality food products. However, food-borne illnesses and other food safety issues have occurred in the food industry in the past, and could occur in the future. Incidents or reports of food-borne or water-borne illness or other food safety issues, food contamination or tampering, team member hygiene and cleanliness failures or improper team member conduct, guests entering our restaurants while ill and contaminating food ingredients or surfaces at our restaurants could lead to product liability or other claims. Such incidents or reports could negatively affect our brand and reputation and could have a material adverse effect on our business, financial condition and results of operations. Similar incidents or reports occurring at competitors in our industry unrelated to us could likewise create negative publicity, which could negatively impact consumer behavior towards us.</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cannot guarantee to consumers that our food safety controls, procedures and training will be fully effective in preventing all food safety and public health issues at our restaurants, including any occurrences of pathogens, bacteria, parasites or other toxins infecting our food supply. For example, in August 2021, we received a report from the county health department of cases of E. coli that were possibly connected to our Glendale Heights, Illinois restaurant and subsequently one lawsuit was filed in Illinois state court. We have cooperated fully with state and county health authorities, and the DuPage County Health Department in August 2021 stated that the information gathered so far indicates there is no current risk to the public’s health. Although we believe all guest and team member cases have been identified, additional cases may be reported and additional lawsuits or negative publicity may result.</w:t>
      </w:r>
    </w:p>
    <w:p>
      <w:pPr>
        <w:spacing w:after="0" w:line="21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There is no guarantee that our restaurant locations will maintain the high levels of internal controls and training we require at our restaurants and some food-borne illness incidents could be caused by third-party food suppliers, third party food delivery services, guest take out or catered events. Further, in some cases, the risk may affect multiple restaurant locations. New illnesses resistant to our current precautions may develop in the future, or diseases with long incubation periods could arise, that could give rise to claims or allegations on a retroactive basis. One or more instances of food-borne illness in one of our restaurants could negatively affect sales at all our restaurants if highly publicized, such as on national media outlets or through social media, especially due to the geographic concentration of many of our restaurants. A number of other restaurant chains have experienced incidents related to food-borne illnesses that have had material adverse impacts on their operations, and we cannot assure you that we could avoid a similar impact upon the occurrence of a similar incident at one of our restaurants. Additionally, even if food-borne illnesses were not identified at our restaurants, our restaurant sales could be adversely affected if instances of food-borne illnesses at other restaurant chains were highly publicized.</w:t>
      </w:r>
    </w:p>
    <w:p>
      <w:pPr>
        <w:spacing w:after="0" w:line="214"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We face significant competition for guests, and our inability to compete effectively may affect our traffic, our sales and our operating profit margins, which could have a material adverse effect on our business, financial condition and results of operations.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restaurant industry is intensely competitive with many companies that compete directly and indirectly with us with respect to food quality, brand recognition, service, price and value, convenience, design and location. We compete in the restaurant industry with national, regional and locally-owned or operated limited-service restaurants and full-service restaurants. We compete with fast casual restaurants, quick service restaurants and casual dining restaurants. Some of our competitors have significantly greater financial, marketing, personnel and other resources than we do, and many of our competitors are well-established in markets in which we have existing restaurants or intend to locate new restaurants. In addition, many of our competitors have greater name recognition nationally or in some of the local markets in which we have or plan to have restaurants. Competition from food delivery services has also increased in recent years, particularly during the COVID-19 pandemic, and is expected to continue to increase. Any inability to successfully compete with the restaurants in our existing or new markets will place downward pressure on our guest traffic and could have a material adverse effect on our business, financial condition and results of operations. Additionally, a significant amount of the delivery from our restaurants is through third-party delivery companies. If these third-party delivery companies cease doing business with us, or cannot make their scheduled deliveries, or do not continue their relationship with us on favorable terms, it may have a negative impact on sales or result in increased third-party delivery fees.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continued success also depends in part on the continued popularity of our menu and the experience we offer guests at our restaurants. Consumer tastes, nutritional and dietary trends, traffic patterns and the type, number, and location of competing restaurants often affect the restaurant business, and our competitors may react more efficiently and effectively to changes in those conditions. In addition, some of our competitors in the past have implemented promotional programs that provide price discounts on certain menu offerings, and they may continue to do so in the future. If we are unable to continue to compete effectively, our traffic, restaurant sales and restaurant operating profit margins could decline, which could have a material adverse effect on our business, financial condition and results of operations.</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Additionally, our competitors with greater financial resources can spend significantly more on marketing and advertising and other initiatives than we are able to. Should our competitors increase spending on marketing and advertising and other initiatives or our marketing expenditures decrease for any reason, or should our advertising, promotions, and restaurant designs and locations be less effective than our competitors, it could have a material adverse effect on our business, financial condition and results of operations.</w:t>
      </w:r>
    </w:p>
    <w:p>
      <w:pPr>
        <w:spacing w:after="0" w:line="205"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Our restaurant base is geographically concentrated in the Midwestern United States, and we could be negatively affected by conditions specific to that region.</w:t>
      </w:r>
    </w:p>
    <w:p>
      <w:pPr>
        <w:spacing w:after="0" w:line="16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restaurants in the Midwestern United States represented approximately 86% of our restaurants as of December 25, 2022. Our restaurants in the Chicagoland area represented approximately 54% of our restaurants as of December 25, 2022. Adverse changes in demographic, unemployment, economic, regulatory or weather conditions in the Midwestern United States have had, and may continue to have, material adverse effects on our business, financial condition and results of operations. As a result of our concentration in this market, we have been, and in the future may be, disproportionately affected by conditions in this geographic area compared to other chain restaurants with a national footprint. For example, we experienced significant sales declines the due to Winter Storm Elliott. We estimate that Winter Storm Elliott had a negative impact of at least 0.7% on our same-restaurant sales growth in the fourth quarter of 2022.</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addition, our competitors could open additional restaurants in the Midwestern United States, which could result in reduced market share for us in this key geographic region, which could have a material adverse effect on our business, financial condition and results of operations.</w:t>
      </w:r>
    </w:p>
    <w:p>
      <w:pPr>
        <w:spacing w:after="0" w:line="182"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Damage to our reputation and negative publicity could have a material adverse effect on our business, financial condition and results of operations.</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reputation and the quality of our brand are critical to our business and success in existing markets, and will be critical to our success as we enter into new markets. Any incident that erodes consumer loyalty for our brand could significantly reduce its value and damage our business. We may be adversely affected by negative publicity relating to food quality, the safety, sanitation and welfare of our restaurant facilities, guest complaints or litigation alleging illness or injury, health inspection scores, integrity of our suppliers’ food processing and other policies, practices and procedures, team member relationships and welfare or other matters at one or more of our restaurants. Any publicity relating to health concerns, perceived or specific outbreaks of a food-borne illness attributed to one or more of our restaurants, or non-compliance with food handling and sanitation requirements imposed by federal, state and local governments could result in a significant decrease in guest traffic in all of our restaurants and could have a material adverse effect on our results of operations. Furthermore, similar negative publicity or occurrences with respect to other restaurants or other restaurant chains could also decrease our guest traffic and have a similar material adverse effect on our business. In addition, incidents of restaurant commentary have increased dramatically with the proliferation of social media platforms. Negative publicity may adversely affect us, regardless of whether the allegations are valid or whether we are held responsible. In addition, the negative impact of adverse publicity may extend far beyond the restaurant involved, especially due to the high geographic concentration of many of our restaurants, and affect some or all our other restaurants. For example, we, or other restaurant companies generally, could come under criticism from animal rights and welfare activists for our business practices or those of our suppliers. Such criticisms could impair our brand, our restaurant sales, our hiring, and our expansion plans. If we changed our practices because of concerns about animal welfare, or in response to such criticisms, our costs might increase, or we may have to change our suppliers or our menu. A similar risk exists with respect to food service businesses unrelated to us, if customers mistakenly associate such unrelated businesses with our operations. Team member claims against us based on, among other things, wage and hour violations, discrimination, harassment or wrongful termination may also create not only legal and financial liability but negative publicity that could adversely affect us and divert our financial and management resources that would otherwise be used to benefit the future performance of our operations. A significant increase in the number of these claims or an increase in the number of successful claims could have a material adverse effect on our business, financial condition and results of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7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digital and delivery business, and expansion thereof, is uncertain and subject to risk.</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digital investments to be a critical differentiator for our business, creating the opportunity to drive greater engagement and frequency with both new and existing customers. As the digital space around us continues to evolve, our technology needs to evolve concurrently to stay competitive with the industry. If we do not maintain and innovate our digital systems that are competitive with the industry, our digital business may be adversely affected and could damage our sales. We rely on third-parties for our ordering and payment platforms. Such services performed by these third-parties could be damaged or interrupted by technological issues, which could then result in a loss of sales for a period of time. Information processed by these third-parties could also be impacted by cyber-attacks, which could not only negatively impact our sales, but also harm our brand image.</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Recognizing the rise in delivery services offered throughout the restaurant industry, we understand the importance of providing such services to meet our guests wherever and whenever they want. We have invested in marketing to promote our delivery partnerships, which could negatively impact our profitability if the business does not continue to expand. We rely on third-parties to fulfill delivery orders timely and in a fashion that will satisfy our guests. Errors in providing adequate delivery services may result in guest dissatisfaction, which could also result in loss of guest retention, loss in sales and damage to our brand image. Additionally, as with any third-party handling food, such delivery services increase the risk of food tampering while in transit. We developed sealed packaging to provide some deterrence against such potential food tampering. We are also subject to risk if there is a shortage of delivery drivers, which could result in a failure to meet our guests’ expectations.</w:t>
      </w:r>
    </w:p>
    <w:p>
      <w:pPr>
        <w:spacing w:after="0" w:line="21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Third-party delivery services within the restaurant industry is a competitive environment and includes a number of players competing for market share. If our third-party delivery partners fail to effectively compete with other third-party delivery providers in the sector, our delivery business may suffer resulting in a loss of sales. If any third-party delivery provider we partner with experiences damage to their brand image, we may also see ramifications due to our partnership with them.</w:t>
      </w:r>
    </w:p>
    <w:p>
      <w:pPr>
        <w:spacing w:after="0" w:line="205" w:lineRule="exact"/>
        <w:rPr>
          <w:sz w:val="20"/>
          <w:szCs w:val="20"/>
          <w:color w:val="auto"/>
        </w:rPr>
      </w:pPr>
    </w:p>
    <w:p>
      <w:pPr>
        <w:ind w:right="420"/>
        <w:spacing w:after="0" w:line="272" w:lineRule="auto"/>
        <w:rPr>
          <w:sz w:val="20"/>
          <w:szCs w:val="20"/>
          <w:color w:val="auto"/>
        </w:rPr>
      </w:pPr>
      <w:r>
        <w:rPr>
          <w:rFonts w:ascii="Arial" w:cs="Arial" w:eastAsia="Arial" w:hAnsi="Arial"/>
          <w:sz w:val="18"/>
          <w:szCs w:val="18"/>
          <w:b w:val="1"/>
          <w:bCs w:val="1"/>
          <w:i w:val="1"/>
          <w:iCs w:val="1"/>
          <w:color w:val="auto"/>
        </w:rPr>
        <w:t>We have a limited number of suppliers and distributors for several of our frequently used ingredients. If our suppliers or distributors are unable to fulfill their obligations under our arrangements with them, we could encounter supply shortages and incur higher costs.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utilize a combination of direct suppliers and distributors dependent on both the product category as well as geography. These products are purchased through various pricing protocols inclusive of commodity and risk management, fixed pricing agreements and market-based costing measures. Due to the concentration of suppliers and distributors that we utilize, the cancellation of our supply arrangements with these suppliers or the disruption, delay or inability of these suppliers to deliver these products to our restaurants due to problems in production or distribution, inclement weather, natural disasters, unanticipated demand or other conditions may materially and adversely affect our results of operations while we establish alternative distribution channels.</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addition, we do not control the businesses of our suppliers and distributors and our efforts to monitor the standards by which they perform may not be successful. If our suppliers or distributors fail to comply with food safety or other laws and regulations, or face allegations of non-compliance, their operations may be disrupted. If that were to occur, we may not be able to find replacement suppliers on commercially reasonable terms or a timely basis, if at all.</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Contingency platforms have been developed to mitigate the risk in various cases including secondary supply, floor stocking arrangements, product diversification and inventory management. While we believe that alternative supply and distribution sources are available, there can be no assurance that we will continue to be able to identify or negotiate with such sources on terms that are commercially reasonable to us or that the quality of the product from an alternative supplier is comparable to existing standards. If our suppliers or distributors are unable to fulfill their obligations under their contracts or we are unable to identify alternative sources, we could encounter supply shortages and incur higher costs, each of which could have a material adverse effect on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prolonged disruption in the operations of our two commissaries could harm our business.</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two commissaries in Illinois. We plan to continue investing in additional supply chain capacity in the future, as necessary, based on our growth in existing and new restaurants. Our commissaries produce all the Italian beef, gravy and sweet peppers used within all of our restaurants. As a result, any prolonged disruption in the operations of any of these facilities, whether due to technical, operational or labor difficulties, product contamination, destruction or damage to the facility, limited capacity or other reasons, could adversely affect our business, financial condition and results of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depend on our executive officers and certain other key team members, the loss of whom could have a material adverse effect on our business.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rely upon the accumulated knowledge, skills and experience of our executive officers and certain other key team members. Our chief executive officer has been with us for more than four years and our executive officers have numerous years of experience in the food service industry. The loss of the services of any of our executive officers could have a material adverse effect on our business, financial condition and results of operations, as we may not be able to find suitable individuals to replace such personnel on a timely basis or without incurring increased costs, or at all.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There is a high level of competition for experienced, successful executive personnel in our industry. Our inability to meet our executive staffing requirements in the future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our corporate culture as we grow could have a material adverse effect on our business.</w:t>
      </w:r>
    </w:p>
    <w:p>
      <w:pPr>
        <w:spacing w:after="0" w:line="2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believe that a critical component to our success has been our corporate culture and values of Family, Greatness, Energy and Fun. We have invested substantial time and resources in building our team. As we continue to grow, we may find it difficult to maintain the innovation, teamwork, passion and focus on execution that we believe are important aspects of our corporate culture. Any failure to preserve our culture could negatively impact our operations, including our ability to retain and recruit personnel and to effectively focus on and pursue our corporate objectives. If we cannot maintain our corporate culture as we grow, it could have a material adverse effect on our business, financial condition and results of operations.</w:t>
      </w:r>
    </w:p>
    <w:p>
      <w:pPr>
        <w:spacing w:after="0" w:line="211"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Matters relating to employment and labor law could have a material adverse effect, result in litigation or union activities, add significant costs and divert management attention.</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Various federal and state labor laws govern our relationships with our team members and affect our operating costs. Our operations are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These laws include employee classifications as exempt or non-exempt, minimum wage requirements, unemployment tax rates, workers’ compensation rates, overtime, family leave, working conditions, safety standards, immigration status, state and local payroll taxes, federal and state laws which prohibit discrimination, citizenship requirements and other wage and benefit requirements for team members classified as non-exempt. In addition, with the passage in 2010 of the U.S. Patient Protection and Affordable Care Act (the “ACA”), we are required to provide affordable coverage, as defined in the ACA, to eligible team members, or otherwise be subject to a payment per team member based on the affordability criteria in the ACA. Additionally, some states and localities have passed state and local laws mandating the provision of certain levels of health benefits by some employers. Significant additional government regulations and new laws, including mandated increases in minimum wages, changes in exempt and non-exempt status, or increased mandated benefits such as health care and insurance costs could have a material adverse effect on our business, financial condition and results of operations. In addition, changes in federal or state workplace regulations could adversely affect our ability to meet our financial targets.</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Federal law requires that we verify that our workers have the proper documentation and authorization to work in the U.S. Although we require all workers to provide us with government-specified documentation evidencing their employment eligibility, some of our team members may, without our knowledge, be unauthorized workers. We currently participate in the “E-Verify” program, an Internet-based, free program run by the U.S. government to verify employment eligibility, in Arizona, which is the only state in which we operate where participation is required. However, use of the “E-Verify” program does not guarantee that we will properly identify all applicants who are ineligible for employment, and we are not utilizing “E-Verify” in any other states where we operate. Unauthorized workers are subject to deportation and may subject us to fines or penalties, and if any of our workers are found to be unauthorized, we could experience adverse publicity that may negatively impact our brand and may make it more difficult to hire and keep qualified team members. Termination of a significant number of team members who are unauthorized employees may disrupt our operations, cause temporary increases in our labor costs as we train new team members and result in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and results of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8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business is subject to the risk of litigation by team members, consumers, suppliers, shareholders or others through private actions, class actions, administrative proceedings, regulatory actions or other litigation. The outcome of litigation, particularly class action and regulatory actions, is difficult to assess or quantify. In recent years, restaurant companies, including us, have been subject to lawsuits alleging violations of federal and state laws regarding workplace and employment conditions, discrimination and similar matters, and some restaurants have been subject to class action lawsuits in respect of such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managers and failure to pay for all hours worked. Regardless of whether any claims against us are valid or whether we are liable, claims may be expensive to defend and may divert time and money away from our operations and result in increases in our insurance premiums. In addition, they may generate negative publicity, which could reduce guest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have a material adverse effect on our business, financial condition and results of operations.</w:t>
      </w:r>
    </w:p>
    <w:p>
      <w:pPr>
        <w:spacing w:after="0" w:line="21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Although none of our team members are currently covered under collective bargaining agreements, our team members may elect to be represented by labor unions in the future. If a significant number of our team members were to become unionized and collective bargaining agreement terms were significantly different from our current compensation arrangements, it could have a material adverse effect on our business, financial condition and results of operations. In addition, a labor dispute involving some or all our team members may harm our reputation, disrupt our operations and reduce our revenues, and resolution of disputes could increase our costs. Further, if we enter into a new market with unionized construction companies, or the construction companies in our current markets become unionized, construction and build-out costs for new restaurants in such markets could materially increase.</w:t>
      </w:r>
    </w:p>
    <w:p>
      <w:pPr>
        <w:spacing w:after="0" w:line="212"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auto"/>
        </w:rPr>
        <w:t>Labor quality, labor shortages or increased labor costs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Labor is a primary component in the cost of operating our restaurants.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success depends in part upon our ability to attract, motivate and retain a sufficient number of qualified team members to meet the needs of our existing restaurants and to staff new restaurants. A sufficient number of qualified individuals to fill these positions may be in short supply in some communities. Competition in some geographic areas for qualified team members could require us to pay higher wages and provide greater benefits. We place a heavy emphasis on the qualification and training of our personnel and spend a significant amount of time and money on training our team members. Inability to recruit or retain new team members could also delay the planned openings of new restaurants and could adversely impact our existing restaurants. Although we have not yet experienced any significant problems in recruiting team members, our ability to recruit and retain such individuals may delay the planned openings of new restaurants or result in higher team member turnover in existing restaurants, which could increase our labor costs and have a material adverse effect on our business, financial condition and results of operations.</w:t>
      </w:r>
    </w:p>
    <w:p>
      <w:pPr>
        <w:spacing w:after="0" w:line="20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If we face labor shortages, such as in connection with a pandemic such as COVID-19, or increased labor costs because of increased competition for team members, federal or state unemployment benefits, higher team member-turnover rates, unionization of restaurant workers, or increases in the federally-mandated or state-mandated minimum wage, change in exempt and non-exempt status, or other employee benefits costs (including costs associated with health insurance coverage or workers’ compensation insurance), our operating expenses could increase and our growth could be adversely affected.</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team members are all paid more than the applicable minimum wage in the area where they work. Increases in federal or state minimum wages or unemployment benefits may also result in increases in the wage rates paid. We may be unable to increase our menu prices in order to pass future increased labor costs on to our guests, in which case our operating margins would be negatively affected. If menu prices are increased by us to cover increased labor costs, the higher prices could adversely affect demand for our menu items, resulting in lower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We are exposed to risks associated with leasing property subject to long-term and non-cancelable leases and may be unable to renew leases at the end of their terms.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Many of our restaurant leases are non-cancelable and typically have initial terms of 10 to 20 years, providing for four renewal options of five years each as well as rent escalations. Generally, our leases require us to pay our share of the costs of real estate taxes, utilities, building operating expenses, insurance and other charges in addition to rent. We generally cannot cancel these leases, and additional sites that we lease are likely to be subject to similar long-term non-cancelable leases. Even if we close a restaurant, we may be required to perform our obligations under the applicable lease, which could include, among other things, a payment of the base rent, property taxes, insurance and common area maintenance costs for the balance of the lease term, which would impact our profitability. In addition, as leases expire for restaurants that we will continue to operate, we may, at the end of the lease term and any renewal period for a restaurant, be unable to negotiate renewals, either on commercially acceptable terms or at all. As a result, we may close or relocate the restaurant, which could subject us to unanticipated construction costs related to leasehold improvements at the new restaurant location that we are unable to control, the delay or failure by the landlord to deliver the new restaurant location to us, and unfavorable anticipated commercial, residential or infrastructure development near our new restaurant location, among other costs and risks. Additionally, the revenues and profit, if any, generated at a relocated restaurant may not equal the revenues and profit generated at the existing restaurant.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related to our sale of alcoholic beverages.</w:t>
      </w:r>
    </w:p>
    <w:p>
      <w:pPr>
        <w:spacing w:after="0" w:line="25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serve alcoholic beverages at most of our restaurants, and we may introduce alcoholic beverages at additional restaurants in the future. Alcoholic beverage control regulations generally require our restaurants to apply to a state authority and, in certain locations, county or municipal authorities for a license that must be renewed annually and may be revoked or suspended for cause at any time. Alcoholic beverage control regulations relate to numerous aspects of daily operations of our restaurants, including minimum age of team members, advertising, trade practices, wholesale purchasing, other relationships with alcoholic beverages manufacturers, wholesalers and distributors, inventory control and handling, storage and dispensing of alcoholic beverages and training of team members. Any future failure to comply with these regulations and obtain or retain licenses could have a material adverse effect on our business, financial condition and results of operations.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also subject in certain states to “dram shop” statutes, which generally provide a person injured by an intoxicated person the right to recover damages from an establishment that wrongfully served alcoholic beverages to the intoxicated person. We carry liquor liability coverage as part of our existing comprehensive general liability insurance. Recent litigation against restaurant chains has resulted in significant judgments and settlements under dram shop statutes. Because these cases often seek punitive damages, which may not be covered by insurance, such litigation could have a material effect on our business, financial condition and results of operations.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financial condition or results of operations.</w:t>
      </w:r>
    </w:p>
    <w:p>
      <w:pPr>
        <w:spacing w:after="0" w:line="214"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An impairment in the carrying value of our goodwill, indefinite-lived intangible assets or long-lived assets could have a material adverse effect on our business.</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25, 2022, we had approximately $394.3 million of goodwill and $ 255.7 million of intangible assets, primarily related to the purchase price allocation performed in connection with the Berkshire Acquisition. We test goodwill and indefinite-lived intangible assets for impairment in the fourth quarter of each fiscal year and whenever events or changes in circumstances indicate that impairment may have occurred. In fiscal 2022, we performed an impairment test and we did not recognize impairment charges; however, an impairment test in the future may indicate that an impairment has occurred. In the event that the book value of goodwill or other indefinite-lived intangible assets is impaired, any such impairment would be charged to earnings in the period of impairment. We cannot accurately predict the amount and timing of any impairment of assets. Should the value of goodwill or other indefinite-lived intangible assets become impaired in the future, any impairment could have a material adverse effect on our financial condition and results of operations. See Note 6. Goodwill &amp; Intangible Assets in the notes to the consolidated financial statements for additional information.</w:t>
      </w:r>
    </w:p>
    <w:p>
      <w:pPr>
        <w:spacing w:after="0" w:line="2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Changes to estimates related to our property, fixtures and equipment and definite-lived intangible assets or operating results that are lower than our current estimates at certain restaurant locations may cause us to incur impairment charges or accelerate the amortization on certain long-lived assets, which could have a material adverse impact on our results of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Natural disasters, unusual weather conditions, pandemic outbreaks, political events, war and terrorism could disrupt our business and result in lower sales, increased operating costs and capital expenditures.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restaurant support center, restaurant locations, suppliers and distributors, and their respective facilities, as well as certain of our vendors and customers, are located in areas that have been and could be subject to natural disasters such as floods, drought, hurricanes, tornadoes, fires or earthquakes. As a result of the concentration of our restaurants in the Midwestern United States, adverse weather conditions or other extreme changes in short-term weather conditions or long-term changes in weather patterns related to climate change, including those that may result in electrical and technological failures, may disrupt our business and may adversely affect our ability to obtain food and supplies and sell menu items. Such events could result in physical damage to one or more of our properties, the temporary closure of some or all of our restaurants and our suppliers and distributors, the temporary lack of an adequate work force in a market, temporary or long-term disruption in the transport of goods, delay in the delivery of goods and supplies to our restaurants and our suppliers and distributors, disruption of our technology support or information systems, or fuel shortages or dramatic increases in fuel prices, all of which would increase the cost of doing business. These events also could have indirect consequences such as increases in the costs of insurance if they result in significant loss of property or other insurable damage. Any of these factors, or any combination thereof, could have a material adverse effect on our business, financial condition and results of operations.</w:t>
      </w:r>
    </w:p>
    <w:p>
      <w:pPr>
        <w:spacing w:after="0" w:line="219"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There has been increasing public focus by investors, environmental activists, the media and governmental and nongovernmental organizations on a variety of environmental, social and other sustainability matters. With respect to the restaurant industry, concerns have been expressed regarding energy management, water management, food and packaging waste management, food safety, nutritional content, labor practices and supply chain and management food sourcing. We experience pressure to make commitments relating to sustainability matters that affect companies in our industry, including the design and implementation of specific risk mitigation strategic initiatives relating to sustainability. If we are not effective in addressing environmental, social and other sustainability matters affecting our industry, or setting and meeting relevant sustainability goals, our brand image may suffer. In addition, we may experience increased costs in order to execute upon our sustainability goals and measure achievement of those goals, which could have a material adverse impact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Our Indebtedness</w:t>
      </w:r>
    </w:p>
    <w:p>
      <w:pPr>
        <w:spacing w:after="0" w:line="263" w:lineRule="exact"/>
        <w:rPr>
          <w:sz w:val="20"/>
          <w:szCs w:val="20"/>
          <w:color w:val="auto"/>
        </w:rPr>
      </w:pPr>
    </w:p>
    <w:p>
      <w:pPr>
        <w:ind w:right="620"/>
        <w:spacing w:after="0" w:line="294" w:lineRule="auto"/>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and limit our ability to plan for or respond to changes in our business.</w:t>
      </w:r>
    </w:p>
    <w:p>
      <w:pPr>
        <w:spacing w:after="0" w:line="16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total principal amount of debt outstanding under our credit facilities, excluding finance lease liabilities and financing obligations, as of December 25, 2022 was approximately $322.4 million. On February 2, 2023, PHD Intermediate LLC, a Delaware limited liability company (“Holdings”), Portillo’s Holdings, LLC, a Delaware limited liability company (the “Borrower”), the other Guarantors party thereto from time to time, each lender party thereto from time to time and Fifth Third Bank, National Association, as Administrative Agent, L/C Issuer and Swing Line Lender entered into a Credit Agreement ("New Credit Agreement") with Fifth Third Bank, National Association, as administrative agent, and the other lenders party thereto which provides for a Term A Loan ("Term Loan") in an initial aggregate principal amount of $300.0 million and initial Revolving Credit Commitments in an initial aggregate principal amount of $100.0 million (the “New Revolver Facility”). The proceeds under the Term Loan and New Revolver Facility, along with cash on hand, were used to repay outstanding indebtedness under the First Lien Credit Agreement and to pay related transaction expenses. See Note 18. Subsequent Events for additional details. Our indebtedness could have significant effects on our business, such as:</w:t>
      </w:r>
    </w:p>
    <w:p>
      <w:pPr>
        <w:spacing w:after="0" w:line="212" w:lineRule="exact"/>
        <w:rPr>
          <w:sz w:val="20"/>
          <w:szCs w:val="20"/>
          <w:color w:val="auto"/>
        </w:rPr>
      </w:pPr>
    </w:p>
    <w:p>
      <w:pPr>
        <w:ind w:left="660" w:right="300" w:hanging="328"/>
        <w:spacing w:after="0" w:line="260"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capital expenditures, acquisitions, debt service requirements, execution of our growth strategy and other purposes;</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limiting our ability to make investments, including acquisitions, loans and advances, and to sell, transfer or otherwise dispose of assets;</w:t>
      </w:r>
    </w:p>
    <w:p>
      <w:pPr>
        <w:jc w:val="both"/>
        <w:ind w:left="660" w:right="80" w:hanging="328"/>
        <w:spacing w:after="0" w:line="250"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right="160" w:hanging="328"/>
        <w:spacing w:after="0" w:line="287" w:lineRule="auto"/>
        <w:tabs>
          <w:tab w:leader="none" w:pos="66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financial condition and results of operations.</w:t>
      </w:r>
    </w:p>
    <w:p>
      <w:pPr>
        <w:spacing w:after="0" w:line="19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Pursuant to the New Credit Agreement, the Borrower is subject to a leverage covenant and an interest coverage ratio, together the Financial Covenants.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leverage covenant requires the Borrower to maintain the consolidated total net rent adjusted leverage ratio greater than 5.50 to 1.00 with steps to 5.25 to 1.00 on or around June 30, 2025, and 5.00 to 1.00 for each period ending thereafter, to be tested for the four consecutive fiscal quarters of the Borrower's most recently issued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interest coverage covenant requires the Borrower to maintain the consolidated cash interest coverage ratio to be less than 1.75 to 1.00</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with steps to 1:85 to 1.00 on or around June 30, 2025 and 2.00 to 1.00 or each period ending thereafter, to be tested for the four consecutive fiscal quarters of the Borrower's most recently issued financial statements.</w:t>
      </w:r>
    </w:p>
    <w:p>
      <w:pPr>
        <w:spacing w:after="0" w:line="20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Events beyond our control, including changes in general economic and business conditions, may affect our ability to satisfy the financial covenants. We cannot assure you that we will satisfy the financial covenant in the future, or that our lenders will waive any failure to satisfy the financial covenants.</w:t>
      </w:r>
    </w:p>
    <w:p>
      <w:pPr>
        <w:spacing w:after="0" w:line="211"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We may be unable to generate sufficient cash flow to satisfy our debt service obligations or experience a downgrade in our credit ratings, which would have a material adverse effect on our business.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ability to manage our debt is dependent on our level of positive cash flow from our restaurants.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Our failure to comply with the covenants under the credit facilities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209"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Our debt is rated by credit rating agencies. These agencies may downgrade their credit ratings for us based on the performance of our business, our capital strategies or their overall view of our industry. There can be no assurance that any rating assigned to our currently outstanding indebtedness will remain in effect for any given period of time or that any such ratings will not be lowered, suspended or withdrawn entirely by a rating agency if, in that agency’s judgment, circumstances so warrant.</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 downgrade of our credit ratings could, among other things, increase our cost of borrowing, limit our ability to access capital, result in more restrictive covenants in agreements governing the terms of any future indebtedness that we may incur, including restrictions on our ability to pay dividends or repurchase shares, or require us to provide collateral for future borrowings, and thereby adversely impact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Our Organizational Structure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interests of Berkshire may conflict with our interests or the interests of the holders of our Class A common stock in the future.</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Berkshire Private Equity continues to own a significant percentage of our common stock. Berkshire engages in a range of investing activities, including investments in restaurants and other consumer-related companies. In the ordinary course of its business activities, Berkshire may engage in activities where its interests conflict with our interests or those of our shareholders. Our amended and restated certificate of incorporation provides that our directors and shareholders, including Berkshire,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shareholders will not be liable to us or our shareholders for breach of any duty by reason of any such activities. Accordingly, the interests of Berkshire may supersede ours, causing them or their affiliates to compete against us or to pursue opportunities instead of us, for which we have no recourse. Such actions on the part of Berkshire and inaction on our part could have a material adverse effect on our business, financial condition and results of operations. In addition, Berkshire may have an interest in pursuing acquisitions, divestitures and other transactions that, in its judgment, could enhance its investment in us, even though such transactions might involve risks to you, such as debt-financed acquisitions.</w:t>
      </w:r>
    </w:p>
    <w:p>
      <w:pPr>
        <w:spacing w:after="0" w:line="219"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16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are a Delaware corporation, and the anti-takeover provisions of Delaware law impose various impediments to the ability of a third party to acquire control of us, even if a change of control would be beneficial to our existing shareholders. In addition, provisions of our amended and restated certificate of incorporation and bylaws may make it more difficult for, or prevent a third party from, acquiring control of us without the approval of our Board. Among other things, these provisions:</w:t>
      </w:r>
    </w:p>
    <w:p>
      <w:pPr>
        <w:spacing w:after="0" w:line="203" w:lineRule="exact"/>
        <w:rPr>
          <w:sz w:val="20"/>
          <w:szCs w:val="20"/>
          <w:color w:val="auto"/>
        </w:rPr>
      </w:pPr>
    </w:p>
    <w:p>
      <w:pPr>
        <w:ind w:left="660" w:right="100" w:hanging="328"/>
        <w:spacing w:after="0" w:line="260"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shareholders to elect director candidates;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to fix the number of directors;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the power of our Board to fill any vacancy on our Board, whether such vacancy occurs as a result of an increase in the number of directors or otherwise;</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without any need for action by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eliminate the ability of shareholders to call special meetings of shareholders;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on by shareholders at shareholder meetings;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the ability of shareholders to act by written consent.</w:t>
      </w:r>
    </w:p>
    <w:p>
      <w:pPr>
        <w:spacing w:after="0" w:line="23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our credit facilities impose, and we anticipate that documents governing our future indebtedness may impose, limitations on our ability to enter into change of control transactions. Thereunder, the occurrence of a change of control transaction could constitute an event of default permitting acceleration of the indebtedness, thereby impeding our ability to enter into certain transactions.</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foregoing factors, as well as the significant common stock ownership by Berkshire, could impede a merger, takeover, or other business combination, or discourage a potential investor from making a tender offer for our Class A common stock, which, under certain circumstances, could reduce the market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auto"/>
        </w:rPr>
        <w:t>We are a holding company and our principal asset is our ownership of LLC Units in Portillo’s OpCo, and we are accordingly dependent upon distributions from Portillo’s OpCo to pay dividends, if any, and taxes, make payments under the Tax Receivable Agreement and pay other expenses.</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a holding company and our principal asset is our ownership of LLC Units. We have no independent means of generating revenue. Portillo’s OpCo is, and will continue to be, treated as a partnership for U.S. federal and applicable state and local income tax purposes and, as such, will generally not be subject to entity-level U.S. federal and applicable state and local income tax. Instead, the taxable income of Portillo’s OpCo will be allocated to holders of LLC Units, including us. Accordingly, we will incur income taxes on our allocable share of any taxable income of Portillo’s OpCo. We will also incur expenses related to our operations, and will have obligations to make payments under the Tax Receivable Agreement. As the sole managing member of Portillo’s OpCo, we intend to cause Portillo’s OpCo to make distributions to the holders of LLC Units (including us) in amounts sufficient to (i) cover all of the income taxes payable on our and the other LLC Unit holders’ respective allocable shares of the taxable income of Portillo’s OpCo, (ii) allow us to make any payments required under the Tax Receivable Agreement we entered into as part of the Transactions in connection with our IPO, (iii) fund dividends to our shareholders in accordance with our dividend policy, to the extent that our Board declares such dividends and (iv) pay our expenses.</w:t>
      </w:r>
    </w:p>
    <w:p>
      <w:pPr>
        <w:spacing w:after="0" w:line="2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Deterioration in the financial condition, earnings or cash flow of Portillo’s OpCo and its subsidiaries for any reason could limit or impair their ability to pay such distributions. Additionally, to the extent that we need funds and Portillo’s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 See "Risks Related to Our Indebtedness" above.</w:t>
      </w:r>
    </w:p>
    <w:p>
      <w:pPr>
        <w:spacing w:after="0" w:line="208"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In certain circumstances, Portillo’s OpCo will be required to make distributions to us and the other holders of LLC Units, and the distributions that Portillo’s OpCo will be required to make may be substantial.</w:t>
      </w:r>
    </w:p>
    <w:p>
      <w:pPr>
        <w:spacing w:after="0" w:line="16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Under the Amended LLC Agreement, Portillo’s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Portillo’s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Portillo’s OpCo distribution obligations, we may receive tax distributions significantly in excess of our tax liabilities and obligations to make payments under the Tax Receivable Agreement. Our Board, in its sole discretion, will make any determination from time to time with respect to the use of any such excess cash so accumulated, which may include, among other uses, funding repurchases of shares of our Class A common stock; acquiring additional newly issued LLC Units from Portillo’s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shareholders. To the extent that we do not distribute such excess cash as dividends on our Class A common stock or otherwise undertake ameliorative actions between LLC Units and shares of Class A common stock and instead, for example, hold such cash balances, holders of our LLC Units (other than Portillo’s Inc.) may benefit from any value attributable to such cash balances as a result of their ownership of Class A common stock following a redemption or exchange of their LLC Units, notwithstanding that such holders of our LLC Units (other than Portillo’s Inc.) may previously have participated as holders of LLC Units in distributions by Portillo’s OpCo that resulted in such excess cash balances at Portillo’s Inc.</w:t>
      </w:r>
    </w:p>
    <w:p>
      <w:pPr>
        <w:spacing w:after="0" w:line="222"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The Tax Receivable Agreement with the TRA Parties requires us to make cash payments to them in respect of certain tax benefits to which we may become entitled, and we expect that the payments we are required to make will be substantial.</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Tax Receivable Agreement, we are required to make cash payments to certain of our pre-IPO LLC Members (the "TRA Parties") equal to 85% of the tax benefits, if any, that we actually realize, or in certain circumstances are deemed to realize, as a result of (i) our allocable share of existing tax basis in depreciable or amortizable assets related to LLC Units acquired in our IPO, (ii) certain favorable tax attributes we acquired from entities treated as corporations for U.S. tax purposes that held LLC Units prior to the Transactions ("Blocker Companies") (including net operating losses and the Blocker Companies’ allocable share of existing tax basis), (iii) increases in our then allocable share of existing tax basis in depreciable or amortizable assets, and adjustments to the tax basis of the tangible and intangible assets, of Portillo’s OpCo and its subsidiaries, as a result of (x) sales or exchanges of interests in Portillo’s OpCo (including repayment of the redeemable preferred units) in connection with our IPO and (y) future exchanges of LLC Units by pre-IPO LLC Members for Class A common stock and (iv) certain other tax benefits related to entering into the Tax Receivable Agreement, including payments made under the Tax Receivable Agreement.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payment obligations under the Tax Receivable Agreement are obligations of the Company and we expect that the amount of the cash payments that we are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amount of existing tax basis and anticipated tax basis adjustments and utilization of tax attributes, as well as the amount and timing of any payments under the Tax Receivable Agreement, will vary depending upon a number of factors, including the timing of redemptions or exchanges by the pre-IPO LLC Members, the price of shares of our Class A common stock at the time of the redemptions or exchanges, the extent to which such redemptions or exchanges are taxable, the amount of gain recognized by such holders of LLC Units,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16"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166"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TRA Parties that will not benefit the holders of our Class A common stock to the same extent that it will benefit the TRA Parties. We entered into the Tax Receivable Agreement with Portillo’s OpCo and the TRA Parties in connection with the completion of our IPO, which provides for the payment by us to the TRA Parties of 85% of the amount of tax benefits, if any, that we actually realize, or in certain circumstances are deemed to realize, as a result of</w:t>
      </w:r>
    </w:p>
    <w:p>
      <w:pPr>
        <w:spacing w:after="0" w:line="2" w:lineRule="exact"/>
        <w:rPr>
          <w:sz w:val="20"/>
          <w:szCs w:val="20"/>
          <w:color w:val="auto"/>
        </w:rPr>
      </w:pPr>
    </w:p>
    <w:p>
      <w:pPr>
        <w:ind w:right="20" w:firstLine="8"/>
        <w:spacing w:after="0" w:line="253" w:lineRule="auto"/>
        <w:tabs>
          <w:tab w:leader="none" w:pos="2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allocable share of existing tax basis in depreciable or amortizable assets relating to LLC Units acquired in our IPO, (ii) certain favorable tax attributes we acquired from the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our IPO and (y) future exchanges of LLC Units by pre-IPO LLC Members for Class A common stock and (iv) certain other tax benefits related to entering into the Tax Receivable Agreement, including payments made under the Tax Receivable Agreement.</w:t>
      </w:r>
    </w:p>
    <w:p>
      <w:pPr>
        <w:spacing w:after="0" w:line="21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Although we will retain 15% of the amount of such tax benefits, this and other aspects of our organizational structure may adversely impact the future trading market for our Class A common stock.</w:t>
      </w:r>
    </w:p>
    <w:p>
      <w:pPr>
        <w:spacing w:after="0" w:line="18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 may impair our ability to consummate change of control transactions or negatively impact the value received by owners of our Class A common stock.</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Tax Receivable Agreement provides that upon a “Change of Control” under the Tax Receivable Agreement (which is defined to include, among other things, a 50% change in control of Portillo’s Inc., the approval of a complete plan of liquidation or dissolution of Portillo’s Inc., the disposition of all or substantially all of Portillo’s Inc.’s direct or indirect assets or a change of a majority of the Board of Directors without approval of at least two-thirds majority of the then-existing Board members),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the lesser of (i) 6.5% per annum and (ii) one year LIBOR (or its successor rate) plus 100 basis points) of all future payments that holders of LLC Units or other recipients would have been entitled to receive under the Tax Receivable Agreement, and such accelerated payments and any other future payments under the Tax Receivable Agreement will utilize certain valuation assumptions, including an assumption that we would have sufficient taxable income to fully utilize all potential future tax benefits that are subject to the Tax Receivable Agreement.</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case of certain changes of control (as described above),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11"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 in the event that any tax benefits are disallowed.</w:t>
      </w:r>
    </w:p>
    <w:p>
      <w:pPr>
        <w:spacing w:after="0" w:line="16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Payments under the Tax Receivable Agreement will be based on the tax reporting positions that we determine, and the U.S. Internal Revenue Service, or the IRS, or another taxing authority may challenge all or part of the amount of existing tax basis,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that are the subject of the Tax Receivable Agreement.</w:t>
      </w:r>
    </w:p>
    <w:p>
      <w:pPr>
        <w:spacing w:after="0" w:line="222" w:lineRule="exact"/>
        <w:rPr>
          <w:sz w:val="20"/>
          <w:szCs w:val="20"/>
          <w:color w:val="auto"/>
        </w:rPr>
      </w:pPr>
    </w:p>
    <w:p>
      <w:pPr>
        <w:jc w:val="both"/>
        <w:ind w:right="340"/>
        <w:spacing w:after="0" w:line="272"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(the "1940 Act"), as a result of our ownership of Portillo’s OpCo, applicable restrictions could make it impractical for us to continue our business as contemplated and could have a material adverse effect on our business.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the Transactions in connection with our IPO, we obtained control over Portillo’s OpCo. As the sole managing member of Portillo’s OpCo, we control and operate Portillo’s OpCo. On that basis, we believe that our interest in Portillo’s OpCo is not an “investment security” as that term is used in the 1940 Act. However, if we were to cease participation in the management of Portillo’s OpCo, or if Portillo’s OpCo itself becomes an investment company, our interest in Portillo’s OpCo, could be deemed an “investment security” for purposes of the 1940 Act.</w:t>
      </w:r>
    </w:p>
    <w:p>
      <w:pPr>
        <w:spacing w:after="0" w:line="2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Portillo’s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Intellectual Property, Information Technology, and Data Security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protect and maintain our intellectual property, including our trademarks, could have a material adverse effect.</w:t>
      </w:r>
    </w:p>
    <w:p>
      <w:pPr>
        <w:spacing w:after="0" w:line="2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intellectual property includes our trademarks and service marks registered with the United States Patent and Trademark Office (including Portillo’s® and other names used by our restaurants), the trade dress of our restaurants, our websites and domain names (including our website at portillos.com and other websites and domain names used by our restaurants) and other unregistered intellectual property. The success of our business strategy depends on our continued ability to use such intellectual property that we own, in addition to intellectual property we license from third parties. We require continued use of our existing trademarks and service marks in order to increase brand awareness and develop our branded products. If our efforts to maintain and protect our intellectual property are not adequate (including by way of confidentiality or other contractual restrictions we impose on third parties), or if any third-party misappropriates, infringes, dilutes or otherwise violates our intellectual property, the value of our intellectual property may be harmed. For example, failure to protect or enforce our trademarks, whether in print, on the Internet or through social media or other media, could prevent us from challenging third parties who use trademarks similar to our trademarks and who, as a result, could cause consumer confusion, harm the public perception of our brands, prevent our brands and branded products from achieving and maintaining market acceptance and cause a material adverse effect on our business, financial condition and results of operations. There can be no assurance that all the steps we have taken to maintain and protect our intellectual property in the United States will be adequate or will permit us to obtain or maintain any competitive advantage.</w:t>
      </w:r>
    </w:p>
    <w:p>
      <w:pPr>
        <w:spacing w:after="0" w:line="2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Security breaches, system interruptions or a material failure of our system could disrupt our operations, compromise confidential guest information or confidential team member information, subject us to loss, harm our business, and have a material adverse impact on our business, financial condition and results of operations.</w:t>
      </w:r>
    </w:p>
    <w:p>
      <w:pPr>
        <w:spacing w:after="0" w:line="2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rely on computer systems and information technology to conduct our business. We have instituted controls, including information security governance controls, intended to protect our computer systems, our POS systems, and our information technology systems and networks. We also adhere to payment card industry data security standards and limit third party access for vendors that require access to our restaurant networks. We also have business continuity plans that attempt to anticipate and mitigate failures. However, we cannot control or prevent every cybersecurity risk.</w:t>
      </w:r>
    </w:p>
    <w:p>
      <w:pPr>
        <w:spacing w:after="0" w:line="20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business requires the collection, transmission, and retention of large volumes of guest and team member data, including personally identifiable information, in various information technology systems that we maintain and in those maintained by third parties with whom we contract to provide services. The integrity and protection of that guest and team member data is critical to us. Further, our guests and team members have a high expectation that we and our service providers will adequately protect their personal information.</w:t>
      </w:r>
    </w:p>
    <w:p>
      <w:pPr>
        <w:spacing w:after="0" w:line="20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Like many other retail and restaurant companies, we have experienced, and will likely continue to experience, attempts to compromise our information technology systems. Additionally, the techniques and sophistication used to conduct cyber-attacks and breaches of information technology systems, as well as the sources and targets of these attacks, change frequently and are often not recognized until such attacks are launched or have been in place for a period of time. While we continue to make significant investment in physical and technological security measures, team member training, and third party services, designed to anticipate cyber-attacks and prevent breaches, our information technology networks and infrastructure, or those of our third party vendors and other service providers could be vulnerable to damage, disruptions, shutdowns, data loss, or breaches due to criminal conduct, team member error, negligence or malfeasance, utility failures, natural disasters or other catastrophic events. Due to these scenarios, we cannot provide assurance that we will be successful in preventing every possible instance of cyber-attacks, breaches, or data loss.</w:t>
      </w:r>
    </w:p>
    <w:p>
      <w:pPr>
        <w:spacing w:after="0" w:line="2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Additionally, the information security and privacy requirements imposed by governmental regulation are evolving and we are required to comply with said requirements. Our systems may not be able to immediately satisfy these requirements, and may require significant additional investment and time to do so. Efforts to hack or breach security measures, failures of systems or software to operate as designed or intended, viruses, operator error or inadvertent releases of data can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Additionally, a significant theft, loss or misappropriation of, or unauthorized access to, our guests’ data or other proprietary data could result in fines, legal claims or proceedings, regulatory investigations and actions, or liability for failure to comply with privacy and information security laws, which could disrupt our operations, damage our reputation and expose us to claims from guests and team members, any of which could have a material adverse effect on our business, financial condition and results of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omni-channel approach will in large part rely on our information technology systems to operate successfully and allow for capabilities like mobile order and pay, third party delivery, and digital menu boards. As we expand our delivery business channels, our exposure to such risks will correspondingly increase.</w:t>
      </w:r>
    </w:p>
    <w:p>
      <w:pPr>
        <w:spacing w:after="0" w:line="19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systems, which in some cases rely on third-party providers, may experience service interruptions, degradation or other performance problems because of hardware and software defects or malfunctions, distributed denial-of-service and other cyber-attacks, infrastructure changes, human error, earthquakes, hurricanes, floods, fires, natural disasters, power losses, disruptions in telecommunications services, fraud, military or political conflicts, terrorist attacks, computer viruses, ransomware, malware, or other events. Our systems also may be subject to break-ins, sabotage, theft, and intentional acts of vandalism because of criminal third parties (including state-sponsored organizations with significant financial and technological resources), third parties we do business with or team members. Our reliance on third parties increases our exposure to such risks as we exercise less control over such persons. Our cyber insurance and business interruption insurance may not be sufficient to cover all of our losses that may result from interruptions in our service as a result of systems failures and similar events. As a result, if we experience any outsized material impacts from a failure of our systems, our business, financial condition and results of operations could be materially and adversely affected.</w:t>
      </w:r>
    </w:p>
    <w:p>
      <w:pPr>
        <w:spacing w:after="0" w:line="21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While we endeavor to keep all systems current, there can be no guarantee that we can update and maintain our systems at all times. In instances where we are unable to do so, the mitigating controls in place to reduce the risk may fail. Any such failure could lead to website downtime, disruptions to our information technology systems, or systems vulnerability exposure to cyber-criminals.</w:t>
      </w:r>
    </w:p>
    <w:p>
      <w:pPr>
        <w:spacing w:after="0" w:line="19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In addition, our reputation as a brand or as an employer could be adversely affected, which could impair our ability to attract and retain qualified employees.</w:t>
      </w:r>
    </w:p>
    <w:p>
      <w:pPr>
        <w:spacing w:after="0" w:line="182"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Failure to comply with existing and new federal and state laws and regulations relating to privacy, data protection, advertising and consumer protection, could have a material adverse effect.</w:t>
      </w:r>
    </w:p>
    <w:p>
      <w:pPr>
        <w:spacing w:after="0" w:line="16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rely on a variety of marketing and advertising techniques, including email communications, affiliate partnerships, social media interactions, digital marketing, direct mailers, public relations initiatives and local community sponsorships, promotions and partnerships, and we are subject to various laws and regulations that govern such marketing and advertising practices.</w:t>
      </w:r>
    </w:p>
    <w:p>
      <w:pPr>
        <w:spacing w:after="0" w:line="19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Laws and regulations relating to privacy, data protection, marketing and advertising, and consumer protection are evolving and subject to potentially differing interpretations. These requirements may be interpreted and applied in a manner that is inconsistent from one jurisdiction to another or may conflict with other rules or our practices. As a result, our practices may not have complied or may not comply in the future with all such laws, regulations, requirements and obligations. Any failure, or perceived failure, by us to comply with our privacy policies, our contractual commitments or any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customers, suppliers or others or other liabilities or may require us to change our operations and/or cease using certain data sets. We may also be contractually required to indemnify and hold harmless third parties from the costs or consequences of non-compliance with any laws, regulations or other legal obligations relating to privacy or consumer protection or any inadvertent or unauthorized use or disclosure of data that we store or handle as part of operating our business.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Federal and state governmental authorities continue to evaluate the privacy implications inherent in the use of third-party “cookies” and other methods of online tracking for behavioral advertising and other purposes. The U.S. government has enacted, has considered or is considering legislation or regulations that could significantly restrict the ability of companies and individuals to engage in these activities.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The regulation of the use of these cookies and other current online tracking and advertising practices or a loss in our ability to make effective use of services that employ such technologies could increase our costs of operations and limit our ability to acquire new customers on cost-effective terms and, consequently, have a material adverse effect on our business, financial condition and results of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addition, various federal and state legislative and regulatory bodies, or self-regulatory organizations, may expand current laws or regulations, enact new laws or regulations or issue revised rules or guidance regarding privacy, data protection, consumer protection, and advertising. Additionally, the Federal Trade Commission (the “FTC”) and many state attorneys general are interpreting federal and state consumer protection laws to impose standards for the online collection, use, dissemination and security of data. Each of these 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 which, in turn, could have a material adverse effect on our business, financial condition and results of operations.</w:t>
      </w:r>
    </w:p>
    <w:p>
      <w:pPr>
        <w:spacing w:after="0" w:line="210"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Litigation with respect to intellectual property, if decided against us, may result in competing uses or require adoption of new, non-infringing intellectual property, which may in turn adversely affect sales and revenues.</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There can be no assurance that third parties will not assert claims of infringement, misappropriation or other violation of intellectual property against us, or assert claims that our trademarks, service marks, trade names and other intellectual property are invalid or unenforceable. In addition, our trademarks may be narrowed. Any such claims decided against us could have a material adverse effect on our business, financial condition and results of operations. For example, if any of our intellectual property is invalidated or deemed unenforceable, competing uses of such intellectual property would be permitted and could lead to a decline in our results of operations. Additionally, any infringement or misappropriation claims decided against us could result in our being required to pay damages, to cease using our intellectual property, to develop or adopt non-infringing intellectual property or to acquire a license to the third party intellectual property that is the subject of the asserted claim. There could be significant expenses associated with the defense of any claims of infringement, misappropriation, or other violation of third-party intellectual property. We may also from time to time have to assert claims against third parties and initiate litigation in order to enforce our trademarks, service marks and other intellectual property. Any such litigation could result in substantial costs and diversion of resources, could be protracted with no certain of success, or could fail to achieve an adequate remedy. Any of these occurrences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Risks Related to Legal and Regulatory Matters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many federal, state and local laws with which compliance can be both costly and complex.</w:t>
      </w:r>
    </w:p>
    <w:p>
      <w:pPr>
        <w:spacing w:after="0" w:line="25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restaurant industry is subject to extensive federal, state and local laws and regulations, including those relating to building and zoning requirements and those relating to the preparation and sale of food. Such laws and regulations are subject to change from time to time. The failure to comply with these laws and regulations could adversely affect our results of operations.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restaurants and delay or result in our decision to cancel the opening of new restaurants, which could have a material adverse effect on our business, financial condition and results of operations.</w:t>
      </w:r>
    </w:p>
    <w:p>
      <w:pPr>
        <w:spacing w:after="0" w:line="21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development and operation of our restaurants depend, to a significant extent, on the selection of suitable sites, which are subject to zoning, land use, environmental, traffic and other regulations and requirements. We are also subject to licensing and regulation by state and local authorities relating to health, sanitation, safety and fire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There is also a potential for increased regulation of certain food establishments in the United States, where compliance with a Hazard Analysis and Critical Control Points (“HACCP”) approach would be required. HACCP refers to a management system in which food safety is addressed through the analysis and control of potential hazards from production, procurement and handling, to manufacturing, distribution and consumption of the finished product. Many states have required restaurants to develop and implement HACCP Systems, and the United States government continues to expand the sectors of the food industry that must adopt and implement HACCP programs. For example, the FDA Food Safety Modernization Act (“FSMA”), signed into law in January 2011, granted the U.S. Food and Drug Administration new authority regarding the safety of the entire food system, including through increased inspections and mandatory food recalls. Although restaurants are specifically exempted from or not directly implicated by some of these requirements, we anticipate that the requirements may impact our industry. Additionally, our suppliers may initiate or otherwise be subject to food recalls that may impact the availability of certain products, result in adverse publicity or require us to take actions that could be costly for us or otherwise impact our business. We may be required to incur additional time and resources to comply with new food safety requirements made under the FSMA or other federal or state food safety regulations. Failure to comply with the laws and regulatory requirements of federal, state and local authorities could result in, among other things, revocation of required licenses, administrative enforcement actions, fines and civil and criminal liability. In addition, many applicable laws could require us to expend significant funds to make modifications to our restaurants or operations to comply with such laws. Compliance with these laws can be costly and may increase our exposure to litigation or governmental investigations or proceedings.</w:t>
      </w:r>
    </w:p>
    <w:p>
      <w:pPr>
        <w:spacing w:after="0" w:line="2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Additionally, government regulation may impact our business as a result of changes in attitudes regarding diet and health or new information regarding the adverse health effects of consuming certain menu offerings. These changes have resulted in, and may continue to result in, laws and regulations requiring us to disclose the nutritional and allergen content of our food offerings and laws and regulations affecting permissible or limitations on ingredients and menu items. A number of counties, cities and states have enacted menu labeling laws requiring multi-unit restaurant operators to disclose to consumers certain nutritional and allergen information, or have enacted legislation restricting the use of certain types of ingredients in restaurants. An unfavorable report on, or reaction to, our menu ingredients, the size of our portions or the nutritional content of our menu items could negatively influence the demand for our menu offerings.</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Compliance with current and future laws and regulations regarding the ingredients, nutritional and allergen content of our menu items may be costly and time-consuming. If we fail to comply with existing or future laws and regulations, we may be subject to governmental or judicial fines or sanctions.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 We may not be able to effectively respond to changes in consumer health perceptions, comply with further nutrient content disclosure requirements or adapt our menu offerings to trends in eating habits, which could have a material adverse effect on our business, financial condition and results of operations.</w:t>
      </w:r>
    </w:p>
    <w:p>
      <w:pPr>
        <w:spacing w:after="0" w:line="2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subject to the ADA, which, among other things, requires our restaurants to meet federally mandated requirements for the disabled. The ADA prohibits discrimination in employment and public accommodations on the basis of disability. Under the ADA, we could be required to expend funds to modify our restaurants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could have a material adverse effect on our business, financial condition and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restaurants if we failed to comply with applicable standards. Compliance with all these laws and regulations can be costly and can increase our exposure to litigation or governmental investigations or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could be party to litigation that could distract management, increase our expenses or subject us to material monetary damages or other remedies.</w:t>
      </w:r>
    </w:p>
    <w:p>
      <w:pPr>
        <w:spacing w:after="0" w:line="16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guests occasionally file complaints or lawsuits against us alleging we caused an illness or injury they suffered at or after a visit to our restaurants, or that we have problems with food quality or operations. We are also subject to a variety of other claims arising in the ordinary course of our business, including personal injury claims, contract claims and claims alleging violations of federal and state securities laws or law regarding workplace and employment matters, equal opportunity, harassment, discrimination and similar matters, and we could encounter class action or other lawsuits related to these or different matters in the future. In recent years, a number of restaurant companies have been subject to such claims, and some of these lawsuits have resulted in the payment of substantial damages by the defendants. Regardless of whether any claims against us are valid, or whether we are ultimately held liable, claims may be expensive to defend and may divert time and money away from our operations and hurt our performance. A judgment in excess of our insurance coverage for any claims could have a material adverse effect on our business, financial condition and results of operations. In addition, such allegations could result in adverse publicity and negatively impact our reputation, which could have a material adverse effect on our business, financial condition and results of operations.</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the restaurant industry has been subject to a growing number of claims based on the nutritional content of food products sold and disclosure and advertising practices. We may also be subject to this type of proceeding in the future and, even if we are not, publicity about these matters (particularly directed at the fast casual or traditional fast food segments of the industry) may harm our reputation and could have a material adverse effect on our business, financial condition and results of operations.</w:t>
      </w:r>
    </w:p>
    <w:p>
      <w:pPr>
        <w:spacing w:after="0" w:line="205"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We can incur liabilities arising from environmental laws and compliance with environmental laws could increase our operating expenses.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federal, state and local laws, regulations and ordinances that govern activities or operations that may have adverse environmental effects, such as waste handling and disposal practices for solid and hazardous wastes, discharges to water and air and odor control and also impose liability for the costs of cleaning up, and damage resulting from, sites of past spills, disposals or other releases of hazardous materials. In particular, under applicable environmental laws, we may be responsible for remediation of environmental conditions and may be subject to associated liabilities, including liabilities for clean-up costs and personal injury or property damage, relating to our restaurants and the land on which our restaurants are located, regardless of whether such environmental conditions were created by us or by a prior owner or tenant. Third parties also may make claims against owners or operators of properties for personal injuries and property damage associated with releases of, or actual or alleged exposure to, such hazardous or toxic substances at, on or from our restaurants. Some of our leases provide for indemnification of our landlords for environmental contamination, clean-up or owner liability.</w:t>
      </w:r>
    </w:p>
    <w:p>
      <w:pPr>
        <w:spacing w:after="0" w:line="21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If we fail to maintain effective internal controls over financial reporting, or if our internal controls are not effective, our ability to produce timely and accurate financial information or comply with Section 404 of the Sarbanes-Oxley Act of 2002 could be impaired, which could have a material adverse effect.</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required to comply with Section 404 of the Sarbanes-Oxley Act (“Section 404”), which requires management to certify financial and other information in our quarterly and annual reports and provide an annual management report on the effectiveness of our internal control over financial reporting. In addition, under Section 404 our independent registered public accounting firm will also need to attest to the effectiveness of our internal control over financial in the future to the extent that we are no longer an emerging growth company or a smaller reporting company. To achieve compliance with Section 404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failure to achieve and maintain an effective internal control environment could have a material adverse effect on our business, financial condition and results of operations. In the event that we are not able to demonstrate compliance with Section 404, or if our internal control over financial reporting is perceived as inadequate or it is perceived that we are unable to produce timely or accurate consolidated financial statements, investors may lose confidence in our results of operations, the price of our Class A common stock could decline, we could become subject to investigations by the stock exchange on which our Class A common stock is listed, the SEC or other regulatory agencies, which could require additional financial and management resources, or our Class A common stock may not be able to remain listed on such exchange.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and could materially adversely affect our business, financial condition or results of operations.</w:t>
      </w:r>
    </w:p>
    <w:p>
      <w:pPr>
        <w:spacing w:after="0" w:line="212"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As a public company, we are subject to additional reporting requirements of the Exchange Act, the Sarbanes-Oxley Act, and the listing standards of the Nasdaq.</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General Risks</w:t>
      </w:r>
    </w:p>
    <w:p>
      <w:pPr>
        <w:spacing w:after="0" w:line="263"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Fluctuations in our tax obligations, and effective tax rate and realization of our deferred tax assets may result in volatility of our results of operations.</w:t>
      </w:r>
    </w:p>
    <w:p>
      <w:pPr>
        <w:spacing w:after="0" w:line="16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are subject to income taxes in various U.S. jurisdictions. We record tax expense based on our estimates of future payments, which may in the future include reserves for uncertain tax positions in multiple tax jurisdictions, and valuation allowances related to certain net deferred tax assets. Significant judgement is required in determining our provision for income taxes, deferred tax assets (DTAs) and in evaluating our tax positions in various U.S. jurisdictions.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effective tax rate in a given financial reporting period may be materially impacted by a variety of factors including, but not limited to, changes in the mix and level of earnings, varying tax rates in the different jurisdictions in which we operate, tax effects of equity-based compensation, changes in tax laws, regulations or interpretations thereof, cost related to intercompany restructuring, fluctuations in the valuation allowance or by changes to existing accounting rules or regulations. Further, new or revised tax legislation may be enacted in the future, which could negatively impact our current or future tax structure and effective tax rates.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25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Such losses could have a material adverse effect on our business, financial condition and results of operations.</w:t>
      </w:r>
    </w:p>
    <w:p>
      <w:pPr>
        <w:spacing w:after="0" w:line="200"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Changes in accounting principles applicable to us could have a material adverse effect on our business, financial condition and results of operations.</w:t>
      </w:r>
    </w:p>
    <w:p>
      <w:pPr>
        <w:spacing w:after="0" w:line="16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Generally accepted accounting principles in the United States of America ("GAAP")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financial condition and results of operations, and could affect the reporting of transactions completed before the implementation of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that may be initiated by our shareholders, and designates the federal district courts of the United States as the sole and exclusive forum for claims arising under the Securities Act, which, in each case could limit our shareholders’ ability to obtain a favorable judicial forum for certain disputes.</w:t>
      </w:r>
    </w:p>
    <w:p>
      <w:pPr>
        <w:spacing w:after="0" w:line="19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an alternative forum, the Court of Chancery of the State of Delaware (or if the Court of Chancery lacks jurisdiction, a state court located within the State of Delaware or the federal district court for the District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shareholder to us or our shareholders;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also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20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an alternative forum, the federal district courts of the United States of America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shareholder’s ability to bring a claim in a different judicial forum, including one that it may find favorable or convenient for a specified class of disputes with us or our directors, officers, other shareholders or employees, which may discourage such lawsuits, make them more difficult or expensive to pursue and result in outcomes that are less favorable to such shareholders than outcomes that may have been attainable in other jurisdictions. By agreeing to this provision, however, shareholders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19"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listing requirements of the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As a result, management’s attention may be diverted from other business concerns, which could harm our business and results of operations. We may need to hire more team members in the future to comply with these requirements, which will increase our costs and expenses.</w:t>
      </w:r>
    </w:p>
    <w:p>
      <w:pPr>
        <w:spacing w:after="0" w:line="20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management team and other personnel devote a substantial amount of time to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80"/>
        <w:spacing w:after="0" w:line="272" w:lineRule="auto"/>
        <w:rPr>
          <w:sz w:val="20"/>
          <w:szCs w:val="20"/>
          <w:color w:val="auto"/>
        </w:rPr>
      </w:pPr>
      <w:r>
        <w:rPr>
          <w:rFonts w:ascii="Arial" w:cs="Arial" w:eastAsia="Arial" w:hAnsi="Arial"/>
          <w:sz w:val="18"/>
          <w:szCs w:val="18"/>
          <w:b w:val="1"/>
          <w:bCs w:val="1"/>
          <w:i w:val="1"/>
          <w:iCs w:val="1"/>
          <w:color w:val="auto"/>
        </w:rPr>
        <w:t>Our annual and quarterly results of operations may fluctuate, and if our operating and financial performance in any given period does not meet the guidance that we have provided to the public or the expectations of our investors and securities analysts, the trading price of our Class A common stock may decline.</w:t>
      </w:r>
    </w:p>
    <w:p>
      <w:pPr>
        <w:spacing w:after="0" w:line="18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annual and quarterly results of operations may fluctuate for a variety of reasons, many of which are beyond our control. These reasons include those described in these risk factors as well as the following:</w:t>
      </w:r>
    </w:p>
    <w:p>
      <w:pPr>
        <w:spacing w:after="0" w:line="18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variations in the timing and volume of our sales;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planned or actual changes to our capital or debt 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sales promotions, acquisitions or restructurings;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legislation or other regulatory developments affecting us or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competitive and economic conditions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cost or availability of our ingredients or labor.</w:t>
      </w:r>
    </w:p>
    <w:p>
      <w:pPr>
        <w:spacing w:after="0" w:line="2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Fluctuations in our annual and quarterly results of operations may cause those results to fall below the guidance that we have provided to the public or the expectations of our investors and securities analysts, which could cause the trading price of our Class A common stock to decline. Fluctuations in our results could also cause a number of other problems. For example, analysts or investors might change their models for valuing our Class A common stock, we could experience short-term liquidity issues, our ability to retain or attract key personnel may diminish and other unanticipated issues may arise.</w:t>
      </w:r>
    </w:p>
    <w:p>
      <w:pPr>
        <w:spacing w:after="0" w:line="2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addition, we believe that our quarterly results of operations may vary in the future and that period-to-period comparisons of our results of operations may not be meaningful. You should not rely on the results of one quarter as an indication of future performance.</w:t>
      </w:r>
    </w:p>
    <w:p>
      <w:pPr>
        <w:spacing w:after="0" w:line="17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414042"/>
        </w:rPr>
        <w:t>ITEM 1B.</w:t>
      </w:r>
      <w:r>
        <w:rPr>
          <w:sz w:val="20"/>
          <w:szCs w:val="20"/>
          <w:color w:val="auto"/>
        </w:rPr>
        <w:tab/>
      </w:r>
      <w:r>
        <w:rPr>
          <w:rFonts w:ascii="Arial" w:cs="Arial" w:eastAsia="Arial" w:hAnsi="Arial"/>
          <w:sz w:val="24"/>
          <w:szCs w:val="24"/>
          <w:b w:val="1"/>
          <w:bCs w:val="1"/>
          <w:color w:val="414042"/>
        </w:rPr>
        <w:t>UNRESOLVED STAFF COMMENTS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414042"/>
        </w:rPr>
        <w:t>ITEM 2.</w:t>
        <w:tab/>
        <w:t>PROPERTIES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Our home office is located at 2001 Spring Road, Suite 400, Oak Brook, IL 60523. We lease our home office.</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restaurant footprint consists of 72 Portillo’s restaurants across nine states, including a restaurant owned by C&amp;O, of which Portillo’s owns 50% of the equity. We operate two food production commissaries in Illinois. We do not own any real property and lease all of our properties on which we operate restaurants and commissaries. We also have two non-traditional locations in operation including a food truck and a ghost kitchen in Chicago (small kitchen with no store-front presence, used to fill online 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25, 2022, we operated 72 restaurants located in the following states: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State</w:t>
            </w:r>
          </w:p>
        </w:tc>
        <w:tc>
          <w:tcPr>
            <w:tcW w:w="4340" w:type="dxa"/>
            <w:vAlign w:val="bottom"/>
          </w:tcPr>
          <w:p>
            <w:pPr>
              <w:jc w:val="right"/>
              <w:spacing w:after="0"/>
              <w:rPr>
                <w:sz w:val="20"/>
                <w:szCs w:val="20"/>
                <w:color w:val="auto"/>
              </w:rPr>
            </w:pPr>
            <w:r>
              <w:rPr>
                <w:rFonts w:ascii="Arial" w:cs="Arial" w:eastAsia="Arial" w:hAnsi="Arial"/>
                <w:sz w:val="16"/>
                <w:szCs w:val="16"/>
                <w:b w:val="1"/>
                <w:bCs w:val="1"/>
                <w:color w:val="auto"/>
              </w:rPr>
              <w:t>Number of Restaurants</w:t>
            </w:r>
          </w:p>
        </w:tc>
      </w:tr>
      <w:tr>
        <w:trPr>
          <w:trHeight w:val="247"/>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Arizona</w:t>
            </w:r>
          </w:p>
        </w:tc>
        <w:tc>
          <w:tcPr>
            <w:tcW w:w="4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6900" w:type="dxa"/>
            <w:vAlign w:val="bottom"/>
          </w:tcPr>
          <w:p>
            <w:pPr>
              <w:ind w:left="20"/>
              <w:spacing w:after="0"/>
              <w:rPr>
                <w:sz w:val="20"/>
                <w:szCs w:val="20"/>
                <w:color w:val="auto"/>
              </w:rPr>
            </w:pPr>
            <w:r>
              <w:rPr>
                <w:rFonts w:ascii="Arial" w:cs="Arial" w:eastAsia="Arial" w:hAnsi="Arial"/>
                <w:sz w:val="16"/>
                <w:szCs w:val="16"/>
                <w:color w:val="auto"/>
              </w:rPr>
              <w:t>California</w:t>
            </w:r>
          </w:p>
        </w:tc>
        <w:tc>
          <w:tcPr>
            <w:tcW w:w="43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1"/>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Florida</w:t>
            </w:r>
          </w:p>
        </w:tc>
        <w:tc>
          <w:tcPr>
            <w:tcW w:w="4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6900" w:type="dxa"/>
            <w:vAlign w:val="bottom"/>
          </w:tcPr>
          <w:p>
            <w:pPr>
              <w:ind w:left="20"/>
              <w:spacing w:after="0"/>
              <w:rPr>
                <w:sz w:val="20"/>
                <w:szCs w:val="20"/>
                <w:color w:val="auto"/>
              </w:rPr>
            </w:pPr>
            <w:r>
              <w:rPr>
                <w:rFonts w:ascii="Arial" w:cs="Arial" w:eastAsia="Arial" w:hAnsi="Arial"/>
                <w:sz w:val="16"/>
                <w:szCs w:val="16"/>
                <w:color w:val="auto"/>
              </w:rPr>
              <w:t>Illinois</w:t>
            </w:r>
          </w:p>
        </w:tc>
        <w:tc>
          <w:tcPr>
            <w:tcW w:w="43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51"/>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Indiana</w:t>
            </w:r>
          </w:p>
        </w:tc>
        <w:tc>
          <w:tcPr>
            <w:tcW w:w="4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w:t>
            </w:r>
          </w:p>
        </w:tc>
      </w:tr>
      <w:tr>
        <w:trPr>
          <w:trHeight w:val="235"/>
        </w:trPr>
        <w:tc>
          <w:tcPr>
            <w:tcW w:w="6900" w:type="dxa"/>
            <w:vAlign w:val="bottom"/>
          </w:tcPr>
          <w:p>
            <w:pPr>
              <w:ind w:left="20"/>
              <w:spacing w:after="0"/>
              <w:rPr>
                <w:sz w:val="20"/>
                <w:szCs w:val="20"/>
                <w:color w:val="auto"/>
              </w:rPr>
            </w:pPr>
            <w:r>
              <w:rPr>
                <w:rFonts w:ascii="Arial" w:cs="Arial" w:eastAsia="Arial" w:hAnsi="Arial"/>
                <w:sz w:val="16"/>
                <w:szCs w:val="16"/>
                <w:color w:val="auto"/>
              </w:rPr>
              <w:t>Iowa</w:t>
            </w:r>
          </w:p>
        </w:tc>
        <w:tc>
          <w:tcPr>
            <w:tcW w:w="43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1"/>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Michigan</w:t>
            </w:r>
          </w:p>
        </w:tc>
        <w:tc>
          <w:tcPr>
            <w:tcW w:w="43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r>
      <w:tr>
        <w:trPr>
          <w:trHeight w:val="235"/>
        </w:trPr>
        <w:tc>
          <w:tcPr>
            <w:tcW w:w="6900" w:type="dxa"/>
            <w:vAlign w:val="bottom"/>
          </w:tcPr>
          <w:p>
            <w:pPr>
              <w:ind w:left="20"/>
              <w:spacing w:after="0"/>
              <w:rPr>
                <w:sz w:val="20"/>
                <w:szCs w:val="20"/>
                <w:color w:val="auto"/>
              </w:rPr>
            </w:pPr>
            <w:r>
              <w:rPr>
                <w:rFonts w:ascii="Arial" w:cs="Arial" w:eastAsia="Arial" w:hAnsi="Arial"/>
                <w:sz w:val="16"/>
                <w:szCs w:val="16"/>
                <w:color w:val="auto"/>
              </w:rPr>
              <w:t>Minnesota</w:t>
            </w:r>
          </w:p>
        </w:tc>
        <w:tc>
          <w:tcPr>
            <w:tcW w:w="4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4"/>
        </w:trPr>
        <w:tc>
          <w:tcPr>
            <w:tcW w:w="6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Wisconsin</w:t>
            </w:r>
          </w:p>
        </w:tc>
        <w:tc>
          <w:tcPr>
            <w:tcW w:w="4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6900" w:type="dxa"/>
            <w:vAlign w:val="bottom"/>
          </w:tcPr>
          <w:p>
            <w:pPr>
              <w:ind w:left="6540"/>
              <w:spacing w:after="0"/>
              <w:rPr>
                <w:sz w:val="20"/>
                <w:szCs w:val="20"/>
                <w:color w:val="auto"/>
              </w:rPr>
            </w:pPr>
            <w:r>
              <w:rPr>
                <w:rFonts w:ascii="Arial" w:cs="Arial" w:eastAsia="Arial" w:hAnsi="Arial"/>
                <w:sz w:val="16"/>
                <w:szCs w:val="16"/>
                <w:color w:val="auto"/>
                <w:w w:val="95"/>
              </w:rPr>
              <w:t>Total</w:t>
            </w:r>
          </w:p>
        </w:tc>
        <w:tc>
          <w:tcPr>
            <w:tcW w:w="4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r>
      <w:tr>
        <w:trPr>
          <w:trHeight w:val="21"/>
        </w:trPr>
        <w:tc>
          <w:tcPr>
            <w:tcW w:w="690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414042"/>
        </w:rPr>
        <w:t>ITEM 3.</w:t>
        <w:tab/>
        <w:t>LEGAL PROCEEDINGS</w:t>
      </w:r>
    </w:p>
    <w:p>
      <w:pPr>
        <w:spacing w:after="0" w:line="25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disclosure provided in Part II, Item 8 "Financial Statements And Supplementary Data, Note 16. Contingencies" is incorporated herein by reference.</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414042"/>
        </w:rPr>
        <w:t>ITEM 4.</w:t>
        <w:tab/>
        <w:t>MINE SAFETY DISCLOSURE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9"/>
          <w:szCs w:val="29"/>
          <w:b w:val="1"/>
          <w:bCs w:val="1"/>
          <w:color w:val="414042"/>
        </w:rPr>
        <w:t>PART II</w:t>
      </w:r>
    </w:p>
    <w:p>
      <w:pPr>
        <w:spacing w:after="0" w:line="270" w:lineRule="exact"/>
        <w:rPr>
          <w:sz w:val="20"/>
          <w:szCs w:val="20"/>
          <w:color w:val="auto"/>
        </w:rPr>
      </w:pPr>
    </w:p>
    <w:p>
      <w:pPr>
        <w:ind w:right="840"/>
        <w:spacing w:after="0" w:line="298" w:lineRule="auto"/>
        <w:rPr>
          <w:sz w:val="20"/>
          <w:szCs w:val="20"/>
          <w:color w:val="auto"/>
        </w:rPr>
      </w:pPr>
      <w:r>
        <w:rPr>
          <w:rFonts w:ascii="Arial" w:cs="Arial" w:eastAsia="Arial" w:hAnsi="Arial"/>
          <w:sz w:val="25"/>
          <w:szCs w:val="25"/>
          <w:b w:val="1"/>
          <w:bCs w:val="1"/>
          <w:color w:val="414042"/>
        </w:rPr>
        <w:t>ITEM 5. MARKET FOR REGISTRANT'S COMMON EQUITY, RELATED STOCKHOLDER MATTERS AND ISSUER PURCHASES OF EQUITY SECURITIES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Market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stock is traded on the Nasdaq Global Select Market ("Nasdaq") under the symbol "PTLO."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Class B common stock is neither listed nor traded on any stock exchange.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Holders of Record</w:t>
      </w:r>
    </w:p>
    <w:p>
      <w:pPr>
        <w:spacing w:after="0" w:line="26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February 23, 2023, there were approximately 30 shareholders of record of our Class A common stock. The number of record holders does not include persons who held shares of our Class A common stock in nominee or "street name" accounts through brokers. As of February 23, 2023, there were 14 shareholders of record of our Class B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Dividend Policy</w:t>
      </w:r>
    </w:p>
    <w:p>
      <w:pPr>
        <w:spacing w:after="0" w:line="24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No dividends have been declared or paid on our shares of common stock. We do not anticipate paying any cash dividends on any of our shares of common stock in the foreseeable future. Any determination to pay dividends in the future will be at the discretion of our Board and will depend upon our results of operations, cash requirements, financial condition, contractual restrictions, restrictions imposed by applicable laws and other factors that our Board may deem relevant.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Securities Authorized for Issuance under Equity Incentive Plans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See Part III, Item 12 "Security Ownership of Certain Beneficial Owners and Management and Related Stockholder Matters"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D22630"/>
        </w:rPr>
        <w:t>Stock Performance Graph</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and table illustrate the total return from October 21, 2021 through December 25, 2022 for (i) our Class A common stock,</w:t>
      </w:r>
    </w:p>
    <w:p>
      <w:pPr>
        <w:spacing w:after="0" w:line="27" w:lineRule="exact"/>
        <w:rPr>
          <w:sz w:val="20"/>
          <w:szCs w:val="20"/>
          <w:color w:val="auto"/>
        </w:rPr>
      </w:pPr>
    </w:p>
    <w:p>
      <w:pPr>
        <w:ind w:firstLine="8"/>
        <w:spacing w:after="0" w:line="266" w:lineRule="auto"/>
        <w:tabs>
          <w:tab w:leader="none" w:pos="2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Standard and Poor's 500 Index, and (iii) the Standard and Poor’s Restaurants Index, assuming an investment of $100 on October 21, 2021 of Portillo's Inc. stock or on September 30, 2021 in the indices, including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137795</wp:posOffset>
            </wp:positionV>
            <wp:extent cx="5966460" cy="3643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6460" cy="364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00" w:type="dxa"/>
            <w:vAlign w:val="bottom"/>
            <w:tcBorders>
              <w:bottom w:val="single" w:sz="8" w:color="DBDBDB"/>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10/21/2021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12/26/2021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10/1/2022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12/25/2022</w:t>
            </w:r>
          </w:p>
        </w:tc>
      </w:tr>
      <w:tr>
        <w:trPr>
          <w:trHeight w:val="240"/>
        </w:trPr>
        <w:tc>
          <w:tcPr>
            <w:tcW w:w="61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Portillo's Inc.</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$131.75</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$82.10</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$57.53</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$67.66</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$59.07</w:t>
            </w:r>
          </w:p>
        </w:tc>
      </w:tr>
      <w:tr>
        <w:trPr>
          <w:trHeight w:val="239"/>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S&amp;P 500</w:t>
            </w: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940" w:type="dxa"/>
            <w:vAlign w:val="bottom"/>
          </w:tcPr>
          <w:p>
            <w:pPr>
              <w:jc w:val="right"/>
              <w:spacing w:after="0"/>
              <w:rPr>
                <w:sz w:val="20"/>
                <w:szCs w:val="20"/>
                <w:color w:val="auto"/>
              </w:rPr>
            </w:pPr>
            <w:r>
              <w:rPr>
                <w:rFonts w:ascii="Arial" w:cs="Arial" w:eastAsia="Arial" w:hAnsi="Arial"/>
                <w:sz w:val="16"/>
                <w:szCs w:val="16"/>
                <w:color w:val="auto"/>
              </w:rPr>
              <w:t>111.03</w:t>
            </w:r>
          </w:p>
        </w:tc>
        <w:tc>
          <w:tcPr>
            <w:tcW w:w="760" w:type="dxa"/>
            <w:vAlign w:val="bottom"/>
          </w:tcPr>
          <w:p>
            <w:pPr>
              <w:jc w:val="right"/>
              <w:spacing w:after="0"/>
              <w:rPr>
                <w:sz w:val="20"/>
                <w:szCs w:val="20"/>
                <w:color w:val="auto"/>
              </w:rPr>
            </w:pPr>
            <w:r>
              <w:rPr>
                <w:rFonts w:ascii="Arial" w:cs="Arial" w:eastAsia="Arial" w:hAnsi="Arial"/>
                <w:sz w:val="16"/>
                <w:szCs w:val="16"/>
                <w:color w:val="auto"/>
              </w:rPr>
              <w:t>105.92</w:t>
            </w:r>
          </w:p>
        </w:tc>
        <w:tc>
          <w:tcPr>
            <w:tcW w:w="760" w:type="dxa"/>
            <w:vAlign w:val="bottom"/>
          </w:tcPr>
          <w:p>
            <w:pPr>
              <w:jc w:val="right"/>
              <w:spacing w:after="0"/>
              <w:rPr>
                <w:sz w:val="20"/>
                <w:szCs w:val="20"/>
                <w:color w:val="auto"/>
              </w:rPr>
            </w:pPr>
            <w:r>
              <w:rPr>
                <w:rFonts w:ascii="Arial" w:cs="Arial" w:eastAsia="Arial" w:hAnsi="Arial"/>
                <w:sz w:val="16"/>
                <w:szCs w:val="16"/>
                <w:color w:val="auto"/>
              </w:rPr>
              <w:t>88.87</w:t>
            </w:r>
          </w:p>
        </w:tc>
        <w:tc>
          <w:tcPr>
            <w:tcW w:w="840" w:type="dxa"/>
            <w:vAlign w:val="bottom"/>
          </w:tcPr>
          <w:p>
            <w:pPr>
              <w:jc w:val="right"/>
              <w:spacing w:after="0"/>
              <w:rPr>
                <w:sz w:val="20"/>
                <w:szCs w:val="20"/>
                <w:color w:val="auto"/>
              </w:rPr>
            </w:pPr>
            <w:r>
              <w:rPr>
                <w:rFonts w:ascii="Arial" w:cs="Arial" w:eastAsia="Arial" w:hAnsi="Arial"/>
                <w:sz w:val="16"/>
                <w:szCs w:val="16"/>
                <w:color w:val="auto"/>
              </w:rPr>
              <w:t>84.53</w:t>
            </w:r>
          </w:p>
        </w:tc>
        <w:tc>
          <w:tcPr>
            <w:tcW w:w="880" w:type="dxa"/>
            <w:vAlign w:val="bottom"/>
          </w:tcPr>
          <w:p>
            <w:pPr>
              <w:jc w:val="right"/>
              <w:spacing w:after="0"/>
              <w:rPr>
                <w:sz w:val="20"/>
                <w:szCs w:val="20"/>
                <w:color w:val="auto"/>
              </w:rPr>
            </w:pPr>
            <w:r>
              <w:rPr>
                <w:rFonts w:ascii="Arial" w:cs="Arial" w:eastAsia="Arial" w:hAnsi="Arial"/>
                <w:sz w:val="16"/>
                <w:szCs w:val="16"/>
                <w:color w:val="auto"/>
              </w:rPr>
              <w:t>90.92</w:t>
            </w:r>
          </w:p>
        </w:tc>
      </w:tr>
      <w:tr>
        <w:trPr>
          <w:trHeight w:val="247"/>
        </w:trPr>
        <w:tc>
          <w:tcPr>
            <w:tcW w:w="610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S&amp;P Restaurants</w:t>
            </w: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108.31</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93.75</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87.32</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87.58</w:t>
            </w: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99.35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*$100 invested on 10/21/21 in Portillo's Inc. stock or 9/30/21 in indices, including reinvestment of dividends.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Indices calculated on month-end basis.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Source Data: Research Data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38" w:name="page39"/>
    <w:bookmarkEnd w:id="38"/>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 Sale of Unregistered Securities and Use of Proceeds from Registered Securities</w:t>
      </w:r>
    </w:p>
    <w:p>
      <w:pPr>
        <w:spacing w:after="0" w:line="2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third quarter of 2022, the Company completed a secondary offering of 8,066,458 shares of the Company's Class A common stock at an offering price of $23.75 per share ("Q3 Secondary Offering"). We used all of the net proceeds from the Q3 Secondary Offering to purchase LLC Units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The proceeds from the Q3 Secondary Offering were used to (i) purchase (i) 2,123,899 existing shares of Class A common stock from the shareholders of the Blocker Companies and (ii) redeem 5,942,559 LLC Units, in each case, held by certain pre-IPO LLC Members. In connection with the redemption, 5,942,559 shares of Class B common stock were surrendered by the pre-IPO LLC Members and canceled and the Company received 5,942,559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fourth quarter of 2022, the Company completed a secondary offering of 8,000,000 shares of the Company's Class A common stock at an offering price of $22.69 per share ("Q4 Secondary Offering"). We used all of the net proceeds from the Q4 Secondary Offering to purchase LLC Units from certain pre-IPO LLC Members and to repurchase shares of Class A common stock from the shareholders of the Blocker Companies at a price per LLC Unit or share of Class A common stock, as applicable. The proceeds from the Q4 Secondary Offering were used to (i) purchase 2,106,400 existing shares of Class A common stock from the shareholders of the Blocker Companies and (ii) redeem 5,893,000 LLC Units, in each case, held by the pre-IPO LLC Members. In connection with the redemption, 5,893,000 shares of Class B common stock were surrendered by the pre-IPO LLC Members and canceled and the Company received 5,893,000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414042"/>
        </w:rPr>
        <w:t>ITEM 6.</w:t>
      </w:r>
      <w:r>
        <w:rPr>
          <w:sz w:val="20"/>
          <w:szCs w:val="20"/>
          <w:color w:val="auto"/>
        </w:rPr>
        <w:tab/>
      </w:r>
      <w:r>
        <w:rPr>
          <w:rFonts w:ascii="Arial" w:cs="Arial" w:eastAsia="Arial" w:hAnsi="Arial"/>
          <w:sz w:val="24"/>
          <w:szCs w:val="24"/>
          <w:b w:val="1"/>
          <w:bCs w:val="1"/>
          <w:color w:val="414042"/>
        </w:rPr>
        <w:t>[RESERVED]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20"/>
        <w:spacing w:after="0" w:line="298" w:lineRule="auto"/>
        <w:rPr>
          <w:sz w:val="20"/>
          <w:szCs w:val="20"/>
          <w:color w:val="auto"/>
        </w:rPr>
      </w:pPr>
      <w:r>
        <w:rPr>
          <w:rFonts w:ascii="Arial" w:cs="Arial" w:eastAsia="Arial" w:hAnsi="Arial"/>
          <w:sz w:val="25"/>
          <w:szCs w:val="25"/>
          <w:b w:val="1"/>
          <w:bCs w:val="1"/>
          <w:color w:val="414042"/>
        </w:rPr>
        <w:t>ITEM 7. MANAGEMENT'S DISCUSSION AND ANALYSIS OF FINANCIAL CONDITION AND RESULTS OF OPERATIONS</w:t>
      </w:r>
    </w:p>
    <w:p>
      <w:pPr>
        <w:spacing w:after="0" w:line="1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section and other parts of this Annual Report on Form 10-K (“Form 10-K”) contain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w:t>
      </w:r>
    </w:p>
    <w:p>
      <w:pPr>
        <w:spacing w:after="0" w:line="2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10-K in the context of the risks and uncertainties disclosed in Part I, Item 1A "Risk Factors" and in Item 7 "Management's Discussion and Analysis of Financial Condition and Results of Operations."</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forward-looking statements included in this Form 10-K are made only as of the date hereof. We undertake no obligation to publicly update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a comparison of results of operations and financial condition for fiscal years 2021 and 2020, see “Management’s Discussion and Analysis of Financial Condition and Results of Operations” in our Form 10-K for the fiscal year ended December 26, 2021, filed March 10, 2022.</w:t>
      </w:r>
    </w:p>
    <w:p>
      <w:pPr>
        <w:spacing w:after="0" w:line="180"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use a 52- or 53-week fiscal year ending on the Sunday on or prior to December 31. In a 52-week fiscal year, each quarterly period is comprised of 13 weeks. The additional week in a 53-week fiscal year is added to the fourth quarter. We believe the difference in reporting periods does not have a material impact on comparability. Fiscal 2022 and 2021 each consisted of 52 weeks.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Overview</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which Dick Portillo called “The Dog House,” we have grown to become a treasured brand with a passionate (some might say obsessed) nationwide following.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delivery and catering in order to quickly and efficiently serve our guests. No matter how our guests order from us, our highly productive kitchens and team members consistently serve high-quality food and deliver a memorable guest experience. We believe the combination of our craveable food, multichannel sales model, dedication to operational excellence, and a distinctive culture driven by our team members gives us a competitive advantage.</w:t>
      </w:r>
    </w:p>
    <w:p>
      <w:pPr>
        <w:spacing w:after="0" w:line="21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December 25, 2022, we owned and operated 72 Portillo’s restaurants across 9 states, including a restaurant owned by C&amp;O Chicago, L.L.C. ("C&amp;O") of which Portillo’s owns 50% of the equity.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6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October 2021, we completed an initial public offering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and other offering expenses). The net proceeds and cash on hand were used as follows:</w:t>
      </w:r>
    </w:p>
    <w:p>
      <w:pPr>
        <w:spacing w:after="0" w:line="20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7" w:lineRule="exact"/>
        <w:rPr>
          <w:rFonts w:ascii="Arial" w:cs="Arial" w:eastAsia="Arial" w:hAnsi="Arial"/>
          <w:sz w:val="18"/>
          <w:szCs w:val="18"/>
          <w:color w:val="auto"/>
        </w:rPr>
      </w:pPr>
    </w:p>
    <w:p>
      <w:pPr>
        <w:ind w:left="660" w:right="780" w:hanging="328"/>
        <w:spacing w:after="0" w:line="250" w:lineRule="auto"/>
        <w:tabs>
          <w:tab w:leader="none" w:pos="66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0" w:name="page41"/>
    <w:bookmarkEnd w:id="40"/>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third quarter and fourth quarter of 2022, the Company completed two secondary offerings of 8,066,458 shares (including 66,458 shares sold to the underwriters pursuant to their overallotment option) and 8,000,000 shares, respectively, of the Company's Class A common stock at an offering price of $23.75 and $22.69, respectively, per share. We used all of the net proceeds from the secondary offerings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New Credit Agreement</w:t>
      </w:r>
    </w:p>
    <w:p>
      <w:pPr>
        <w:spacing w:after="0" w:line="2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February 2, 2023, PHD Intermediate LLC, a Delaware limited liability company (“Holdings”), Portillo’s Holdings, LLC, a Delaware limited liability company (the “Borrower”), the other Guarantors party thereto from time to time, each lender party thereto from time to time and Fifth Third Bank, National Association, as Administrative Agent, L/C Issuer and Swing Line Lender entered into a Credit Agreement (“New Credit Agreement”) which provides for a Term A Loan ("Term Loan") in an initial aggregate principal amount of $300.0 million and initial Revolving Credit Commitments in an initial aggregate principal amount of $100.0 million (the “New Revolver Facility”). The proceeds under the Term Loan and New Revolver Facility, along with cash on hand, were used to repay outstanding indebtedness under the First Lien Credit Agreement and to pay related transaction expenses. The Term Loan and New Revolver Facility are scheduled to mature on February 2, 2028. The Company anticipates using the remainder of the loan proceeds for general corporate purposes and working capital needs.</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See Note 18. Subsequent Events for a description of the New Credit Agreement and the repayment of borrowings under the First Lien Credit 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 Developments and Trends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Fiscal 2022 Highlights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fiscal 2022 financial highlights include:</w:t>
      </w:r>
    </w:p>
    <w:p>
      <w:pPr>
        <w:spacing w:after="0" w:line="252" w:lineRule="exact"/>
        <w:rPr>
          <w:sz w:val="20"/>
          <w:szCs w:val="20"/>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Total revenue increased 9.7% or $52.2 million to $587.1 million;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Same-restaurant sales increased 5.4%;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Operating income increased $11.3 million to $41.3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Net income increased $30.6 million to $17.2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3"/>
        </w:numPr>
        <w:rPr>
          <w:rFonts w:ascii="Arial" w:cs="Arial" w:eastAsia="Arial" w:hAnsi="Arial"/>
          <w:sz w:val="18"/>
          <w:szCs w:val="18"/>
          <w:b w:val="1"/>
          <w:bCs w:val="1"/>
          <w:color w:val="414042"/>
        </w:rPr>
      </w:pPr>
      <w:r>
        <w:rPr>
          <w:rFonts w:ascii="Arial" w:cs="Arial" w:eastAsia="Arial" w:hAnsi="Arial"/>
          <w:sz w:val="18"/>
          <w:szCs w:val="18"/>
          <w:color w:val="auto"/>
        </w:rPr>
        <w:t>Restaurant-Level Adjusted EBITDA* decreased $9.6 million to $132.5 million; and</w:t>
      </w:r>
    </w:p>
    <w:p>
      <w:pPr>
        <w:spacing w:after="0" w:line="9" w:lineRule="exact"/>
        <w:rPr>
          <w:rFonts w:ascii="Arial" w:cs="Arial" w:eastAsia="Arial" w:hAnsi="Arial"/>
          <w:sz w:val="18"/>
          <w:szCs w:val="18"/>
          <w:b w:val="1"/>
          <w:bCs w:val="1"/>
          <w:color w:val="414042"/>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Adjusted EBITDA* decreased $13.5 million to $85.0 million.</w:t>
      </w:r>
    </w:p>
    <w:p>
      <w:pPr>
        <w:spacing w:after="0" w:line="243" w:lineRule="exact"/>
        <w:rPr>
          <w:rFonts w:ascii="Arial" w:cs="Arial" w:eastAsia="Arial" w:hAnsi="Arial"/>
          <w:sz w:val="18"/>
          <w:szCs w:val="18"/>
          <w:color w:val="auto"/>
        </w:rPr>
      </w:pPr>
    </w:p>
    <w:p>
      <w:pPr>
        <w:ind w:right="120"/>
        <w:spacing w:after="0" w:line="273" w:lineRule="auto"/>
        <w:rPr>
          <w:rFonts w:ascii="Arial" w:cs="Arial" w:eastAsia="Arial" w:hAnsi="Arial"/>
          <w:sz w:val="18"/>
          <w:szCs w:val="18"/>
          <w:color w:val="auto"/>
        </w:rPr>
      </w:pPr>
      <w:r>
        <w:rPr>
          <w:rFonts w:ascii="Arial" w:cs="Arial" w:eastAsia="Arial" w:hAnsi="Arial"/>
          <w:sz w:val="14"/>
          <w:szCs w:val="14"/>
          <w:color w:val="auto"/>
        </w:rPr>
        <w:t>* Adjusted EBITDA and Restaurant-Level Adjusted EBITDA are non-GAAP measures. Definitions and reconciliations of Adjusted EBITDA to net income (loss) and Restaurant-Level Adjusted EBITDA to operating income, the most directly comparable financial measures presented in accordance with GAAP, are set forth under the section "Key Performance Indicators and Non-GAAP Financial Measures".</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continue to see revenue growth due to our new restaurant openings, as well as same-restaurant sales growth. Total revenue grew 9.7% during the year ended December 25, 2022. Same-restaurant sales grew 5.4% during the year ended December 25, 2022. During the fourth quarter of 2022, total revenue grew 8.6% and same-restaurant sales increased 6.0%. We experienced positive trends during most of the quarter, but did experience significant sales declines the last week of our fiscal quarter due to Winter Storm Elliott. We estimate that Winter Storm Elliott had a negative impact of at least 0.7% on our same -restaurant sales growth in the fourth quarter of 2022. Subsequent to the fourth quarter of 2022, we have seen improvements in our sales trends as same-restaurant sales grew 12.3% in our first fiscal period of 2023 and we estimate same-restaurant sales to grow 7.9% in our second fiscal period of 2023. We currently anticipate our same-restaurant sales growth to be in the range of 8% to 10% and total revenue growth to be in the range of 16% to 18% for the first quarter of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1" w:name="page42"/>
    <w:bookmarkEnd w:id="41"/>
    <w:p>
      <w:pPr>
        <w:ind w:right="20"/>
        <w:spacing w:after="0" w:line="255" w:lineRule="auto"/>
        <w:rPr>
          <w:sz w:val="20"/>
          <w:szCs w:val="20"/>
          <w:color w:val="auto"/>
        </w:rPr>
      </w:pPr>
      <w:r>
        <w:rPr>
          <w:rFonts w:ascii="Arial" w:cs="Arial" w:eastAsia="Arial" w:hAnsi="Arial"/>
          <w:sz w:val="18"/>
          <w:szCs w:val="18"/>
          <w:color w:val="auto"/>
        </w:rPr>
        <w:t>During the year ended December 25, 2022, we experienced approximately 15.2% commodity inflation versus the year ended December 26, 2021, with the most impactful increases in beef and chicken prices. Additionally, we experienced higher labor expenses during the year ended December 25, 2022, compared to the year ended December 26, 2021 primarily due to additional wage investments, specifically investments to support our hourly team members. These investments in labor, combined with the commodity inflation, had a negative impact to Restaurant-Level Adjusted EBITDA Margin. We partially offset these expense increases through menu price increases and operational efficiencies. For the year ended December 25, 2022, we increased certain menu prices by 7.5%. As a result of the aforementioned expenses and menu price increases, Restaurant-Level Adjusted EBITDA Margin was 22.6% in the year ended December 25, 2022 versus 26.6% in the year ended December 26, 2021.</w:t>
      </w:r>
    </w:p>
    <w:p>
      <w:pPr>
        <w:spacing w:after="0" w:line="2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fiscal 2023, we expect our overall commodity inflation to ease and are currently estimating commodity inflation in the mid single digits. Additionally, we do anticipate additional wage investments. We will continue to strategically offset these expense increases through menu price increases and operational efficiencies. During mid-January of 2023, we increased certain menu prices by approximately 2.0%. Absent global economic disruptions, and based on the current trend of our business operations and our continued focus on strategic initiatives that will grow our restaurant count, improve the operating model, enhance the menu, and improve our career pathing and compensation models, we believe in the strength of our brand and that our focus on our strategic priorities will deliver consistent growth.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Development Highlights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2022, we targeted opening seven new restaurants ("Class of 2022"). During the year ended December 25, 2022, we opened three new restaurants in our existing markets of Illinois, Florida, and Indiana. Permitting and occupancy delays caused our Class of 2022 opening timeline to lengthen into 2023, resulting in four restaurants opening subsequent to our 2022 fiscal year end. These restaurants included three in our existing markets of Florida and Arizona and our first restaurant in the state of Texas. Below are the seven restaurants included in the Class of 2022 along with their opening dates.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Location</w:t>
            </w:r>
          </w:p>
        </w:tc>
        <w:tc>
          <w:tcPr>
            <w:tcW w:w="5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Opening Date</w:t>
            </w:r>
          </w:p>
        </w:tc>
      </w:tr>
      <w:tr>
        <w:trPr>
          <w:trHeight w:val="240"/>
        </w:trPr>
        <w:tc>
          <w:tcPr>
            <w:tcW w:w="5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Joliet, Illinois</w:t>
            </w:r>
          </w:p>
        </w:tc>
        <w:tc>
          <w:tcPr>
            <w:tcW w:w="5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January 2022</w:t>
            </w:r>
          </w:p>
        </w:tc>
      </w:tr>
      <w:tr>
        <w:trPr>
          <w:trHeight w:val="235"/>
        </w:trPr>
        <w:tc>
          <w:tcPr>
            <w:tcW w:w="5600" w:type="dxa"/>
            <w:vAlign w:val="bottom"/>
          </w:tcPr>
          <w:p>
            <w:pPr>
              <w:ind w:left="20"/>
              <w:spacing w:after="0"/>
              <w:rPr>
                <w:sz w:val="20"/>
                <w:szCs w:val="20"/>
                <w:color w:val="auto"/>
              </w:rPr>
            </w:pPr>
            <w:r>
              <w:rPr>
                <w:rFonts w:ascii="Arial" w:cs="Arial" w:eastAsia="Arial" w:hAnsi="Arial"/>
                <w:sz w:val="16"/>
                <w:szCs w:val="16"/>
                <w:color w:val="auto"/>
              </w:rPr>
              <w:t>St. Petersburg, Florida</w:t>
            </w:r>
          </w:p>
        </w:tc>
        <w:tc>
          <w:tcPr>
            <w:tcW w:w="5640" w:type="dxa"/>
            <w:vAlign w:val="bottom"/>
          </w:tcPr>
          <w:p>
            <w:pPr>
              <w:jc w:val="right"/>
              <w:spacing w:after="0"/>
              <w:rPr>
                <w:sz w:val="20"/>
                <w:szCs w:val="20"/>
                <w:color w:val="auto"/>
              </w:rPr>
            </w:pPr>
            <w:r>
              <w:rPr>
                <w:rFonts w:ascii="Arial" w:cs="Arial" w:eastAsia="Arial" w:hAnsi="Arial"/>
                <w:sz w:val="16"/>
                <w:szCs w:val="16"/>
                <w:color w:val="auto"/>
              </w:rPr>
              <w:t>March 2022</w:t>
            </w:r>
          </w:p>
        </w:tc>
      </w:tr>
      <w:tr>
        <w:trPr>
          <w:trHeight w:val="251"/>
        </w:trPr>
        <w:tc>
          <w:tcPr>
            <w:tcW w:w="5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Schererville, Indiana</w:t>
            </w:r>
          </w:p>
        </w:tc>
        <w:tc>
          <w:tcPr>
            <w:tcW w:w="5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November 2022</w:t>
            </w:r>
          </w:p>
        </w:tc>
      </w:tr>
      <w:tr>
        <w:trPr>
          <w:trHeight w:val="235"/>
        </w:trPr>
        <w:tc>
          <w:tcPr>
            <w:tcW w:w="5600" w:type="dxa"/>
            <w:vAlign w:val="bottom"/>
          </w:tcPr>
          <w:p>
            <w:pPr>
              <w:ind w:left="20"/>
              <w:spacing w:after="0"/>
              <w:rPr>
                <w:sz w:val="20"/>
                <w:szCs w:val="20"/>
                <w:color w:val="auto"/>
              </w:rPr>
            </w:pPr>
            <w:r>
              <w:rPr>
                <w:rFonts w:ascii="Arial" w:cs="Arial" w:eastAsia="Arial" w:hAnsi="Arial"/>
                <w:sz w:val="16"/>
                <w:szCs w:val="16"/>
                <w:color w:val="auto"/>
              </w:rPr>
              <w:t>Kissimmee, Florida</w:t>
            </w:r>
          </w:p>
        </w:tc>
        <w:tc>
          <w:tcPr>
            <w:tcW w:w="5640" w:type="dxa"/>
            <w:vAlign w:val="bottom"/>
          </w:tcPr>
          <w:p>
            <w:pPr>
              <w:jc w:val="right"/>
              <w:spacing w:after="0"/>
              <w:rPr>
                <w:sz w:val="20"/>
                <w:szCs w:val="20"/>
                <w:color w:val="auto"/>
              </w:rPr>
            </w:pPr>
            <w:r>
              <w:rPr>
                <w:rFonts w:ascii="Arial" w:cs="Arial" w:eastAsia="Arial" w:hAnsi="Arial"/>
                <w:sz w:val="16"/>
                <w:szCs w:val="16"/>
                <w:color w:val="auto"/>
              </w:rPr>
              <w:t>December 2022</w:t>
            </w:r>
          </w:p>
        </w:tc>
      </w:tr>
      <w:tr>
        <w:trPr>
          <w:trHeight w:val="251"/>
        </w:trPr>
        <w:tc>
          <w:tcPr>
            <w:tcW w:w="5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The Colony, Texas</w:t>
            </w:r>
          </w:p>
        </w:tc>
        <w:tc>
          <w:tcPr>
            <w:tcW w:w="5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January 2023</w:t>
            </w:r>
          </w:p>
        </w:tc>
      </w:tr>
      <w:tr>
        <w:trPr>
          <w:trHeight w:val="235"/>
        </w:trPr>
        <w:tc>
          <w:tcPr>
            <w:tcW w:w="5600" w:type="dxa"/>
            <w:vAlign w:val="bottom"/>
          </w:tcPr>
          <w:p>
            <w:pPr>
              <w:ind w:left="20"/>
              <w:spacing w:after="0"/>
              <w:rPr>
                <w:sz w:val="20"/>
                <w:szCs w:val="20"/>
                <w:color w:val="auto"/>
              </w:rPr>
            </w:pPr>
            <w:r>
              <w:rPr>
                <w:rFonts w:ascii="Arial" w:cs="Arial" w:eastAsia="Arial" w:hAnsi="Arial"/>
                <w:sz w:val="16"/>
                <w:szCs w:val="16"/>
                <w:color w:val="auto"/>
              </w:rPr>
              <w:t>Tucson, Arizona</w:t>
            </w:r>
          </w:p>
        </w:tc>
        <w:tc>
          <w:tcPr>
            <w:tcW w:w="5640" w:type="dxa"/>
            <w:vAlign w:val="bottom"/>
          </w:tcPr>
          <w:p>
            <w:pPr>
              <w:jc w:val="right"/>
              <w:spacing w:after="0"/>
              <w:rPr>
                <w:sz w:val="20"/>
                <w:szCs w:val="20"/>
                <w:color w:val="auto"/>
              </w:rPr>
            </w:pPr>
            <w:r>
              <w:rPr>
                <w:rFonts w:ascii="Arial" w:cs="Arial" w:eastAsia="Arial" w:hAnsi="Arial"/>
                <w:sz w:val="16"/>
                <w:szCs w:val="16"/>
                <w:color w:val="auto"/>
              </w:rPr>
              <w:t>February 2023</w:t>
            </w:r>
          </w:p>
        </w:tc>
      </w:tr>
      <w:tr>
        <w:trPr>
          <w:trHeight w:val="251"/>
        </w:trPr>
        <w:tc>
          <w:tcPr>
            <w:tcW w:w="5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Gilbert, Arizona</w:t>
            </w:r>
          </w:p>
        </w:tc>
        <w:tc>
          <w:tcPr>
            <w:tcW w:w="5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March 2023 (Expected)</w:t>
            </w:r>
          </w:p>
        </w:tc>
      </w:tr>
    </w:tbl>
    <w:p>
      <w:pPr>
        <w:spacing w:after="0" w:line="3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Long term, we aim to increase our number of restaurants by approximately 10% annually. Our near-term restaurant growth strategy is focused on leveraging our proven unit economic model primarily in markets outside Chicagoland with favorable macro -economic tailwinds where we already have a presence and brand awareness. We will also add select new restaurants in the Chicagoland market. For fiscal 2023, we are targeting opening nine new restaurants ("Class of 2023"). Our development pipeline for the Class of 2023 will focus on growing across the sunbelt (Arizona, Texas, and Florida) and building scale in existing Midwest markets.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Menu Innovation</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primary strategy for menu innovation is to drive traffic through truly craveable foods that can be made with a Portillo's spin. We are constantly studying ways to further enhance our existing offerings while thoughtfully adding new high-quality items. We are also disciplined in maintaining the number of options on our menu, while ensuring consistency in execution, and maintaining the breadth that helps drive our industry-leading volumes. When a new item earns its way onto our menu, we often replace an existing item to maintain our operational efficiency</w:t>
      </w:r>
      <w:r>
        <w:rPr>
          <w:rFonts w:ascii="Calibri" w:cs="Calibri" w:eastAsia="Calibri" w:hAnsi="Calibri"/>
          <w:sz w:val="19"/>
          <w:szCs w:val="19"/>
          <w:color w:val="auto"/>
        </w:rPr>
        <w:t>.</w:t>
      </w:r>
      <w:r>
        <w:rPr>
          <w:rFonts w:ascii="Arial" w:cs="Arial" w:eastAsia="Arial" w:hAnsi="Arial"/>
          <w:sz w:val="18"/>
          <w:szCs w:val="18"/>
          <w:color w:val="auto"/>
        </w:rPr>
        <w:t xml:space="preserve"> In the year ended December 25, 2022, we introduced the Plant-based Garden Dog. The Plant-based Garden Dog is made with 100% plant-based protein, grilled and dragged through the same garden of Chicago-style ingredients as our classic Chicago-style hot dog. We also offer seasonal shakes and specialty cakes to compliment our existing menu.</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Consolidated Results of Operations</w:t>
      </w:r>
    </w:p>
    <w:p>
      <w:pPr>
        <w:spacing w:after="0" w:line="261" w:lineRule="exact"/>
        <w:rPr>
          <w:sz w:val="20"/>
          <w:szCs w:val="20"/>
          <w:color w:val="auto"/>
        </w:rPr>
      </w:pPr>
    </w:p>
    <w:p>
      <w:pPr>
        <w:ind w:right="820"/>
        <w:spacing w:after="0" w:line="284" w:lineRule="auto"/>
        <w:rPr>
          <w:sz w:val="20"/>
          <w:szCs w:val="20"/>
          <w:color w:val="auto"/>
        </w:rPr>
      </w:pPr>
      <w:r>
        <w:rPr>
          <w:rFonts w:ascii="Arial" w:cs="Arial" w:eastAsia="Arial" w:hAnsi="Arial"/>
          <w:sz w:val="18"/>
          <w:szCs w:val="18"/>
          <w:color w:val="auto"/>
        </w:rPr>
        <w:t>The following table summarizes our results of operations for the fiscal years ended December 25, 2022 and December 26,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gridSpan w:val="5"/>
          </w:tcPr>
          <w:p>
            <w:pPr>
              <w:ind w:left="380"/>
              <w:spacing w:after="0"/>
              <w:rPr>
                <w:sz w:val="20"/>
                <w:szCs w:val="20"/>
                <w:color w:val="auto"/>
              </w:rPr>
            </w:pPr>
            <w:r>
              <w:rPr>
                <w:rFonts w:ascii="Arial" w:cs="Arial" w:eastAsia="Arial" w:hAnsi="Arial"/>
                <w:sz w:val="16"/>
                <w:szCs w:val="16"/>
                <w:b w:val="1"/>
                <w:bCs w:val="1"/>
                <w:color w:val="auto"/>
              </w:rPr>
              <w:t>Fiscal Years Ended</w:t>
            </w:r>
          </w:p>
        </w:tc>
        <w:tc>
          <w:tcPr>
            <w:tcW w:w="1100" w:type="dxa"/>
            <w:vAlign w:val="bottom"/>
          </w:tcPr>
          <w:p>
            <w:pPr>
              <w:spacing w:after="0"/>
              <w:rPr>
                <w:sz w:val="19"/>
                <w:szCs w:val="19"/>
                <w:color w:val="auto"/>
              </w:rPr>
            </w:pPr>
          </w:p>
        </w:tc>
      </w:tr>
      <w:tr>
        <w:trPr>
          <w:trHeight w:val="247"/>
        </w:trPr>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4"/>
          </w:tcPr>
          <w:p>
            <w:pPr>
              <w:ind w:left="120"/>
              <w:spacing w:after="0"/>
              <w:rPr>
                <w:sz w:val="20"/>
                <w:szCs w:val="20"/>
                <w:color w:val="auto"/>
              </w:rPr>
            </w:pPr>
            <w:r>
              <w:rPr>
                <w:rFonts w:ascii="Arial" w:cs="Arial" w:eastAsia="Arial" w:hAnsi="Arial"/>
                <w:sz w:val="16"/>
                <w:szCs w:val="16"/>
                <w:b w:val="1"/>
                <w:bCs w:val="1"/>
                <w:color w:val="auto"/>
              </w:rPr>
              <w:t>December 25, 2022</w:t>
            </w:r>
          </w:p>
        </w:tc>
        <w:tc>
          <w:tcPr>
            <w:tcW w:w="220" w:type="dxa"/>
            <w:vAlign w:val="bottom"/>
          </w:tcPr>
          <w:p>
            <w:pPr>
              <w:spacing w:after="0"/>
              <w:rPr>
                <w:sz w:val="21"/>
                <w:szCs w:val="21"/>
                <w:color w:val="auto"/>
              </w:rPr>
            </w:pPr>
          </w:p>
        </w:tc>
        <w:tc>
          <w:tcPr>
            <w:tcW w:w="196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68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REVENUES, NET</w:t>
            </w:r>
          </w:p>
        </w:tc>
        <w:tc>
          <w:tcPr>
            <w:tcW w:w="220" w:type="dxa"/>
            <w:vAlign w:val="bottom"/>
            <w:tcBorders>
              <w:top w:val="single" w:sz="8" w:color="auto"/>
            </w:tcBorders>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587,104</w:t>
            </w:r>
          </w:p>
        </w:tc>
        <w:tc>
          <w:tcPr>
            <w:tcW w:w="100" w:type="dxa"/>
            <w:vAlign w:val="bottom"/>
            <w:tcBorders>
              <w:top w:val="single" w:sz="8" w:color="auto"/>
            </w:tcBorders>
            <w:shd w:val="clear" w:color="auto" w:fill="DBDBDB"/>
          </w:tcPr>
          <w:p>
            <w:pPr>
              <w:spacing w:after="0"/>
              <w:rPr>
                <w:sz w:val="20"/>
                <w:szCs w:val="20"/>
                <w:color w:val="auto"/>
              </w:rPr>
            </w:pP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DBDBDB"/>
            </w:tcBorders>
            <w:shd w:val="clear" w:color="auto" w:fill="DBDBDB"/>
          </w:tcPr>
          <w:p>
            <w:pPr>
              <w:spacing w:after="0"/>
              <w:rPr>
                <w:sz w:val="20"/>
                <w:szCs w:val="20"/>
                <w:color w:val="auto"/>
              </w:rPr>
            </w:pPr>
          </w:p>
        </w:tc>
        <w:tc>
          <w:tcPr>
            <w:tcW w:w="220" w:type="dxa"/>
            <w:vAlign w:val="bottom"/>
            <w:tcBorders>
              <w:top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534,952</w:t>
            </w:r>
          </w:p>
        </w:tc>
        <w:tc>
          <w:tcPr>
            <w:tcW w:w="80" w:type="dxa"/>
            <w:vAlign w:val="bottom"/>
            <w:tcBorders>
              <w:top w:val="single" w:sz="8" w:color="auto"/>
            </w:tcBorders>
            <w:shd w:val="clear" w:color="auto" w:fill="DBDBDB"/>
          </w:tcPr>
          <w:p>
            <w:pPr>
              <w:spacing w:after="0"/>
              <w:rPr>
                <w:sz w:val="20"/>
                <w:szCs w:val="20"/>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57"/>
        </w:trPr>
        <w:tc>
          <w:tcPr>
            <w:tcW w:w="6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43"/>
        </w:trPr>
        <w:tc>
          <w:tcPr>
            <w:tcW w:w="68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COST AND EXPENSES: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r>
      <w:tr>
        <w:trPr>
          <w:trHeight w:val="235"/>
        </w:trPr>
        <w:tc>
          <w:tcPr>
            <w:tcW w:w="6820" w:type="dxa"/>
            <w:vAlign w:val="bottom"/>
            <w:gridSpan w:val="2"/>
          </w:tcPr>
          <w:p>
            <w:pPr>
              <w:ind w:left="140"/>
              <w:spacing w:after="0"/>
              <w:rPr>
                <w:sz w:val="20"/>
                <w:szCs w:val="20"/>
                <w:color w:val="auto"/>
              </w:rPr>
            </w:pPr>
            <w:r>
              <w:rPr>
                <w:rFonts w:ascii="Arial" w:cs="Arial" w:eastAsia="Arial" w:hAnsi="Arial"/>
                <w:sz w:val="16"/>
                <w:szCs w:val="16"/>
                <w:color w:val="auto"/>
              </w:rPr>
              <w:t>Restaurant operating expenses: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1"/>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Cost of goods sold, excluding depreciation and amortization</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204,237</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166,764</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31.2 %</w:t>
            </w:r>
          </w:p>
        </w:tc>
      </w:tr>
      <w:tr>
        <w:trPr>
          <w:trHeight w:val="23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Labor</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154,392</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26.3 %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138,788</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25.9 %</w:t>
            </w:r>
          </w:p>
        </w:tc>
      </w:tr>
      <w:tr>
        <w:trPr>
          <w:trHeight w:val="251"/>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Occupancy</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30,657</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28,060</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5.2 %</w:t>
            </w:r>
          </w:p>
        </w:tc>
      </w:tr>
      <w:tr>
        <w:trPr>
          <w:trHeight w:val="236"/>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operating expenses</w:t>
            </w:r>
          </w:p>
        </w:tc>
        <w:tc>
          <w:tcPr>
            <w:tcW w:w="10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65,312</w:t>
            </w:r>
          </w:p>
        </w:tc>
        <w:tc>
          <w:tcPr>
            <w:tcW w:w="100" w:type="dxa"/>
            <w:vAlign w:val="bottom"/>
            <w:tcBorders>
              <w:bottom w:val="single" w:sz="8" w:color="DBDBDB"/>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80" w:type="dxa"/>
            <w:vAlign w:val="bottom"/>
            <w:tcBorders>
              <w:bottom w:val="single" w:sz="8" w:color="DBDBDB"/>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59,258</w:t>
            </w:r>
          </w:p>
        </w:tc>
        <w:tc>
          <w:tcPr>
            <w:tcW w:w="80" w:type="dxa"/>
            <w:vAlign w:val="bottom"/>
            <w:tcBorders>
              <w:bottom w:val="single" w:sz="8" w:color="DBDBDB"/>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r>
      <w:tr>
        <w:trPr>
          <w:trHeight w:val="243"/>
        </w:trPr>
        <w:tc>
          <w:tcPr>
            <w:tcW w:w="6820" w:type="dxa"/>
            <w:vAlign w:val="bottom"/>
            <w:gridSpan w:val="2"/>
            <w:shd w:val="clear" w:color="auto" w:fill="DBDBDB"/>
          </w:tcPr>
          <w:p>
            <w:pPr>
              <w:ind w:left="460"/>
              <w:spacing w:after="0"/>
              <w:rPr>
                <w:sz w:val="20"/>
                <w:szCs w:val="20"/>
                <w:color w:val="auto"/>
              </w:rPr>
            </w:pPr>
            <w:r>
              <w:rPr>
                <w:rFonts w:ascii="Arial" w:cs="Arial" w:eastAsia="Arial" w:hAnsi="Arial"/>
                <w:sz w:val="16"/>
                <w:szCs w:val="16"/>
                <w:b w:val="1"/>
                <w:bCs w:val="1"/>
                <w:color w:val="auto"/>
              </w:rPr>
              <w:t>Total restaurant operating expenses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454,598</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392,870</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73.4 %</w:t>
            </w:r>
          </w:p>
        </w:tc>
      </w:tr>
      <w:tr>
        <w:trPr>
          <w:trHeight w:val="148"/>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43"/>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66,892</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11.4 %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87,089</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16.3 %</w:t>
            </w:r>
          </w:p>
        </w:tc>
      </w:tr>
      <w:tr>
        <w:trPr>
          <w:trHeight w:val="23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Pre-opening expenses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4,715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0.8 %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3,565</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0.7 %</w:t>
            </w:r>
          </w:p>
        </w:tc>
      </w:tr>
      <w:tr>
        <w:trPr>
          <w:trHeight w:val="251"/>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20,907</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23,312</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4.4 %</w:t>
            </w:r>
          </w:p>
        </w:tc>
      </w:tr>
      <w:tr>
        <w:trPr>
          <w:trHeight w:val="23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(797)</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44"/>
        </w:trPr>
        <w:tc>
          <w:tcPr>
            <w:tcW w:w="67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income, net</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8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(1,099)</w:t>
            </w:r>
          </w:p>
        </w:tc>
        <w:tc>
          <w:tcPr>
            <w:tcW w:w="80" w:type="dxa"/>
            <w:vAlign w:val="bottom"/>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(0.2)%</w:t>
            </w:r>
          </w:p>
        </w:tc>
      </w:tr>
      <w:tr>
        <w:trPr>
          <w:trHeight w:val="239"/>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41,279</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30,012</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47"/>
        </w:trPr>
        <w:tc>
          <w:tcPr>
            <w:tcW w:w="68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DBDBDB"/>
          </w:tcPr>
          <w:p>
            <w:pPr>
              <w:spacing w:after="0"/>
              <w:rPr>
                <w:sz w:val="21"/>
                <w:szCs w:val="21"/>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27,644</w:t>
            </w:r>
          </w:p>
        </w:tc>
        <w:tc>
          <w:tcPr>
            <w:tcW w:w="10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4.7 %</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39,694</w:t>
            </w:r>
          </w:p>
        </w:tc>
        <w:tc>
          <w:tcPr>
            <w:tcW w:w="8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7.4 %</w:t>
            </w:r>
          </w:p>
        </w:tc>
      </w:tr>
      <w:tr>
        <w:trPr>
          <w:trHeight w:val="235"/>
        </w:trPr>
        <w:tc>
          <w:tcPr>
            <w:tcW w:w="6820" w:type="dxa"/>
            <w:vAlign w:val="bottom"/>
            <w:gridSpan w:val="2"/>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(5,345)</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4"/>
        </w:trPr>
        <w:tc>
          <w:tcPr>
            <w:tcW w:w="672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Loss on debt extinguishment</w:t>
            </w:r>
          </w:p>
        </w:tc>
        <w:tc>
          <w:tcPr>
            <w:tcW w:w="10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80" w:type="dxa"/>
            <w:vAlign w:val="bottom"/>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7,265</w:t>
            </w:r>
          </w:p>
        </w:tc>
        <w:tc>
          <w:tcPr>
            <w:tcW w:w="80" w:type="dxa"/>
            <w:vAlign w:val="bottom"/>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1.4 %</w:t>
            </w:r>
          </w:p>
        </w:tc>
      </w:tr>
      <w:tr>
        <w:trPr>
          <w:trHeight w:val="239"/>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18,980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(16,947)</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0"/>
        </w:trPr>
        <w:tc>
          <w:tcPr>
            <w:tcW w:w="6720" w:type="dxa"/>
            <w:vAlign w:val="bottom"/>
            <w:tcBorders>
              <w:bottom w:val="single" w:sz="8" w:color="auto"/>
            </w:tcBorders>
            <w:shd w:val="clear" w:color="auto" w:fill="DBDBDB"/>
          </w:tcPr>
          <w:p>
            <w:pPr>
              <w:ind w:left="240"/>
              <w:spacing w:after="0"/>
              <w:rPr>
                <w:sz w:val="20"/>
                <w:szCs w:val="20"/>
                <w:color w:val="auto"/>
              </w:rPr>
            </w:pPr>
            <w:r>
              <w:rPr>
                <w:rFonts w:ascii="Arial" w:cs="Arial" w:eastAsia="Arial" w:hAnsi="Arial"/>
                <w:sz w:val="16"/>
                <w:szCs w:val="16"/>
                <w:color w:val="auto"/>
              </w:rPr>
              <w:t>Income tax expense (benefit)</w:t>
            </w:r>
          </w:p>
        </w:tc>
        <w:tc>
          <w:tcPr>
            <w:tcW w:w="10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1,823</w:t>
            </w:r>
          </w:p>
        </w:tc>
        <w:tc>
          <w:tcPr>
            <w:tcW w:w="100" w:type="dxa"/>
            <w:vAlign w:val="bottom"/>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0.3 %</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(3,531)</w:t>
            </w:r>
          </w:p>
        </w:tc>
        <w:tc>
          <w:tcPr>
            <w:tcW w:w="80" w:type="dxa"/>
            <w:vAlign w:val="bottom"/>
            <w:shd w:val="clear" w:color="auto" w:fill="DBDBDB"/>
          </w:tcPr>
          <w:p>
            <w:pPr>
              <w:spacing w:after="0"/>
              <w:rPr>
                <w:sz w:val="20"/>
                <w:szCs w:val="20"/>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(0.7)%</w:t>
            </w:r>
          </w:p>
        </w:tc>
      </w:tr>
      <w:tr>
        <w:trPr>
          <w:trHeight w:val="239"/>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17,157</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(13,416)</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0"/>
        </w:trPr>
        <w:tc>
          <w:tcPr>
            <w:tcW w:w="67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Less: Redeemable preferred units accretion</w:t>
            </w:r>
          </w:p>
        </w:tc>
        <w:tc>
          <w:tcPr>
            <w:tcW w:w="10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(21,176)</w:t>
            </w:r>
          </w:p>
        </w:tc>
        <w:tc>
          <w:tcPr>
            <w:tcW w:w="80" w:type="dxa"/>
            <w:vAlign w:val="bottom"/>
            <w:shd w:val="clear" w:color="auto" w:fill="DBDBDB"/>
          </w:tcPr>
          <w:p>
            <w:pPr>
              <w:spacing w:after="0"/>
              <w:rPr>
                <w:sz w:val="20"/>
                <w:szCs w:val="20"/>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(4.0)%</w:t>
            </w:r>
          </w:p>
        </w:tc>
      </w:tr>
      <w:tr>
        <w:trPr>
          <w:trHeight w:val="239"/>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COMMON HOLDERS</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17,157</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(34,592)</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40"/>
        </w:trPr>
        <w:tc>
          <w:tcPr>
            <w:tcW w:w="67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0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6,306</w:t>
            </w:r>
          </w:p>
        </w:tc>
        <w:tc>
          <w:tcPr>
            <w:tcW w:w="100" w:type="dxa"/>
            <w:vAlign w:val="bottom"/>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1.1 %</w:t>
            </w:r>
          </w:p>
        </w:tc>
        <w:tc>
          <w:tcPr>
            <w:tcW w:w="80" w:type="dxa"/>
            <w:vAlign w:val="bottom"/>
            <w:shd w:val="clear" w:color="auto" w:fill="DBDBDB"/>
          </w:tcPr>
          <w:p>
            <w:pPr>
              <w:spacing w:after="0"/>
              <w:rPr>
                <w:sz w:val="20"/>
                <w:szCs w:val="20"/>
                <w:color w:val="auto"/>
              </w:rPr>
            </w:pPr>
          </w:p>
        </w:tc>
        <w:tc>
          <w:tcPr>
            <w:tcW w:w="220" w:type="dxa"/>
            <w:vAlign w:val="bottom"/>
            <w:tcBorders>
              <w:bottom w:val="single" w:sz="8" w:color="auto"/>
            </w:tcBorders>
            <w:shd w:val="clear" w:color="auto" w:fill="DBDBDB"/>
          </w:tcPr>
          <w:p>
            <w:pPr>
              <w:spacing w:after="0"/>
              <w:rPr>
                <w:sz w:val="20"/>
                <w:szCs w:val="20"/>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(19,408)</w:t>
            </w:r>
          </w:p>
        </w:tc>
        <w:tc>
          <w:tcPr>
            <w:tcW w:w="80" w:type="dxa"/>
            <w:vAlign w:val="bottom"/>
            <w:shd w:val="clear" w:color="auto" w:fill="DBDBDB"/>
          </w:tcPr>
          <w:p>
            <w:pPr>
              <w:spacing w:after="0"/>
              <w:rPr>
                <w:sz w:val="20"/>
                <w:szCs w:val="20"/>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(3.6)%</w:t>
            </w:r>
          </w:p>
        </w:tc>
      </w:tr>
      <w:tr>
        <w:trPr>
          <w:trHeight w:val="239"/>
        </w:trPr>
        <w:tc>
          <w:tcPr>
            <w:tcW w:w="682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 ATTRIBUTABLE TO PORTILLO'S INC.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10,851</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1.8 %</w:t>
            </w:r>
          </w:p>
        </w:tc>
        <w:tc>
          <w:tcPr>
            <w:tcW w:w="8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(15,184)</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4"/>
        </w:trPr>
        <w:tc>
          <w:tcPr>
            <w:tcW w:w="6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Revenues, Net</w:t>
      </w:r>
    </w:p>
    <w:p>
      <w:pPr>
        <w:spacing w:after="0" w:line="2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third-party delivery platform prices and product mix. At the end of 2021, the Company began to record in revenues the difference in higher third-party delivery menu prices, versus regular menu prices. This markup was previously recorded in Cost of goods sold, excluding depreciation and amortization. As a result, this change positively impacted our same-restaurant sales growth by 2.0% to 3.0% in each quarter in 2022 and for the full fiscal year 2022, with a corresponding increase to Cost of goods sold, excluding depreciation and amortization. See Note 2. Summary Of Significant Accounting Policies-Revenue Recognition,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for the year ended December 25, 2022 were $587.1 million compared to $535.0 million for the year ended December 26, 2021, an increase of $52.2 million or 9.7%. The increase in revenues was primarily attributed to the opening of new restaurants, combined with an increase in our same-restaurant sales. Three new restaurants opened in the year ended December 25, 2022 and five restaurants opened in 2021 positively impacted revenues in the year ended December 25, 2022 by approximately $25.3 million. Same-restaurant sales increased</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5.4% during the year ended December 25, 2022, which was attributable to an increase in average check of 6.1% and a 2.7% impact from the change in recording third-party delivery pricing, offset by a 3.4% decline in transactions. The higher average check was driven by an approximate 7.5% increase in menu prices partially offset by lower items sold per transaction. We increased menu prices approximately</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1.5% in the first quarter of 2022, approximately 3.5% during the second quarter of 2022, and approximately 3.4% during the fourth quarter of 2022 to combat inflationary cost pressures. For the purpose of calculating same-restaurant sales as of December 25, 2022, sales for 62 restaurants were included in the Comparable Restaurant Base (as defined in "Key Performance Indicators and Non-GAAP Financial Measures" below) as of the end of fiscal 2022.</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Cost of Goods Sold, Excluding Depreciation and Amortization</w:t>
      </w:r>
    </w:p>
    <w:p>
      <w:pPr>
        <w:spacing w:after="0" w:line="24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Cost of goods sold, excluding depreciation and amortization includes the direct costs associated with food and beverages, including paper products and third-party delivery commissions. The components of cost of goods sold, excluding depreciation and amortization, are variable by nature, change with sales volume, are impacted by product mix and are subject to increases or decreases in commodity costs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comparability of cost of goods sold, excluding depreciation and amortization, was impacted in 2022 versus 2021 due to the aforementioned change in how the Company records third-party delivery menu prices. Operating income has not been impacted by such change.</w:t>
      </w:r>
    </w:p>
    <w:p>
      <w:pPr>
        <w:spacing w:after="0" w:line="20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Cost of goods sold, excluding depreciation and amortization for the year ended December 25, 2022 was $204.2 million compared to $166.8 million for the year ended December 26, 2021, an increase of $37.5 million or 22.5%. This increase was primarily driven by a 15.2% increase in commodity prices, with the largest impacts in beef and chicken prices; the impact of how the Company records third-party delivery menu prices; the opening of three restaurants in the year ended December 25, 2022 and the opening of five restaurants in 2021. These increases were partially offset by a decline in transactions. As a percentage of revenues, net, cost of goods sold, excluding depreciation and amortization, increased 3.6% during the year ended December 25, 2022. This increase was primarily due to an increase in commodity prices and the impact of how the Company records third-party delivery menu prices, partially offset by an increase in our average check.</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Labor Expenses</w:t>
      </w:r>
    </w:p>
    <w:p>
      <w:pPr>
        <w:spacing w:after="0" w:line="24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Labor expenses include hourly and management wages, bonuses and equity-based compensation, payroll taxes, workers’ compensation expense, and team member benefits. Factors that influence labor costs include wage inflation and payroll tax legislation, health care costs and the staffing needs of our restaurants.</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Labor expenses for the year ended December 25, 2022 were $ 154.4 million compared to $138.8 million for the year ended December 26, 2021, an increase of $15.6 million or 11.2%. This increase was primarily driven by incremental investments to support our team members, including hourly rate increases primarily made in July 2022 and June 2021 and higher equity-based compensation, and the opening of three new restaurants during the year ended December 25, 2022 and the opening of five restaurants in 2021. These increases were partially offset by a decline in transactions and operational efficiencies. As a percentage of revenues, net, labor increased 0.4% during the year ended December 25, 2022 primarily due to the aforementioned incremental hourly rate increases to support our team members, partially offset by an increase in our average check.</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Occupancy Expenses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property insurance and property taxes.</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Occupancy expenses for the year ended December 25, 2022 were $30.7 million compared to $28.1 million for the year ended December 26, 2021, an increase of $2.6 million or 9.3%, primarily driven by the opening of three new restaurants in the year ended December 25, 2022 and the opening of five restaurants in 2021. As a percentage of revenues, occupancy expenses were flat during the year ended December 25, 2022 compared to the year ended December 26, 2021.</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Other Operating Expenses</w:t>
      </w:r>
    </w:p>
    <w:p>
      <w:pPr>
        <w:spacing w:after="0" w:line="24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Other operating expenses consist of direct marketing expenses, utilities and other expenses incidental to operating our restaurants, such as credit card fees and repairs and maintenance.</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Other operating expenses for the year ended December 25, 2022 were $65.3 million compared to $59.3 million for the year ended December 26, 2021, an increase of $6.1 million or 10.2%, primarily driven by the opening of three new restaurants in the year ended December 25, 2022 and the opening of five restaurants in 2021 as well as an increase in building and equipment repairs and maintenance, insurance and credit card fees.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General and Administrative Expenses</w:t>
      </w:r>
    </w:p>
    <w:p>
      <w:pPr>
        <w:spacing w:after="0" w:line="24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equity-based compensation expense. General and administrative expenses are impacted by changes in our team member count and costs related to strategic and growth initiatives.</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General and administrative expenses for the year ended December 25, 2022 were $66.9 million compared to $87.1 million for the year ended December 26, 2021, a decrease of $20.2 million or 23.2%. This decrease was primarily driven by a decrease in equity-based stock compensation of $15.5 million, option holder payments of $6.6 million made in 2021 in connection with the IPO, a decrease in variable-based compensation of $3.8 million and a decrease in transaction-related fees and expenses of $1.0 million. In 2021, we recognized additional equity-based stock compensation in connection with the IPO, as a result of the waiver and the resultant modification in the terms of certain performance-vesting awards. These decreases were offset by increases in salaries and wages attributable to annual rate increases, filling open positions, training program costs for future restaurant managers, insurance and software licensing fees.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Pre-Opening Expenses</w:t>
      </w:r>
    </w:p>
    <w:p>
      <w:pPr>
        <w:spacing w:after="0" w:line="24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Pre-opening expenses consist primarily of wages, occupancy expenses, which represent rent expense recognized during the period between the date of possession of the restaurant facility and the restaurant opening date, travel for the opening team,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initially experience higher pre-opening expenses than our established geographic market areas, such as the Chicagoland area, where we have greater economies of scale and incur lower travel and lodging costs for our training team.</w:t>
      </w:r>
    </w:p>
    <w:p>
      <w:pPr>
        <w:spacing w:after="0" w:line="210"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Pre-opening expenses for the year ended December 25, 2022 were $4.7 million compared to $3.6 million for the year ended December 26, 2021, an increase of $1.2 million or 32.3%. This increase was due to the timing and geographic location of activities related to our planned restaurant openings at the end of fiscal 2022 and early fiscal 2023.</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Depreciation and Amortization</w:t>
      </w:r>
    </w:p>
    <w:p>
      <w:pPr>
        <w:spacing w:after="0" w:line="23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Depreciation and amortization expenses consist of the depreciation of fixed assets, including leasehold improvements, fixtures and equipment and the amortization of definite-lived intangible assets, which are primarily comprised of recipes, and in prior years, non-compete agreements and favorable leasehold positions.</w:t>
      </w:r>
    </w:p>
    <w:p>
      <w:pPr>
        <w:spacing w:after="0" w:line="1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Depreciation and amortization expense for the year ended December 25, 2022 was $20.9 million compared to $23.3 million for the year ended December 26, 2021, a decrease of $2.4 million or 10.3%. This decrease was primarily attributable to an expired non-compete intangible asset, partially offset by incremental depreciation of capital expenditures related to the three new restaurants opened in 2022 and five restaurants opened in 2021.</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Net Income Attributable to Equity Method Investment</w:t>
      </w:r>
    </w:p>
    <w:p>
      <w:pPr>
        <w:spacing w:after="0" w:line="24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consolidated financial statements under the equity method of accounting as we have significant influence but do not have control.</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 income attributable to equity method investment for the year ended December 25, 2022 was $1.1 million compared to $0.8 million for the year ended December 26, 2021. This increase was primarily driven by increased revenue, which is attributable to an increase in average check.</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Other Income, Net</w:t>
      </w:r>
    </w:p>
    <w:p>
      <w:pPr>
        <w:spacing w:after="0" w:line="24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Other income, net includes among other items, income resulting from discounts received for timely filing of sales tax returns, management fee income associated with our investment in C&amp;O, trading gains or losses on our deferred compensation plan and gains or losses on asset disposals.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income, net for the year ended December 25, 2022 was $0.2 million compared to $1.1 million for the year ended December 26, 2021, a decrease of $0.9 million or 81.4%. Other income, net decreased primarily due to an increase in trading losses in the rabbi trust used to fund our deferred compensation plan.</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Interest Expense</w:t>
      </w:r>
    </w:p>
    <w:p>
      <w:pPr>
        <w:spacing w:after="0" w:line="24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 expense for year ended December 25, 2022 was $27.6 million compared to $39.7 million for year ended December 26, 2021, a decrease of $12.1 million or 30.4%. This decrease was primarily driven by the payoff of the Second Term B-3 Loans with the use of IPO proceeds during the year ended December 26, 2021 and decreased borrowings on the First Lien Term B-3 Loans during the year ended December 25, 2022. This decrease was partially offset by $ 2.9 million of additional interest expense on the First Lien Term B-3 Loans due to rising interest rates affecting the floating portion of our First Lien Term B-3 Loans. There were no outstanding borrowings under the Revolving Facility during the year ended December 25, 2022 or year ended December 26, 2021.</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Tax Receivable Agreement Liability Adjustment</w:t>
      </w:r>
    </w:p>
    <w:p>
      <w:pPr>
        <w:spacing w:after="0" w:line="23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connection with the IPO, we entered into a Tax Receivable Agreement with certain members of Portillo's OpCo that provides for the payment by us of 85% of the amount of tax benefits, if any, that Portillo's Inc. actually realizes or in some cases is deemed to realize as a result of certain transactions.</w:t>
      </w:r>
    </w:p>
    <w:p>
      <w:pPr>
        <w:spacing w:after="0" w:line="198" w:lineRule="exact"/>
        <w:rPr>
          <w:sz w:val="20"/>
          <w:szCs w:val="20"/>
          <w:color w:val="auto"/>
        </w:rPr>
      </w:pPr>
    </w:p>
    <w:p>
      <w:pPr>
        <w:ind w:right="480"/>
        <w:spacing w:after="0" w:line="318" w:lineRule="auto"/>
        <w:rPr>
          <w:sz w:val="20"/>
          <w:szCs w:val="20"/>
          <w:color w:val="auto"/>
        </w:rPr>
      </w:pPr>
      <w:r>
        <w:rPr>
          <w:rFonts w:ascii="Arial" w:cs="Arial" w:eastAsia="Arial" w:hAnsi="Arial"/>
          <w:sz w:val="17"/>
          <w:szCs w:val="17"/>
          <w:color w:val="auto"/>
        </w:rPr>
        <w:t>The Tax Receivable Agreement liability adjustment was $5.3 million for the year ended December 25, 2022 related to a remeasurement primarily due to stock activity. There was no Tax Receivable Agreement liability adjustment for the year ended December 26, 2021.</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Loss on Debt Extinguishment</w:t>
      </w:r>
    </w:p>
    <w:p>
      <w:pPr>
        <w:spacing w:after="0" w:line="2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Loss on debt extinguishment for the year ended December 26, 2021 was $7.3 million due to prepayment penalties of $3.1 million and the write-off of debt discount and deferred issuance costs of $4.2 million associated with the payoff of the Second Term B-3 Loans. There was no such loss for year ended December 25, 2022.</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Income Tax Expense (Benefit)</w:t>
      </w:r>
    </w:p>
    <w:p>
      <w:pPr>
        <w:spacing w:after="0" w:line="24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Portillo's OpCo is treated as a partnership for U.S. federal, as well as state and local income tax purposes and is not subject to taxes. Rather, any taxable income or loss generated by Portillo's OpCo is allocated to its members in relation to their respective ownership percentage of Portillo's OpCo. As of the IPO, we are subject to U.S. federal, as well as state and local income taxes with respect to our allocable share of any taxable income or loss of Portillo's OpCo, as well as any stand-alone income or loss generated by Portillo's Inc.</w:t>
      </w:r>
    </w:p>
    <w:p>
      <w:pPr>
        <w:spacing w:after="0" w:line="2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Income tax expense for the year ended December 25, 2022 was $1.8 million compared to an income tax benefit of $3.5 million for the year ended December 26, 2021, an increase of $5.4 million. Our effective income tax rate for year ended December 25, 2022 was 9.6%, compared to 20.9% for year ended December 26, 2021. The decrease in our effective income tax rate for the year ended December 25,</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2022 compared to the year ended December 26, 2021 was primarily driven by the change in the valuation allowance and the tax benefit from the exercise and vesting of equity-based awards.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Net Income (Loss) Attributable to Non-controlling Interests</w:t>
      </w:r>
    </w:p>
    <w:p>
      <w:pPr>
        <w:spacing w:after="0" w:line="2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IPO, we became the sole managing member of Portillo's OpCo. We manage and operate the business and control the strategic decisions and day-to-day operations of Portillo’s OpCo and we also have a substantial financial interest in Portillo’s OpCo. Accordingly, we consolidate the financial results of Portillo’s OpCo, and a portion of our net income is allocated to non-controlling interests to reflect the entitlement of the pre-IPO LLC Members who retained their equity ownership in Portillo's OpCo (the "pre-IPO LLC Members"). The weighted average ownership percentages for the applicable reporting periods are used to attribute net income (loss) to Portillo's Inc. and the non-controlling interest holders.</w:t>
      </w:r>
    </w:p>
    <w:p>
      <w:pPr>
        <w:spacing w:after="0" w:line="20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Net income attributable to non-controlling interests for the year ended December 25, 2022 was $6.3 million, compared to a loss of $19.4 million for the year ended December 26, 2021. The increase in net income attributable to non-controlling interests for the year ended December 25, 2022 was primarily due to an improvement in net income primarily due to the factors driving the aforementioned expenses, compared to the year ended December 26, 2021 and a decrease in the non-controlling interest holders' weighted average ownership, from 49.9% for the year ended December 26, 2021 to 45.8% for the year ended December 25, 2022.</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Key Performance Indicators and Non-GAAP Financial Measures</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to the GAAP measures presented in our financial statements, we use the following key performance indicators and non-GAAP financial measures to evaluate our business, measure our performance, develop financial forecasts and make strategic decisions. These key measures include same-restaurant sales, new restaurant openings, average unit volume ("AUV"), Adjusted EBITDA, Adjusted EBITDA Margin, Restaurant-Level Adjusted EBITDA and Restaurant-Level Adjusted EBITDA Margin. The Company includes these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25, 2022</w:t>
            </w:r>
          </w:p>
        </w:tc>
        <w:tc>
          <w:tcPr>
            <w:tcW w:w="140" w:type="dxa"/>
            <w:vAlign w:val="bottom"/>
          </w:tcPr>
          <w:p>
            <w:pPr>
              <w:spacing w:after="0"/>
              <w:rPr>
                <w:sz w:val="21"/>
                <w:szCs w:val="21"/>
                <w:color w:val="auto"/>
              </w:rPr>
            </w:pPr>
          </w:p>
        </w:tc>
        <w:tc>
          <w:tcPr>
            <w:tcW w:w="16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75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Restaurants (a)</w:t>
            </w:r>
          </w:p>
        </w:tc>
        <w:tc>
          <w:tcPr>
            <w:tcW w:w="140" w:type="dxa"/>
            <w:vAlign w:val="bottom"/>
            <w:tcBorders>
              <w:top w:val="single" w:sz="8" w:color="auto"/>
            </w:tcBorders>
            <w:shd w:val="clear" w:color="auto" w:fill="DBDBDB"/>
          </w:tcPr>
          <w:p>
            <w:pPr>
              <w:spacing w:after="0"/>
              <w:rPr>
                <w:sz w:val="20"/>
                <w:szCs w:val="20"/>
                <w:color w:val="auto"/>
              </w:rPr>
            </w:pP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spacing w:after="0"/>
              <w:rPr>
                <w:sz w:val="20"/>
                <w:szCs w:val="20"/>
                <w:color w:val="auto"/>
              </w:rPr>
            </w:pP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w:t>
            </w:r>
          </w:p>
        </w:tc>
      </w:tr>
      <w:tr>
        <w:trPr>
          <w:trHeight w:val="235"/>
        </w:trPr>
        <w:tc>
          <w:tcPr>
            <w:tcW w:w="7500" w:type="dxa"/>
            <w:vAlign w:val="bottom"/>
          </w:tcPr>
          <w:p>
            <w:pPr>
              <w:ind w:left="20"/>
              <w:spacing w:after="0"/>
              <w:rPr>
                <w:sz w:val="20"/>
                <w:szCs w:val="20"/>
                <w:color w:val="auto"/>
              </w:rPr>
            </w:pPr>
            <w:r>
              <w:rPr>
                <w:rFonts w:ascii="Arial" w:cs="Arial" w:eastAsia="Arial" w:hAnsi="Arial"/>
                <w:sz w:val="16"/>
                <w:szCs w:val="16"/>
                <w:color w:val="auto"/>
              </w:rPr>
              <w:t>AUV (in millions) (a)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8.2</w:t>
            </w:r>
          </w:p>
        </w:tc>
      </w:tr>
      <w:tr>
        <w:trPr>
          <w:trHeight w:val="251"/>
        </w:trPr>
        <w:tc>
          <w:tcPr>
            <w:tcW w:w="7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same-restaurant sales (b)</w:t>
            </w: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10.5 %</w:t>
            </w:r>
          </w:p>
        </w:tc>
      </w:tr>
      <w:tr>
        <w:trPr>
          <w:trHeight w:val="235"/>
        </w:trPr>
        <w:tc>
          <w:tcPr>
            <w:tcW w:w="7500" w:type="dxa"/>
            <w:vAlign w:val="bottom"/>
          </w:tcPr>
          <w:p>
            <w:pPr>
              <w:ind w:left="20"/>
              <w:spacing w:after="0"/>
              <w:rPr>
                <w:sz w:val="20"/>
                <w:szCs w:val="20"/>
                <w:color w:val="auto"/>
              </w:rPr>
            </w:pPr>
            <w:r>
              <w:rPr>
                <w:rFonts w:ascii="Arial" w:cs="Arial" w:eastAsia="Arial" w:hAnsi="Arial"/>
                <w:sz w:val="16"/>
                <w:szCs w:val="16"/>
                <w:color w:val="auto"/>
              </w:rPr>
              <w:t>Adjusted EBITDA (in thousands) (b)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84,955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98,497</w:t>
            </w:r>
          </w:p>
        </w:tc>
      </w:tr>
      <w:tr>
        <w:trPr>
          <w:trHeight w:val="251"/>
        </w:trPr>
        <w:tc>
          <w:tcPr>
            <w:tcW w:w="7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Margin (b)</w:t>
            </w: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14.5 %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18.4 %</w:t>
            </w:r>
          </w:p>
        </w:tc>
      </w:tr>
      <w:tr>
        <w:trPr>
          <w:trHeight w:val="235"/>
        </w:trPr>
        <w:tc>
          <w:tcPr>
            <w:tcW w:w="7500" w:type="dxa"/>
            <w:vAlign w:val="bottom"/>
          </w:tcPr>
          <w:p>
            <w:pPr>
              <w:ind w:left="20"/>
              <w:spacing w:after="0"/>
              <w:rPr>
                <w:sz w:val="20"/>
                <w:szCs w:val="20"/>
                <w:color w:val="auto"/>
              </w:rPr>
            </w:pPr>
            <w:r>
              <w:rPr>
                <w:rFonts w:ascii="Arial" w:cs="Arial" w:eastAsia="Arial" w:hAnsi="Arial"/>
                <w:sz w:val="16"/>
                <w:szCs w:val="16"/>
                <w:color w:val="auto"/>
              </w:rPr>
              <w:t>Restaurant-Level Adjusted EBITDA (in thousands) (b)</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132,506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142,082</w:t>
            </w:r>
          </w:p>
        </w:tc>
      </w:tr>
      <w:tr>
        <w:trPr>
          <w:trHeight w:val="251"/>
        </w:trPr>
        <w:tc>
          <w:tcPr>
            <w:tcW w:w="7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 (b)</w:t>
            </w: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22.6 %</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26.6 %</w:t>
            </w:r>
          </w:p>
        </w:tc>
      </w:tr>
    </w:tbl>
    <w:p>
      <w:pPr>
        <w:spacing w:after="0" w:line="323" w:lineRule="exact"/>
        <w:rPr>
          <w:sz w:val="20"/>
          <w:szCs w:val="20"/>
          <w:color w:val="auto"/>
        </w:rPr>
      </w:pPr>
    </w:p>
    <w:p>
      <w:pPr>
        <w:ind w:right="520" w:firstLine="8"/>
        <w:spacing w:after="0" w:line="263"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a restaurant that is owned by C&amp;O of which Portillo’s owns 50% of the equity, as described in Note 2. Summary Of Significant Accounting Policies in our consolidated financial statements. Total restaurants indicated are as of a point in time.</w:t>
      </w: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Excludes a restaurant that is owned by C&amp;O of which Portillo’s owns 50% of the equity.</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Change in Same-Restaurant Sales</w:t>
      </w:r>
    </w:p>
    <w:p>
      <w:pPr>
        <w:spacing w:after="0" w:line="2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change in same-restaurant sales is the percentage change in year-over-year revenue (excluding gift card breakage) for the comparable restaurant base, which is defined as the number of restaurants open for at least 24 full fiscal periods (the “Comparable Restaurant Base”). As of December 25, 2022 and December 26, 2021, there were 62 and 61 restaurants in our Comparable Restaurant Base, respectively. The Comparable Restaurant Base excludes a restaurant that is owned by C&amp;O, of which Portillo’s owns 50% of the equity, as described in Note 2. Summary Of Significant Accounting Policies in our consolidated financial statements.</w:t>
      </w:r>
    </w:p>
    <w:p>
      <w:pPr>
        <w:spacing w:after="0" w:line="2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change in same-restaurant sales growth is the result of a change in restaurant transactions, average guest check, or a combination of the two. We gather daily sales data and regularly analyze the guest transaction counts and the mix of menu items sold to strategically evaluate menu pricing and demand. Measuring our same-restaurant sales growth allows management to evaluate the performance of our existing restaurant base. We believe this measure provides a consistent comparison of restaurant sales results and trends across periods within our core, established restaurant base, unaffected by results of restaurant openings and enables investors to better understand and evaluate the Company’s historical and prospective operating performance.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Average Unit Volume</w:t>
      </w:r>
    </w:p>
    <w:p>
      <w:pPr>
        <w:spacing w:after="0" w:line="249"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AUV is the total revenue (excluding gift card breakage) recognized in the Comparable Restaurant Base, including C&amp;O, divided by the number of restaurants in the Comparable Restaurant Base, including C&amp;O, by period.</w:t>
      </w:r>
    </w:p>
    <w:p>
      <w:pPr>
        <w:spacing w:after="0" w:line="18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This key performance indicator allows management to assess changes in consumer spending patterns at our restaurants and the overall performance of our restaurant base.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Non-GAAP Financial Measures</w:t>
      </w:r>
    </w:p>
    <w:p>
      <w:pPr>
        <w:spacing w:after="0" w:line="2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 supplement the consolidated financial statements, which are prepared and presented in accordance with GAAP, we use the following non-GAAP financial measures: Adjusted EBITDA and Adjusted EBITDA Margin, and Restaurant-Level Adjusted EBITDA and Restaurant-Level Adjusted EBITDA Margin. Accordingly, these measures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shareholders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Adjusted EBITDA and Adjusted EBITDA Margin</w:t>
      </w:r>
    </w:p>
    <w:p>
      <w:pPr>
        <w:spacing w:after="0" w:line="23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Adjusted EBITDA represents net income (loss) before depreciation and amortization, interest expense and income taxes, adjusted for the impact of certain non-cash and other items that we do not consider in our evaluation of ongoing core operating performance as identified in the reconciliation of net income (loss), the most directly comparable GAAP measure to Adjusted EBITDA. Adjusted EBITDA Margin represents Adjusted EBITDA as a percentage of total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w:t>
      </w:r>
    </w:p>
    <w:p>
      <w:pPr>
        <w:spacing w:after="0" w:line="27" w:lineRule="exact"/>
        <w:rPr>
          <w:sz w:val="20"/>
          <w:szCs w:val="20"/>
          <w:color w:val="auto"/>
        </w:rPr>
      </w:pPr>
    </w:p>
    <w:p>
      <w:pPr>
        <w:ind w:right="880" w:firstLine="8"/>
        <w:spacing w:after="0" w:line="266" w:lineRule="auto"/>
        <w:tabs>
          <w:tab w:leader="none" w:pos="2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internally as benchmarks to compare our performance to that of our competitors and (iii) as factors in evaluating management’s performance when determining incentive compensation.</w:t>
      </w:r>
    </w:p>
    <w:p>
      <w:pPr>
        <w:spacing w:after="0" w:line="19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(loss) to Adjusted EBITDA and Adjusted EBITDA margin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0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36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25, 2022</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7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17,157</w:t>
            </w:r>
          </w:p>
        </w:tc>
        <w:tc>
          <w:tcPr>
            <w:tcW w:w="12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(13,416)</w:t>
            </w:r>
          </w:p>
        </w:tc>
      </w:tr>
      <w:tr>
        <w:trPr>
          <w:trHeight w:val="235"/>
        </w:trPr>
        <w:tc>
          <w:tcPr>
            <w:tcW w:w="73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20,907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23,312</w:t>
            </w:r>
          </w:p>
        </w:tc>
      </w:tr>
      <w:tr>
        <w:trPr>
          <w:trHeight w:val="251"/>
        </w:trPr>
        <w:tc>
          <w:tcPr>
            <w:tcW w:w="7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27,644</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39,694</w:t>
            </w:r>
          </w:p>
        </w:tc>
      </w:tr>
      <w:tr>
        <w:trPr>
          <w:trHeight w:val="235"/>
        </w:trPr>
        <w:tc>
          <w:tcPr>
            <w:tcW w:w="7360" w:type="dxa"/>
            <w:vAlign w:val="bottom"/>
          </w:tcPr>
          <w:p>
            <w:pPr>
              <w:ind w:left="20"/>
              <w:spacing w:after="0"/>
              <w:rPr>
                <w:sz w:val="20"/>
                <w:szCs w:val="20"/>
                <w:color w:val="auto"/>
              </w:rPr>
            </w:pPr>
            <w:r>
              <w:rPr>
                <w:rFonts w:ascii="Arial" w:cs="Arial" w:eastAsia="Arial" w:hAnsi="Arial"/>
                <w:sz w:val="16"/>
                <w:szCs w:val="16"/>
                <w:color w:val="auto"/>
              </w:rPr>
              <w:t>Loss on debt extinguishment</w:t>
            </w:r>
          </w:p>
        </w:tc>
        <w:tc>
          <w:tcPr>
            <w:tcW w:w="16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7,265</w:t>
            </w:r>
          </w:p>
        </w:tc>
      </w:tr>
      <w:tr>
        <w:trPr>
          <w:trHeight w:val="244"/>
        </w:trPr>
        <w:tc>
          <w:tcPr>
            <w:tcW w:w="7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 (benefit)</w:t>
            </w:r>
          </w:p>
        </w:tc>
        <w:tc>
          <w:tcPr>
            <w:tcW w:w="16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1,823</w:t>
            </w:r>
          </w:p>
        </w:tc>
        <w:tc>
          <w:tcPr>
            <w:tcW w:w="120" w:type="dxa"/>
            <w:vAlign w:val="bottom"/>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(3,531)</w:t>
            </w:r>
          </w:p>
        </w:tc>
      </w:tr>
      <w:tr>
        <w:trPr>
          <w:trHeight w:val="235"/>
        </w:trPr>
        <w:tc>
          <w:tcPr>
            <w:tcW w:w="7360" w:type="dxa"/>
            <w:vAlign w:val="bottom"/>
          </w:tcPr>
          <w:p>
            <w:pPr>
              <w:ind w:left="20"/>
              <w:spacing w:after="0"/>
              <w:rPr>
                <w:sz w:val="20"/>
                <w:szCs w:val="20"/>
                <w:color w:val="auto"/>
              </w:rPr>
            </w:pPr>
            <w:r>
              <w:rPr>
                <w:rFonts w:ascii="Arial" w:cs="Arial" w:eastAsia="Arial" w:hAnsi="Arial"/>
                <w:sz w:val="16"/>
                <w:szCs w:val="16"/>
                <w:color w:val="auto"/>
              </w:rPr>
              <w:t>EBITDA</w:t>
            </w: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67,531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53,324</w:t>
            </w:r>
          </w:p>
        </w:tc>
      </w:tr>
      <w:tr>
        <w:trPr>
          <w:trHeight w:val="251"/>
        </w:trPr>
        <w:tc>
          <w:tcPr>
            <w:tcW w:w="7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Deferred rent (1)</w:t>
            </w: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3,998</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3,161</w:t>
            </w:r>
          </w:p>
        </w:tc>
      </w:tr>
      <w:tr>
        <w:trPr>
          <w:trHeight w:val="235"/>
        </w:trPr>
        <w:tc>
          <w:tcPr>
            <w:tcW w:w="73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16,137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30,708</w:t>
            </w:r>
          </w:p>
        </w:tc>
      </w:tr>
      <w:tr>
        <w:trPr>
          <w:trHeight w:val="251"/>
        </w:trPr>
        <w:tc>
          <w:tcPr>
            <w:tcW w:w="7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Option holder payment and consulting fees (2)</w:t>
            </w:r>
          </w:p>
        </w:tc>
        <w:tc>
          <w:tcPr>
            <w:tcW w:w="160" w:type="dxa"/>
            <w:vAlign w:val="bottom"/>
            <w:shd w:val="clear" w:color="auto" w:fill="DBDBDB"/>
          </w:tcPr>
          <w:p>
            <w:pPr>
              <w:spacing w:after="0"/>
              <w:rPr>
                <w:sz w:val="21"/>
                <w:szCs w:val="21"/>
                <w:color w:val="auto"/>
              </w:rPr>
            </w:pPr>
          </w:p>
        </w:tc>
        <w:tc>
          <w:tcPr>
            <w:tcW w:w="1820" w:type="dxa"/>
            <w:vAlign w:val="bottom"/>
            <w:gridSpan w:val="2"/>
            <w:shd w:val="clear" w:color="auto" w:fill="DBDBDB"/>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7,744</w:t>
            </w:r>
          </w:p>
        </w:tc>
      </w:tr>
      <w:tr>
        <w:trPr>
          <w:trHeight w:val="235"/>
        </w:trPr>
        <w:tc>
          <w:tcPr>
            <w:tcW w:w="7360" w:type="dxa"/>
            <w:vAlign w:val="bottom"/>
          </w:tcPr>
          <w:p>
            <w:pPr>
              <w:ind w:left="20"/>
              <w:spacing w:after="0"/>
              <w:rPr>
                <w:sz w:val="20"/>
                <w:szCs w:val="20"/>
                <w:color w:val="auto"/>
              </w:rPr>
            </w:pPr>
            <w:r>
              <w:rPr>
                <w:rFonts w:ascii="Arial" w:cs="Arial" w:eastAsia="Arial" w:hAnsi="Arial"/>
                <w:sz w:val="16"/>
                <w:szCs w:val="16"/>
                <w:color w:val="auto"/>
              </w:rPr>
              <w:t>Other income (3)</w:t>
            </w:r>
          </w:p>
        </w:tc>
        <w:tc>
          <w:tcPr>
            <w:tcW w:w="16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292</w:t>
            </w:r>
          </w:p>
        </w:tc>
      </w:tr>
      <w:tr>
        <w:trPr>
          <w:trHeight w:val="251"/>
        </w:trPr>
        <w:tc>
          <w:tcPr>
            <w:tcW w:w="7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Transaction-related fees &amp; expenses (4)</w:t>
            </w:r>
          </w:p>
        </w:tc>
        <w:tc>
          <w:tcPr>
            <w:tcW w:w="16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2,237</w:t>
            </w:r>
          </w:p>
        </w:tc>
        <w:tc>
          <w:tcPr>
            <w:tcW w:w="12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3,268</w:t>
            </w:r>
          </w:p>
        </w:tc>
      </w:tr>
      <w:tr>
        <w:trPr>
          <w:trHeight w:val="237"/>
        </w:trPr>
        <w:tc>
          <w:tcPr>
            <w:tcW w:w="73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Tax Receivable Agreement liability adjustment (5)</w:t>
            </w: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(5,345)</w:t>
            </w:r>
          </w:p>
        </w:tc>
        <w:tc>
          <w:tcPr>
            <w:tcW w:w="12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r>
      <w:tr>
        <w:trPr>
          <w:trHeight w:val="236"/>
        </w:trPr>
        <w:tc>
          <w:tcPr>
            <w:tcW w:w="73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84,955</w:t>
            </w:r>
          </w:p>
        </w:tc>
        <w:tc>
          <w:tcPr>
            <w:tcW w:w="120" w:type="dxa"/>
            <w:vAlign w:val="bottom"/>
            <w:tcBorders>
              <w:bottom w:val="single" w:sz="8" w:color="auto"/>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98,497</w:t>
            </w:r>
          </w:p>
        </w:tc>
      </w:tr>
      <w:tr>
        <w:trPr>
          <w:trHeight w:val="243"/>
        </w:trPr>
        <w:tc>
          <w:tcPr>
            <w:tcW w:w="7360" w:type="dxa"/>
            <w:vAlign w:val="bottom"/>
          </w:tcPr>
          <w:p>
            <w:pPr>
              <w:ind w:left="20"/>
              <w:spacing w:after="0"/>
              <w:rPr>
                <w:sz w:val="20"/>
                <w:szCs w:val="20"/>
                <w:color w:val="auto"/>
              </w:rPr>
            </w:pPr>
            <w:r>
              <w:rPr>
                <w:rFonts w:ascii="Arial" w:cs="Arial" w:eastAsia="Arial" w:hAnsi="Arial"/>
                <w:sz w:val="16"/>
                <w:szCs w:val="16"/>
                <w:color w:val="auto"/>
              </w:rPr>
              <w:t>Adjusted EBITDA Margin</w:t>
            </w: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14.5 %</w:t>
            </w: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18.4 %</w:t>
            </w:r>
          </w:p>
        </w:tc>
      </w:tr>
      <w:tr>
        <w:trPr>
          <w:trHeight w:val="21"/>
        </w:trPr>
        <w:tc>
          <w:tcPr>
            <w:tcW w:w="7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difference between cash rent payments and the recognition of straight-line rent expense recognized over the lease term.</w:t>
      </w:r>
    </w:p>
    <w:p>
      <w:pPr>
        <w:spacing w:after="0" w:line="30" w:lineRule="exact"/>
        <w:rPr>
          <w:rFonts w:ascii="Arial" w:cs="Arial" w:eastAsia="Arial" w:hAnsi="Arial"/>
          <w:sz w:val="16"/>
          <w:szCs w:val="16"/>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Represents an option holder payment in connection with the IPO </w:t>
      </w:r>
      <w:r>
        <w:rPr>
          <w:rFonts w:ascii="Arial" w:cs="Arial" w:eastAsia="Arial" w:hAnsi="Arial"/>
          <w:sz w:val="17"/>
          <w:szCs w:val="17"/>
          <w:color w:val="auto"/>
        </w:rPr>
        <w:t>and</w:t>
      </w:r>
      <w:r>
        <w:rPr>
          <w:rFonts w:ascii="Arial" w:cs="Arial" w:eastAsia="Arial" w:hAnsi="Arial"/>
          <w:sz w:val="16"/>
          <w:szCs w:val="16"/>
          <w:color w:val="auto"/>
        </w:rPr>
        <w:t xml:space="preserve"> consulting fees related to our former owner.</w:t>
      </w:r>
    </w:p>
    <w:p>
      <w:pPr>
        <w:spacing w:after="0" w:line="10" w:lineRule="exact"/>
        <w:rPr>
          <w:rFonts w:ascii="Arial" w:cs="Arial" w:eastAsia="Arial" w:hAnsi="Arial"/>
          <w:sz w:val="16"/>
          <w:szCs w:val="16"/>
          <w:color w:val="auto"/>
        </w:rPr>
      </w:pPr>
    </w:p>
    <w:p>
      <w:pPr>
        <w:ind w:left="260" w:hanging="252"/>
        <w:spacing w:after="0" w:line="228" w:lineRule="auto"/>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loss on disposal of property and equipment.</w:t>
      </w: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exclusion of certain expenses that management believes are not indicative of ongoing operations, consisting primarily of certain</w:t>
      </w:r>
    </w:p>
    <w:p>
      <w:pPr>
        <w:spacing w:after="0" w:line="235" w:lineRule="auto"/>
        <w:rPr>
          <w:sz w:val="20"/>
          <w:szCs w:val="20"/>
          <w:color w:val="auto"/>
        </w:rPr>
      </w:pPr>
      <w:r>
        <w:rPr>
          <w:rFonts w:ascii="Arial" w:cs="Arial" w:eastAsia="Arial" w:hAnsi="Arial"/>
          <w:sz w:val="16"/>
          <w:szCs w:val="16"/>
          <w:color w:val="auto"/>
        </w:rPr>
        <w:t>professional fees.</w:t>
      </w:r>
    </w:p>
    <w:p>
      <w:pPr>
        <w:spacing w:after="0"/>
        <w:rPr>
          <w:sz w:val="20"/>
          <w:szCs w:val="20"/>
          <w:color w:val="auto"/>
        </w:rPr>
      </w:pPr>
      <w:r>
        <w:rPr>
          <w:rFonts w:ascii="Arial" w:cs="Arial" w:eastAsia="Arial" w:hAnsi="Arial"/>
          <w:sz w:val="16"/>
          <w:szCs w:val="16"/>
          <w:color w:val="auto"/>
        </w:rPr>
        <w:t>(5) Represents remeasurement of the Tax Receivable Agreement liability.</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Restaurant-Level Adjusted EBITDA and Restaurant-Level Adjusted EBITDA Margin</w:t>
      </w:r>
    </w:p>
    <w:p>
      <w:pPr>
        <w:spacing w:after="0" w:line="18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cost of goods sold (excluding depreciation and amortization),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w:t>
      </w:r>
    </w:p>
    <w:p>
      <w:pPr>
        <w:spacing w:after="0" w:line="20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w:t>
      </w:r>
    </w:p>
    <w:p>
      <w:pPr>
        <w:spacing w:after="0" w:line="180"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60" w:type="dxa"/>
            <w:vAlign w:val="bottom"/>
            <w:gridSpan w:val="4"/>
          </w:tcPr>
          <w:p>
            <w:pPr>
              <w:jc w:val="right"/>
              <w:ind w:right="107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25, 2022</w:t>
            </w:r>
          </w:p>
        </w:tc>
        <w:tc>
          <w:tcPr>
            <w:tcW w:w="140" w:type="dxa"/>
            <w:vAlign w:val="bottom"/>
          </w:tcPr>
          <w:p>
            <w:pPr>
              <w:spacing w:after="0"/>
              <w:rPr>
                <w:sz w:val="21"/>
                <w:szCs w:val="21"/>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74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41,279</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30,012</w:t>
            </w:r>
          </w:p>
        </w:tc>
      </w:tr>
      <w:tr>
        <w:trPr>
          <w:trHeight w:val="235"/>
        </w:trPr>
        <w:tc>
          <w:tcPr>
            <w:tcW w:w="7440" w:type="dxa"/>
            <w:vAlign w:val="bottom"/>
          </w:tcPr>
          <w:p>
            <w:pPr>
              <w:ind w:left="20"/>
              <w:spacing w:after="0"/>
              <w:rPr>
                <w:sz w:val="20"/>
                <w:szCs w:val="20"/>
                <w:color w:val="auto"/>
              </w:rPr>
            </w:pPr>
            <w:r>
              <w:rPr>
                <w:rFonts w:ascii="Arial" w:cs="Arial" w:eastAsia="Arial" w:hAnsi="Arial"/>
                <w:sz w:val="16"/>
                <w:szCs w:val="16"/>
                <w:color w:val="auto"/>
              </w:rPr>
              <w:t>Plus:</w:t>
            </w: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1"/>
        </w:trPr>
        <w:tc>
          <w:tcPr>
            <w:tcW w:w="7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66,892</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87,089</w:t>
            </w:r>
          </w:p>
        </w:tc>
      </w:tr>
      <w:tr>
        <w:trPr>
          <w:trHeight w:val="235"/>
        </w:trPr>
        <w:tc>
          <w:tcPr>
            <w:tcW w:w="7440" w:type="dxa"/>
            <w:vAlign w:val="bottom"/>
          </w:tcPr>
          <w:p>
            <w:pPr>
              <w:ind w:left="140"/>
              <w:spacing w:after="0"/>
              <w:rPr>
                <w:sz w:val="20"/>
                <w:szCs w:val="20"/>
                <w:color w:val="auto"/>
              </w:rPr>
            </w:pPr>
            <w:r>
              <w:rPr>
                <w:rFonts w:ascii="Arial" w:cs="Arial" w:eastAsia="Arial" w:hAnsi="Arial"/>
                <w:sz w:val="16"/>
                <w:szCs w:val="16"/>
                <w:color w:val="auto"/>
              </w:rPr>
              <w:t>Pre-opening expenses</w:t>
            </w:r>
          </w:p>
        </w:tc>
        <w:tc>
          <w:tcPr>
            <w:tcW w:w="140" w:type="dxa"/>
            <w:vAlign w:val="bottom"/>
          </w:tcPr>
          <w:p>
            <w:pPr>
              <w:spacing w:after="0"/>
              <w:rPr>
                <w:sz w:val="20"/>
                <w:szCs w:val="20"/>
                <w:color w:val="auto"/>
              </w:rPr>
            </w:pP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4,715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3,565</w:t>
            </w:r>
          </w:p>
        </w:tc>
      </w:tr>
      <w:tr>
        <w:trPr>
          <w:trHeight w:val="251"/>
        </w:trPr>
        <w:tc>
          <w:tcPr>
            <w:tcW w:w="7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DBDBDB"/>
          </w:tcPr>
          <w:p>
            <w:pPr>
              <w:spacing w:after="0"/>
              <w:rPr>
                <w:sz w:val="21"/>
                <w:szCs w:val="21"/>
                <w:color w:val="auto"/>
              </w:rPr>
            </w:pPr>
          </w:p>
        </w:tc>
        <w:tc>
          <w:tcPr>
            <w:tcW w:w="172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20,907</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7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23,312</w:t>
            </w:r>
          </w:p>
        </w:tc>
      </w:tr>
      <w:tr>
        <w:trPr>
          <w:trHeight w:val="235"/>
        </w:trPr>
        <w:tc>
          <w:tcPr>
            <w:tcW w:w="7440" w:type="dxa"/>
            <w:vAlign w:val="bottom"/>
          </w:tcPr>
          <w:p>
            <w:pPr>
              <w:ind w:left="14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tcPr>
          <w:p>
            <w:pPr>
              <w:spacing w:after="0"/>
              <w:rPr>
                <w:sz w:val="20"/>
                <w:szCs w:val="20"/>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ind w:right="79"/>
              <w:spacing w:after="0"/>
              <w:rPr>
                <w:sz w:val="20"/>
                <w:szCs w:val="20"/>
                <w:color w:val="auto"/>
              </w:rPr>
            </w:pPr>
            <w:r>
              <w:rPr>
                <w:rFonts w:ascii="Arial" w:cs="Arial" w:eastAsia="Arial" w:hAnsi="Arial"/>
                <w:sz w:val="16"/>
                <w:szCs w:val="16"/>
                <w:color w:val="auto"/>
              </w:rPr>
              <w:t>(797)</w:t>
            </w:r>
          </w:p>
        </w:tc>
      </w:tr>
      <w:tr>
        <w:trPr>
          <w:trHeight w:val="244"/>
        </w:trPr>
        <w:tc>
          <w:tcPr>
            <w:tcW w:w="7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auto"/>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7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(1,099)</w:t>
            </w:r>
          </w:p>
        </w:tc>
      </w:tr>
      <w:tr>
        <w:trPr>
          <w:trHeight w:val="236"/>
        </w:trPr>
        <w:tc>
          <w:tcPr>
            <w:tcW w:w="74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Restaurant-Level 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132,506</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142,082</w:t>
            </w:r>
          </w:p>
        </w:tc>
      </w:tr>
      <w:tr>
        <w:trPr>
          <w:trHeight w:val="268"/>
        </w:trPr>
        <w:tc>
          <w:tcPr>
            <w:tcW w:w="7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Restaurant-Level Adjusted EBITDA Margin</w:t>
            </w:r>
          </w:p>
        </w:tc>
        <w:tc>
          <w:tcPr>
            <w:tcW w:w="14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22.6 %</w:t>
            </w:r>
          </w:p>
        </w:tc>
        <w:tc>
          <w:tcPr>
            <w:tcW w:w="10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26.6 %</w:t>
            </w:r>
          </w:p>
        </w:tc>
      </w:tr>
      <w:tr>
        <w:trPr>
          <w:trHeight w:val="20"/>
        </w:trPr>
        <w:tc>
          <w:tcPr>
            <w:tcW w:w="74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Liquidity and Capital Resources</w:t>
      </w:r>
    </w:p>
    <w:p>
      <w:pPr>
        <w:spacing w:after="0" w:line="261"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Revolving Facility. As of December 25, 2022, we maintained cash and cash equivalents and restricted cash balance of $44.4 million and had $45.8 million of availability under our Revolving Facility.</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Based upon current levels of operations and anticipated growth, we expect that cash flows from operations will be sufficient to meet our needs for at least the next twelve months and the foreseeable future. See Note 18. Subsequent Events for a discussion of the New Revolver Facility, which replaced the Revolving Facility, effective February 2, 2023.</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Liquidity Upon IPO</w:t>
      </w:r>
    </w:p>
    <w:p>
      <w:pPr>
        <w:spacing w:after="0" w:line="2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October 25, 2021, we completed an IPO of 23,310,810 shares of the Class A common stock (including 3,040,540 shares sold to the underwriters pursuant to their overallotment option). We received net proceeds from the offering of approximately $430.0 million (after deducting underwriting discounts and commissions and other offering expenses). The net proceeds and cash on hand were used as follows:</w:t>
      </w:r>
    </w:p>
    <w:p>
      <w:pPr>
        <w:spacing w:after="0" w:line="19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7" w:lineRule="exact"/>
        <w:rPr>
          <w:rFonts w:ascii="Arial" w:cs="Arial" w:eastAsia="Arial" w:hAnsi="Arial"/>
          <w:sz w:val="18"/>
          <w:szCs w:val="18"/>
          <w:color w:val="auto"/>
        </w:rPr>
      </w:pPr>
    </w:p>
    <w:p>
      <w:pPr>
        <w:ind w:left="660" w:right="1120" w:hanging="328"/>
        <w:spacing w:after="0" w:line="250" w:lineRule="auto"/>
        <w:tabs>
          <w:tab w:leader="none" w:pos="6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prepayment penalties) of $158.1 million; and</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IPO, we entered into a Tax Receivable Agreement ("TRA") with certain of our pre-IPO LLC Members, in which we will generally be required to pay 85% of the amount of cash savings, if any, in U.S. federal, state, and local income tax that we actually realize or be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exchanges of LLC Units by pre-IPO LLC Members for Class A common stock and (iv) certain other tax benefits related to entering into the TRA, including payments made under the TRA.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third quarter and fourth quarter of 2022, the Company completed two secondary offerings of 8,066,458 shares (including 66,458 shares sold to the underwriters pursuant to their overallotment option) and 8,000,000 shares, respectively, of the Company's Class A common stock at an offering price of $23.75 and $22.69, respectively, per share. We used all of the net proceeds from the secondary offerings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25, 2022, we estimate that our obligation for future payments under the TRA totaled $252.8 million.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 payments that we are required to make will generally reduce the amount of overall cash flow that might have otherwise been available to us, but we expect the cash tax savings we will realize to fund the required payments. Assuming no material changes in relevant tax law and that we earn sufficient taxable income to realize all tax benefits that are subject to the TRA, we estimate that the tax savings associated with all tax attributes described above would aggregate to approximately $297.4 million as of December 25, 2022. Under this scenario, we would be required to pay the TRA Parties approximately 85% of such amount, or $252.8 million, primarily over the next 15 years, substantially declining in year 16 through year 47. We expect a payment of $0.8 million to be paid within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Summary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48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25, 2022</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7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56,889</w:t>
            </w:r>
          </w:p>
        </w:tc>
        <w:tc>
          <w:tcPr>
            <w:tcW w:w="12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42,874</w:t>
            </w: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(36,260)</w:t>
            </w:r>
          </w:p>
        </w:tc>
      </w:tr>
      <w:tr>
        <w:trPr>
          <w:trHeight w:val="244"/>
        </w:trPr>
        <w:tc>
          <w:tcPr>
            <w:tcW w:w="7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auto"/>
            </w:tcBorders>
            <w:shd w:val="clear" w:color="auto" w:fill="DBDBDB"/>
          </w:tcPr>
          <w:p>
            <w:pPr>
              <w:spacing w:after="0"/>
              <w:rPr>
                <w:sz w:val="21"/>
                <w:szCs w:val="21"/>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(4,708)</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(8,783)</w:t>
            </w:r>
          </w:p>
        </w:tc>
      </w:tr>
      <w:tr>
        <w:trPr>
          <w:trHeight w:val="235"/>
        </w:trPr>
        <w:tc>
          <w:tcPr>
            <w:tcW w:w="74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5,164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(2,169)</w:t>
            </w:r>
          </w:p>
        </w:tc>
      </w:tr>
      <w:tr>
        <w:trPr>
          <w:trHeight w:val="244"/>
        </w:trPr>
        <w:tc>
          <w:tcPr>
            <w:tcW w:w="7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60" w:type="dxa"/>
            <w:vAlign w:val="bottom"/>
            <w:tcBorders>
              <w:bottom w:val="single" w:sz="8" w:color="auto"/>
            </w:tcBorders>
            <w:shd w:val="clear" w:color="auto" w:fill="DBDBDB"/>
          </w:tcPr>
          <w:p>
            <w:pPr>
              <w:spacing w:after="0"/>
              <w:rPr>
                <w:sz w:val="21"/>
                <w:szCs w:val="21"/>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41,432</w:t>
            </w:r>
          </w:p>
        </w:tc>
      </w:tr>
      <w:tr>
        <w:trPr>
          <w:trHeight w:val="243"/>
        </w:trPr>
        <w:tc>
          <w:tcPr>
            <w:tcW w:w="748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39,263</w:t>
            </w: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Operating Activities</w:t>
      </w:r>
    </w:p>
    <w:p>
      <w:pPr>
        <w:spacing w:after="0" w:line="3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cash provided by operating activities for the year ended December 25, 2022 was $56.9 million compared to net cash provided by operating activities of $42.9 million for the year ended December 26, 2021, an increase of $14.0 million or 32.7%. This increase was driven by higher net income of $30.6 million and the change in operating assets and liabilities of $10.9 million, partially offset by the change in non-cash items of $27.4 million.</w:t>
      </w:r>
    </w:p>
    <w:p>
      <w:pPr>
        <w:spacing w:after="0" w:line="203"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The $ 10.9 million change in our operating asset and liability balances was primarily driven by operating assets and liabilities being a source of net cash of $ 3.9 million in year ended December 25, 2022, compared to a use of net cash of $7.0 million in year ended December 26, 2021 driven by the change in accounts payable and accrued expenses and other liabilities due to increased payments in the prior year for insurance and interest. The $27.4 million change from the year ended December 26, 2021 in non-cash charges is primarily attributable to equity-based compensation and loss on debt extinguishment in the prior year, offset by a decrease in depreciation and amortization.</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Investing Activities</w:t>
      </w:r>
    </w:p>
    <w:p>
      <w:pPr>
        <w:spacing w:after="0" w:line="24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Net cash used in investing activities was $47.0 million for the year ended December 25, 2022 compared to net cash used in investing activities of $36.3 million for the year ended December 26, 2021, an increase of $10.8 million or 29.7%. This increase was primarily due to the number of restaurant openings and builds in process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Financing Activities</w:t>
      </w:r>
    </w:p>
    <w:p>
      <w:pPr>
        <w:spacing w:after="0" w:line="249"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Net cash used in financing activities was $ 4.7 million for the year ended December 25, 2022 compared to net cash used in financing activities of $8.8 million for the year ended December 26, 2021, a decrease of $4.1 million or 46.4%.</w:t>
      </w:r>
    </w:p>
    <w:p>
      <w:pPr>
        <w:spacing w:after="0" w:line="18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During the year ended December 25, 2022, we received proceeds of $365.0 million, net of underwriting discounts and commissions, which were used to purchase LLC Units or shares of Class A common stock from certain pre-IPO LLC Members of $365.0 million. In addition, payments of IPO offering costs were $0.8 million, payments on long term-debt were $3.3 million and payments related to stock activity were $0.6 million.</w:t>
      </w:r>
    </w:p>
    <w:p>
      <w:pPr>
        <w:spacing w:after="0" w:line="2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year ended December 26, 2021, we received proceeds from our IPO of $437.1 million, net of underwriting discounts and commissions. As discussed in Liquidity and Capital Resources, the proceeds were used to repay the redeemable preferred units in full (including the redemption premium) of $221.7 million, to repay all of the borrowings outstanding under the Second Lien Credit Agreement (including prepayment penalties) of $158.1 million; and to purchase LLC Units or shares of Class A common stock from certain pre-IPO LLC Members and shareholders of the Blocker Companies of $57.0 million. In addition, payments of IPO offering costs were $6.3 million and payments on long term-debt were $3.3 million.</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Revolving Facility and Liens</w:t>
      </w:r>
    </w:p>
    <w:p>
      <w:pPr>
        <w:spacing w:after="0" w:line="249"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During the year ended December 25, 2022, we maintained a Revolving Facility that provided for a revolving total commitment amount of $50.0 million, which, as of February 2, 2023, was replaced by the New Revolver Facility, as further described in this section below and in Note 18. Subsequent Events.</w:t>
      </w:r>
    </w:p>
    <w:p>
      <w:pPr>
        <w:spacing w:after="0" w:line="19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As of December 25, 2022, there were no borrowings outstanding under the Revolving Facility. We had $45.8 million of availability, as of December 25, 2022, after giving effect to $4.2 million in outstanding letters of credit.</w:t>
      </w:r>
    </w:p>
    <w:p>
      <w:pPr>
        <w:spacing w:after="0" w:line="180"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other offering expenses. Net proceeds of $158.1 million were used to repay the Second Lien Term B-3 Loans (including prepayment penalties) in full.</w:t>
      </w:r>
    </w:p>
    <w:p>
      <w:pPr>
        <w:spacing w:after="0" w:line="19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Borrowings under the First Lien Credit Agreement are guaranteed by Holdings,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Borrower is subject to certain financial and reporting covenants pursuant to the terms of the First Lien Credit Agreement. These covenants are customary for these types of debt agreements. As of December 25, 2022, the Company was in compliance with all covenants.</w:t>
      </w:r>
    </w:p>
    <w:p>
      <w:pPr>
        <w:spacing w:after="0" w:line="1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February 2, 2023, Holdings, the Borrower, the other Guarantors party thereto from time to time, each lender party thereto from time to time and Fifth Third Bank, National Association, as Administrative Agent, L/C Issuer and Swing Line Lender entered into a New Credit Agreement which provides for a Term Loan in an initial aggregate principal amount of $300.0 million and a New Revolver Facility in an initial aggregate principal amount of $100.0 million. The proceeds under the Term Loan and New Revolver Facility, along with cash on hand, were used to repay outstanding indebtedness under the First Lien Credit Agreement and to pay related transaction expenses. The Company anticipates using the remainder of the loan proceeds for general corporate purposes and working capital needs.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 18. Subsequent Events for refinancing of borrowings under the First Lien Credit Agreement.</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Material Cash Requirements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material cash requirements greater than twelve months include:</w:t>
      </w:r>
    </w:p>
    <w:p>
      <w:pPr>
        <w:spacing w:after="0" w:line="25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color w:val="414042"/>
        </w:rPr>
        <w:t xml:space="preserve">Debt. </w:t>
      </w:r>
      <w:r>
        <w:rPr>
          <w:rFonts w:ascii="Arial" w:cs="Arial" w:eastAsia="Arial" w:hAnsi="Arial"/>
          <w:sz w:val="18"/>
          <w:szCs w:val="18"/>
          <w:color w:val="000000"/>
        </w:rPr>
        <w:t>Refer to Note 9. Debt and Note 18. Subsequent Events, under the header New Credit Agreement, to the consolidated financial</w:t>
      </w:r>
      <w:r>
        <w:rPr>
          <w:rFonts w:ascii="Arial" w:cs="Arial" w:eastAsia="Arial" w:hAnsi="Arial"/>
          <w:sz w:val="18"/>
          <w:szCs w:val="18"/>
          <w:b w:val="1"/>
          <w:bCs w:val="1"/>
          <w:color w:val="414042"/>
        </w:rPr>
        <w:t xml:space="preserve"> </w:t>
      </w:r>
      <w:r>
        <w:rPr>
          <w:rFonts w:ascii="Arial" w:cs="Arial" w:eastAsia="Arial" w:hAnsi="Arial"/>
          <w:sz w:val="18"/>
          <w:szCs w:val="18"/>
          <w:color w:val="000000"/>
        </w:rPr>
        <w:t>statements for further information of our obligations and the timing of expected payments.</w:t>
      </w:r>
    </w:p>
    <w:p>
      <w:pPr>
        <w:spacing w:after="0" w:line="18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414042"/>
        </w:rPr>
        <w:t>Lease obligations</w:t>
      </w:r>
      <w:r>
        <w:rPr>
          <w:rFonts w:ascii="Arial" w:cs="Arial" w:eastAsia="Arial" w:hAnsi="Arial"/>
          <w:sz w:val="18"/>
          <w:szCs w:val="18"/>
          <w:color w:val="414042"/>
        </w:rPr>
        <w:t>.</w:t>
      </w:r>
      <w:r>
        <w:rPr>
          <w:rFonts w:ascii="Arial" w:cs="Arial" w:eastAsia="Arial" w:hAnsi="Arial"/>
          <w:sz w:val="18"/>
          <w:szCs w:val="18"/>
          <w:b w:val="1"/>
          <w:bCs w:val="1"/>
          <w:color w:val="414042"/>
        </w:rPr>
        <w:t xml:space="preserve"> </w:t>
      </w:r>
      <w:r>
        <w:rPr>
          <w:rFonts w:ascii="Arial" w:cs="Arial" w:eastAsia="Arial" w:hAnsi="Arial"/>
          <w:sz w:val="18"/>
          <w:szCs w:val="18"/>
          <w:color w:val="000000"/>
        </w:rPr>
        <w:t>Refer to Note 10. Leases to the consolidated financial statements for further information of our obligations and the timing</w:t>
      </w:r>
      <w:r>
        <w:rPr>
          <w:rFonts w:ascii="Arial" w:cs="Arial" w:eastAsia="Arial" w:hAnsi="Arial"/>
          <w:sz w:val="18"/>
          <w:szCs w:val="18"/>
          <w:b w:val="1"/>
          <w:bCs w:val="1"/>
          <w:color w:val="414042"/>
        </w:rPr>
        <w:t xml:space="preserve"> </w:t>
      </w:r>
      <w:r>
        <w:rPr>
          <w:rFonts w:ascii="Arial" w:cs="Arial" w:eastAsia="Arial" w:hAnsi="Arial"/>
          <w:sz w:val="18"/>
          <w:szCs w:val="18"/>
          <w:color w:val="000000"/>
        </w:rPr>
        <w:t>of expected payments.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color w:val="414042"/>
        </w:rPr>
        <w:t xml:space="preserve">Liabilities under the tax receivable agreement. </w:t>
      </w:r>
      <w:r>
        <w:rPr>
          <w:rFonts w:ascii="Arial" w:cs="Arial" w:eastAsia="Arial" w:hAnsi="Arial"/>
          <w:sz w:val="18"/>
          <w:szCs w:val="18"/>
          <w:color w:val="000000"/>
        </w:rPr>
        <w:t>Refer to Note 14. Income Taxes to the consolidated financial statements for further</w:t>
      </w:r>
      <w:r>
        <w:rPr>
          <w:rFonts w:ascii="Arial" w:cs="Arial" w:eastAsia="Arial" w:hAnsi="Arial"/>
          <w:sz w:val="18"/>
          <w:szCs w:val="18"/>
          <w:b w:val="1"/>
          <w:bCs w:val="1"/>
          <w:color w:val="414042"/>
        </w:rPr>
        <w:t xml:space="preserve"> </w:t>
      </w:r>
      <w:r>
        <w:rPr>
          <w:rFonts w:ascii="Arial" w:cs="Arial" w:eastAsia="Arial" w:hAnsi="Arial"/>
          <w:sz w:val="18"/>
          <w:szCs w:val="18"/>
          <w:color w:val="000000"/>
        </w:rPr>
        <w:t>information of our obligations.</w:t>
      </w:r>
    </w:p>
    <w:p>
      <w:pPr>
        <w:spacing w:after="0" w:line="166" w:lineRule="exact"/>
        <w:rPr>
          <w:sz w:val="20"/>
          <w:szCs w:val="20"/>
          <w:color w:val="auto"/>
        </w:rPr>
      </w:pPr>
    </w:p>
    <w:p>
      <w:pPr>
        <w:ind w:right="140"/>
        <w:spacing w:after="0" w:line="285" w:lineRule="auto"/>
        <w:rPr>
          <w:sz w:val="20"/>
          <w:szCs w:val="20"/>
          <w:color w:val="auto"/>
        </w:rPr>
      </w:pPr>
      <w:r>
        <w:rPr>
          <w:rFonts w:ascii="Arial" w:cs="Arial" w:eastAsia="Arial" w:hAnsi="Arial"/>
          <w:sz w:val="17"/>
          <w:szCs w:val="17"/>
          <w:color w:val="auto"/>
        </w:rPr>
        <w:t>We may enter into purchase commitments relating to supply chain, construction, marketing and other service-related arrangements that occur in the normal course of business. Such commitments are typically short-term in nature and are not material as of December 25, 2022.</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Critical Accounting Estimates</w:t>
      </w:r>
    </w:p>
    <w:p>
      <w:pPr>
        <w:spacing w:after="0" w:line="2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consolidated financial statements, which have been prepared in accordance with generally accepted accounting principles in the United States of America ("GAAP"). The preparation of these financial statements requires the Company to make estimates, judgments, and assumptions that can have a meaningful effect on the reporting of consolidated financial statements. We describe our significant accounting policies in Note 2. Summary Of Significant Accounting Policies to the consolidated financial statements.</w:t>
      </w:r>
    </w:p>
    <w:p>
      <w:pPr>
        <w:spacing w:after="0" w:line="2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Critical accounting estimates are defined as those reflective of significant judgments, estimates and uncertainties, which may result in materially different results under different assumptions and conditions. Due to their inherent uncertainty, these judgments and estimates may be subject to change, which could materially impact future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Leases</w:t>
      </w:r>
    </w:p>
    <w:p>
      <w:pPr>
        <w:spacing w:after="0" w:line="2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lease land for our retail restaurants and commissaries, and office space under various long-term operating lease agreements that expire or become subject to renewal clauses at various dates through 2068. We also lease equipment, which primarily consists of restaurant equipment and copiers. We have immaterial short-term operating leases, such as those for seasonal rentals and training spaces. We evaluate the contracts to determine whether the contract involves the use of property or equipment, which is either explicitly or implicitly identified. We evaluate whether we control the use of the asset, which is determined by assessing whether we obtain substantially all economic benefits from the use of the asset, and whether we have the right to direct the use of the asset. If these criteria are met and we have identified a lease, we account for the contract under the requirements of ASC 842.</w:t>
      </w:r>
    </w:p>
    <w:p>
      <w:pPr>
        <w:spacing w:after="0" w:line="21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Upon the possession of a leased asset, we determine its classification as an operating or financing lease. As of December 25, 2022, all of our leases are classified as operating leases. We make judgments regarding the probable term for each lease, which can impact the classification and accounting for a lease as operating or financing, as well as the amount of straight-lined rent expense in a particular period. Generally, the leases for the restaurant locations have an initial term of 10 years to 20 years and typically provide for renewal options in five-year increments, as well as rent escalations. Renewal options are generally recognized as part of the right-of-use assets and lease liabilities as it is reasonably certain at commencement date that we would exercise the options to extend the lease. Some of our real estate leases provide for base rent, plus if applicable additional rent based on gross sales, as defined in each lease agreement, which is considered to be variable rent. When the achievement of such sales thresholds are deemed to be probable, contingent rent is accrued in proportion to the sales recognized during the period. For operating leases that include rent holidays and rent escalation clauses, we recognize lease expense on a straight-line basis over the lease term from the date we take possession of the leased property. Lease expense incurred before a restaurant opens is recorded in pre-opening expenses in the consolidated statements of operations. Once a restaurant opens, we record the straight-line lease expense and any contingent rent, if applicable, in occupancy and related expenses on the consolidated statements of operations. Many of our leases also require us to pay real estate taxes, common area maintenance costs and other occupancy costs which are included in occupancy and other operating expenses on the consolidated statements of operations and is generally considered to be variable rent. For leases with a lease term of 12 months or less ("short-term lease"), any fixed lease payments are recognized on a straight-line basis over such term, and are not recognized on the consolidated balance sheets.</w:t>
      </w:r>
    </w:p>
    <w:p>
      <w:pPr>
        <w:spacing w:after="0" w:line="22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Per the ASC 842 requirements, a lessee is required to use the rate implicit in the lease when readily determinable; alternatively, it would use the incremental borrowing rate in determining the present value of future lease payments. We estimate our incremental borrowing rates corresponding to the maturities of our leases. We estimate this rate based on prevailing financial market conditions, indications for the Company's credit rating, and other benchmarks related to our outstanding secured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expend cash for leasehold improvements to build out our leased premises. Generally, a portion of the leasehold improvements and building costs are reimbursed by our landlords as landlord incentives pursuant to agreed-upon terms in our lease agreements. If obtained, landlord incentives usually take the form of up-front cash, full or partial credits against our future minimum or contingent rents otherwise payable by us, or a combination thereof. In most cases, landlord incentives are received after we take possession of the property, as we meet required milestones during the construction of the property. We include these amounts in the measurement of the initial operating lease liability, which are also reflected as a reduction to the initial measurement of the right-of-use asset.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Liabilities Under Tax Receivable Agreement</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described in "Liquidity Upon IPO", we are a party to the TRA under which we are contractually committed to pay certain of our pre-IPO LLC Members 85% of the amount of any tax savings that we actually realize, or in some cases are deemed to realize, as a result of certain transactions. Amounts payable under the TRA are contingent upon, among other things, (i) generation of future taxable income over the term of the TRA and (ii) future changes in tax laws. If we do not generate sufficient taxable income in the aggregate over the term of the TRA to utilize the tax benefits, then we would not be required to make the related TRA payments. Therefore, we would only recognize a liability for TRA payments if we determine it is probable that we will generate sufficient future taxable income over the term of the TRA to utilize the related tax benefits. As of December 25, 2022, we recognized $252.8 million of liabilities relating to our obligations under the TRA, after concluding that it was probable that we would have sufficient future taxable income to utilize the related tax benefits. If we determine in the future that we will not be able to fully utilize all or part of the related tax benefits, we would de-recognize the portion of the liability related to the benefits not expected to be utilized.</w:t>
      </w:r>
    </w:p>
    <w:p>
      <w:pPr>
        <w:spacing w:after="0" w:line="2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Additionally, we estimate the amount of TRA payments expected to be paid within the next 12 months and classify this amount as current on our consolidated balance sheet. This determination is based on our estimate of taxable income for the next fiscal year and the timing of the anticipated payments. To the extent our estimate differs from actual results, we may be required to reclassify portions of our liabilities under the TRA between current and non-current. We expect a payment of $0.8 million to be paid within the next 12 months.</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Income Taxes</w:t>
      </w:r>
    </w:p>
    <w:p>
      <w:pPr>
        <w:spacing w:after="0" w:line="24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subject to U.S. federal, state and local income taxes with respect to our allocable share of any taxable income of Portillo’s OpCo and will be taxed at the prevailing corporate tax rates. In addition to tax expenses, we also will incur expenses related to our operations, plus payments under the TRA, which are expected to be significant. We intend to cause Portillo’s OpCo to make cash distributions to us in an amount sufficient to allow us to pay our tax obligations and operating expenses, including distributions to fund any ordinary course payments due under the TRA. We anticipate that we will account for the income tax effects and corresponding TRA’s effects resulting from future taxable exchanges or redemptions of LLC Units of pre-IPO LLC Members by us or Portillo’s OpCo by recognizing an increase in our deferred tax assets, based on enacted tax rates at the date of the purchase or redemption.</w:t>
      </w:r>
    </w:p>
    <w:p>
      <w:pPr>
        <w:spacing w:after="0" w:line="21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amounts recorded for both the deferred tax assets and the liability for our obligations under the TRA were estimated at the time of the IPO and secondary offerings as a reduction to shareholders’ equity, and the effects of changes in any of our estimates after this date will be included in net income (loss). Similarly, the effect of subsequent changes in the enacted tax rates will be included in net income (loss).</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As of December 25, 2022, we had $150.5 million of deferred tax assets, net of the recorded valuation allowance.</w:t>
      </w:r>
    </w:p>
    <w:p>
      <w:pPr>
        <w:spacing w:after="0" w:line="20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 ended December 25, 2022, we did not record any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JOBS Act</w:t>
      </w:r>
    </w:p>
    <w:p>
      <w:pPr>
        <w:spacing w:after="0" w:line="2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qualify as an emerging growth company ("EGC") pursuant to the provisions of the Jumpstart our Business Startups (“JOBS”) Act. For as long as we are an EGC, we may take advantage of certain exemptions from various reporting requirements that are applicable to other public companies that are not EGCs,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shareholder advisory votes on golden parachute compensation.</w:t>
      </w:r>
    </w:p>
    <w:p>
      <w:pPr>
        <w:spacing w:after="0" w:line="20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Section 107 of the JOBS Act also provides that an EGC can take advantage of the extended transition period provided in Section 7(a)(2)(B) of the Securities Act for complying with new or revised accounting standards. An EGC can therefore delay the adoption of certain accounting standards until those standards would otherwise apply to private companies. We intend to take advantage of the extended transition period.</w:t>
      </w:r>
    </w:p>
    <w:p>
      <w:pPr>
        <w:spacing w:after="0" w:line="2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will remain an EGC until the last day of the fiscal year following the fifth anniversary of the date of the first sale of our Class A common stock pursuant to an effective registration statement, which was October 21, 2021, unless, prior to that time, we have more than $ 1.07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executive compensation disclosure and expect to continue to avail ourselves of the reduced reporting obligations available to EGCs in future filings.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7A.</w:t>
      </w:r>
      <w:r>
        <w:rPr>
          <w:sz w:val="20"/>
          <w:szCs w:val="20"/>
          <w:color w:val="auto"/>
        </w:rPr>
        <w:tab/>
      </w:r>
      <w:r>
        <w:rPr>
          <w:rFonts w:ascii="Arial" w:cs="Arial" w:eastAsia="Arial" w:hAnsi="Arial"/>
          <w:sz w:val="24"/>
          <w:szCs w:val="24"/>
          <w:b w:val="1"/>
          <w:bCs w:val="1"/>
          <w:color w:val="414042"/>
        </w:rPr>
        <w:t>QUANTITATIVE AND QUALITATIVE DISCLOSURES ABOUT MARKET RISK</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Commodity and Food Price Risks</w:t>
      </w:r>
    </w:p>
    <w:p>
      <w:pPr>
        <w:spacing w:after="0" w:line="2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are exposed to commodity price risks. Many of the ingredients we use to prepare our food, as well as our packaging materials, are commodities or are affected by the price of other commodities. Factors that affect the price of commodities are generally outside of our control and include raw material inputs, geopolitical events, weather conditions, currency markets and global supply and demand dynamics, among other items.</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order to minimize the impact of fluctuations in price and availability, we monitor the primary commodities we purchase and may enter into purchasing contracts and pricing arrangements when considered to be advantageous. Structured programs within our organization exist to mitigate adverse impacts and proactively direct risk management strategies across our portfolio of key products, services and energy platforms.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Rate Risk</w:t>
      </w:r>
    </w:p>
    <w:p>
      <w:pPr>
        <w:spacing w:after="0" w:line="2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credit facilities incur interest at a floating rate. We seek to manage exposure to adverse interest rate changes through our normal operating and financing activities. As of December 25, 2022 and December 26, 2021, we had $322.4 million and $325.8 million, respectively, in outstanding borrowings under our credit facilities, excluding unamortized debt discount and deferred issuance costs. Based on the amount outstanding under our credit facilities as of December 25, 2022, a change of one hundred basis points in the applicable interest rate would cause an increase or decrease in interest expense of approximately $3.3 million on an annual basis.</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February 2, 2023 (the “Closing Date”), Holdings, the Borrower, the other Guarantors party thereto from time to time, each lender party thereto from time to time and Fifth Third Bank, National Association, as Administrative Agent, L/C Issuer and Swing Line Lender entered into a Credit Agreement (“New Credit Agreement”) which provides for a Term Loan in an initial aggregate principal amount of $300.0 million and initial Revolving Credit Commitments in an initial aggregate principal amount of $100.0 million (the “New Revolver Facility”). As of the Closing Date, the Term Loan and the New Revolver Facility will accrue interest at the forward-looking secured overnight financing rate plus an applicable rate determined upon the total net rent to adjusted leverage ratio, subject to a floor of 0.00% (plus a credit spread adjustment of</w:t>
      </w:r>
    </w:p>
    <w:p>
      <w:pPr>
        <w:spacing w:after="0" w:line="5" w:lineRule="exact"/>
        <w:rPr>
          <w:sz w:val="20"/>
          <w:szCs w:val="20"/>
          <w:color w:val="auto"/>
        </w:rPr>
      </w:pPr>
    </w:p>
    <w:p>
      <w:pPr>
        <w:jc w:val="both"/>
        <w:ind w:right="140"/>
        <w:spacing w:after="0" w:line="258" w:lineRule="auto"/>
        <w:rPr>
          <w:sz w:val="20"/>
          <w:szCs w:val="20"/>
          <w:color w:val="auto"/>
        </w:rPr>
      </w:pPr>
      <w:r>
        <w:rPr>
          <w:rFonts w:ascii="Arial" w:cs="Arial" w:eastAsia="Arial" w:hAnsi="Arial"/>
          <w:sz w:val="18"/>
          <w:szCs w:val="18"/>
          <w:color w:val="auto"/>
        </w:rPr>
        <w:t>0.10% per annum for 1-month interest periods and 0.15% for 3-month interest periods). The interest rate applicable to borrowings under the New Credit Agreement may subsequently be adjusted on periodic measurement dates provided for under the New Credit Agreement based on the type of loans borrowed by the Borrower and the total net rent to adjusted leverage ratio of the Borrower at such time.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Effects of Inflation</w:t>
      </w:r>
    </w:p>
    <w:p>
      <w:pPr>
        <w:spacing w:after="0" w:line="24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Inflation has the potential to impact restaurant operating expenses at all levels. Whether that pressure originates from commodity costs, labor expenses, energy or transportation this can have a material influence on restaurant margins.</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Several strategies are employed to combat the ongoing inflationary pressures, including improvement to restaurant operating efficiencies, strategic menu price increases and supplier partner engagement via pricing programs. A well-balanced portfolio of varying risk management approaches related to supply partner management assists in ensuring varying degrees of cost mitigation. These platforms vary from long term, fixed price agreements to commodity market based indexed pricing programs.</w:t>
      </w:r>
    </w:p>
    <w:p>
      <w:pPr>
        <w:spacing w:after="0" w:line="20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While we have historically been able to partially offset inflation and other changes in operating expenses through productivity improvements, strategic menu prices increases and more efficient sourcing practices, there can be no assurance that we will be able to continue to do so in the future.</w:t>
      </w:r>
    </w:p>
    <w:p>
      <w:pPr>
        <w:spacing w:after="0" w:line="19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addition, a portion of the leases for our restaurants provide for contingent rent obligations based on a percentage of sales. As a result, an increase in occupancy and related expenses will offset a proportionate share of any menu price increases at our restaurants.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Costs</w:t>
      </w:r>
    </w:p>
    <w:p>
      <w:pPr>
        <w:spacing w:after="0" w:line="26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Increases in minimum wage, health care and other benefit costs may have a material adverse effect on our labor costs. We operate in many states and localities where the minimum wage is significantly higher than the federal minimum wage.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market for labor in the United States is competitive and has resulted in pressure on wages and may continue to do so in the future. Increases in minimum wage and market pressure may also result in increases in the wage rates paid for non-minimum wage positions. Many states and localities are also passing laws regulating employment practices and working conditions which could have a material adverse effect on our labor costs in those areas.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060" w:type="dxa"/>
            <w:vAlign w:val="bottom"/>
            <w:gridSpan w:val="3"/>
          </w:tcPr>
          <w:p>
            <w:pPr>
              <w:spacing w:after="0"/>
              <w:rPr>
                <w:sz w:val="20"/>
                <w:szCs w:val="20"/>
                <w:color w:val="auto"/>
              </w:rPr>
            </w:pPr>
            <w:r>
              <w:rPr>
                <w:rFonts w:ascii="Arial" w:cs="Arial" w:eastAsia="Arial" w:hAnsi="Arial"/>
                <w:sz w:val="25"/>
                <w:szCs w:val="25"/>
                <w:b w:val="1"/>
                <w:bCs w:val="1"/>
                <w:color w:val="414042"/>
              </w:rPr>
              <w:t>ITEM 8.</w:t>
            </w:r>
          </w:p>
        </w:tc>
        <w:tc>
          <w:tcPr>
            <w:tcW w:w="7880" w:type="dxa"/>
            <w:vAlign w:val="bottom"/>
            <w:gridSpan w:val="25"/>
          </w:tcPr>
          <w:p>
            <w:pPr>
              <w:ind w:left="180"/>
              <w:spacing w:after="0"/>
              <w:rPr>
                <w:sz w:val="20"/>
                <w:szCs w:val="20"/>
                <w:color w:val="auto"/>
              </w:rPr>
            </w:pPr>
            <w:r>
              <w:rPr>
                <w:rFonts w:ascii="Arial" w:cs="Arial" w:eastAsia="Arial" w:hAnsi="Arial"/>
                <w:sz w:val="25"/>
                <w:szCs w:val="25"/>
                <w:b w:val="1"/>
                <w:bCs w:val="1"/>
                <w:color w:val="414042"/>
              </w:rPr>
              <w:t>FINANCIAL STATEMENTS AND SUPPLEMENTARY DATA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8940" w:type="dxa"/>
            <w:vAlign w:val="bottom"/>
            <w:gridSpan w:val="28"/>
          </w:tcPr>
          <w:p>
            <w:pPr>
              <w:spacing w:after="0"/>
              <w:rPr>
                <w:sz w:val="20"/>
                <w:szCs w:val="20"/>
                <w:color w:val="auto"/>
              </w:rPr>
            </w:pPr>
            <w:r>
              <w:rPr>
                <w:rFonts w:ascii="Arial" w:cs="Arial" w:eastAsia="Arial" w:hAnsi="Arial"/>
                <w:sz w:val="20"/>
                <w:szCs w:val="20"/>
                <w:b w:val="1"/>
                <w:bCs w:val="1"/>
                <w:color w:val="auto"/>
              </w:rPr>
              <w:t>INDEX TO FINANCIAL STATEMENTS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7"/>
              </w:rPr>
              <w:t>Page</w:t>
            </w:r>
          </w:p>
        </w:tc>
      </w:tr>
      <w:tr>
        <w:trPr>
          <w:trHeight w:val="47"/>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622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w w:val="99"/>
              </w:rPr>
              <w:t>Report of Independent Registered Public Accounting Firm (PCAOB ID No. 34)</w:t>
            </w:r>
          </w:p>
        </w:tc>
        <w:tc>
          <w:tcPr>
            <w:tcW w:w="2700" w:type="dxa"/>
            <w:vAlign w:val="bottom"/>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51</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auto"/>
            </w:tcBorders>
            <w:shd w:val="clear" w:color="auto" w:fill="DBDBDB"/>
          </w:tcPr>
          <w:p>
            <w:pPr>
              <w:spacing w:after="0"/>
              <w:rPr>
                <w:sz w:val="4"/>
                <w:szCs w:val="4"/>
                <w:color w:val="auto"/>
              </w:rPr>
            </w:pPr>
          </w:p>
        </w:tc>
        <w:tc>
          <w:tcPr>
            <w:tcW w:w="24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140" w:type="dxa"/>
            <w:vAlign w:val="bottom"/>
            <w:tcBorders>
              <w:top w:val="single" w:sz="8" w:color="auto"/>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220" w:type="dxa"/>
            <w:vAlign w:val="bottom"/>
            <w:gridSpan w:val="26"/>
          </w:tcPr>
          <w:p>
            <w:pPr>
              <w:spacing w:after="0" w:line="202" w:lineRule="exact"/>
              <w:rPr>
                <w:sz w:val="20"/>
                <w:szCs w:val="20"/>
                <w:color w:val="auto"/>
              </w:rPr>
            </w:pPr>
            <w:r>
              <w:rPr>
                <w:rFonts w:ascii="Arial" w:cs="Arial" w:eastAsia="Arial" w:hAnsi="Arial"/>
                <w:sz w:val="18"/>
                <w:szCs w:val="18"/>
                <w:color w:val="auto"/>
              </w:rPr>
              <w:t>Consolidated Balance Sheets</w:t>
            </w:r>
          </w:p>
        </w:tc>
        <w:tc>
          <w:tcPr>
            <w:tcW w:w="27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52</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8920" w:type="dxa"/>
            <w:vAlign w:val="bottom"/>
            <w:gridSpan w:val="27"/>
            <w:shd w:val="clear" w:color="auto" w:fill="DBDBDB"/>
          </w:tcPr>
          <w:p>
            <w:pPr>
              <w:spacing w:after="0" w:line="202" w:lineRule="exact"/>
              <w:rPr>
                <w:sz w:val="20"/>
                <w:szCs w:val="20"/>
                <w:color w:val="auto"/>
              </w:rPr>
            </w:pPr>
            <w:r>
              <w:rPr>
                <w:rFonts w:ascii="Arial" w:cs="Arial" w:eastAsia="Arial" w:hAnsi="Arial"/>
                <w:sz w:val="18"/>
                <w:szCs w:val="18"/>
                <w:color w:val="auto"/>
              </w:rPr>
              <w:t>Consolidated Statements of Operations</w:t>
            </w:r>
          </w:p>
        </w:tc>
        <w:tc>
          <w:tcPr>
            <w:tcW w:w="1380" w:type="dxa"/>
            <w:vAlign w:val="bottom"/>
            <w:gridSpan w:val="4"/>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w w:val="99"/>
              </w:rPr>
              <w:t>53</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920" w:type="dxa"/>
            <w:vAlign w:val="bottom"/>
            <w:gridSpan w:val="27"/>
          </w:tcPr>
          <w:p>
            <w:pPr>
              <w:spacing w:after="0" w:line="202" w:lineRule="exact"/>
              <w:rPr>
                <w:sz w:val="20"/>
                <w:szCs w:val="20"/>
                <w:color w:val="auto"/>
              </w:rPr>
            </w:pPr>
            <w:r>
              <w:rPr>
                <w:rFonts w:ascii="Arial" w:cs="Arial" w:eastAsia="Arial" w:hAnsi="Arial"/>
                <w:sz w:val="18"/>
                <w:szCs w:val="18"/>
                <w:color w:val="auto"/>
              </w:rPr>
              <w:t>Consolidated Statements of Stockholders' and Members' Equity</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54</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8920" w:type="dxa"/>
            <w:vAlign w:val="bottom"/>
            <w:gridSpan w:val="27"/>
            <w:shd w:val="clear" w:color="auto" w:fill="DBDBDB"/>
          </w:tcPr>
          <w:p>
            <w:pPr>
              <w:spacing w:after="0" w:line="202" w:lineRule="exact"/>
              <w:rPr>
                <w:sz w:val="20"/>
                <w:szCs w:val="20"/>
                <w:color w:val="auto"/>
              </w:rPr>
            </w:pPr>
            <w:r>
              <w:rPr>
                <w:rFonts w:ascii="Arial" w:cs="Arial" w:eastAsia="Arial" w:hAnsi="Arial"/>
                <w:sz w:val="18"/>
                <w:szCs w:val="18"/>
                <w:color w:val="auto"/>
              </w:rPr>
              <w:t>Consolidated Statements of Cash Flows</w:t>
            </w:r>
          </w:p>
        </w:tc>
        <w:tc>
          <w:tcPr>
            <w:tcW w:w="1380" w:type="dxa"/>
            <w:vAlign w:val="bottom"/>
            <w:gridSpan w:val="4"/>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w w:val="99"/>
              </w:rPr>
              <w:t>56</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920" w:type="dxa"/>
            <w:vAlign w:val="bottom"/>
            <w:gridSpan w:val="27"/>
          </w:tcPr>
          <w:p>
            <w:pPr>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58</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560" w:type="dxa"/>
            <w:vAlign w:val="bottom"/>
            <w:gridSpan w:val="11"/>
            <w:shd w:val="clear" w:color="auto" w:fill="DBDBDB"/>
          </w:tcPr>
          <w:p>
            <w:pPr>
              <w:spacing w:after="0" w:line="202" w:lineRule="exact"/>
              <w:rPr>
                <w:sz w:val="20"/>
                <w:szCs w:val="20"/>
                <w:color w:val="auto"/>
              </w:rPr>
            </w:pPr>
            <w:r>
              <w:rPr>
                <w:rFonts w:ascii="Arial" w:cs="Arial" w:eastAsia="Arial" w:hAnsi="Arial"/>
                <w:sz w:val="18"/>
                <w:szCs w:val="18"/>
                <w:color w:val="auto"/>
                <w:w w:val="99"/>
              </w:rPr>
              <w:t>Note 1. Description Of Business</w:t>
            </w:r>
          </w:p>
        </w:tc>
        <w:tc>
          <w:tcPr>
            <w:tcW w:w="5820" w:type="dxa"/>
            <w:vAlign w:val="bottom"/>
            <w:gridSpan w:val="15"/>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58</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6"/>
          </w:tcPr>
          <w:p>
            <w:pPr>
              <w:spacing w:after="0" w:line="202" w:lineRule="exact"/>
              <w:rPr>
                <w:sz w:val="20"/>
                <w:szCs w:val="20"/>
                <w:color w:val="auto"/>
              </w:rPr>
            </w:pPr>
            <w:r>
              <w:rPr>
                <w:rFonts w:ascii="Arial" w:cs="Arial" w:eastAsia="Arial" w:hAnsi="Arial"/>
                <w:sz w:val="18"/>
                <w:szCs w:val="18"/>
                <w:color w:val="auto"/>
              </w:rPr>
              <w:t>Note 2. Summary Of Significant Accounting Policies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59</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360" w:type="dxa"/>
            <w:vAlign w:val="bottom"/>
            <w:gridSpan w:val="10"/>
            <w:shd w:val="clear" w:color="auto" w:fill="DBDBDB"/>
          </w:tcPr>
          <w:p>
            <w:pPr>
              <w:spacing w:after="0" w:line="202" w:lineRule="exact"/>
              <w:rPr>
                <w:sz w:val="20"/>
                <w:szCs w:val="20"/>
                <w:color w:val="auto"/>
              </w:rPr>
            </w:pPr>
            <w:r>
              <w:rPr>
                <w:rFonts w:ascii="Arial" w:cs="Arial" w:eastAsia="Arial" w:hAnsi="Arial"/>
                <w:sz w:val="18"/>
                <w:szCs w:val="18"/>
                <w:color w:val="auto"/>
                <w:w w:val="99"/>
              </w:rPr>
              <w:t>Note 3. Revenue Recognition</w:t>
            </w:r>
          </w:p>
        </w:tc>
        <w:tc>
          <w:tcPr>
            <w:tcW w:w="6020" w:type="dxa"/>
            <w:vAlign w:val="bottom"/>
            <w:gridSpan w:val="16"/>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66</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60" w:type="dxa"/>
            <w:vAlign w:val="bottom"/>
            <w:gridSpan w:val="10"/>
          </w:tcPr>
          <w:p>
            <w:pPr>
              <w:spacing w:after="0" w:line="202" w:lineRule="exact"/>
              <w:rPr>
                <w:sz w:val="20"/>
                <w:szCs w:val="20"/>
                <w:color w:val="auto"/>
              </w:rPr>
            </w:pPr>
            <w:r>
              <w:rPr>
                <w:rFonts w:ascii="Arial" w:cs="Arial" w:eastAsia="Arial" w:hAnsi="Arial"/>
                <w:sz w:val="18"/>
                <w:szCs w:val="18"/>
                <w:color w:val="auto"/>
              </w:rPr>
              <w:t>Note 4. Inventories</w:t>
            </w:r>
          </w:p>
        </w:tc>
        <w:tc>
          <w:tcPr>
            <w:tcW w:w="6020" w:type="dxa"/>
            <w:vAlign w:val="bottom"/>
            <w:gridSpan w:val="16"/>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67</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780" w:type="dxa"/>
            <w:vAlign w:val="bottom"/>
            <w:gridSpan w:val="15"/>
            <w:shd w:val="clear" w:color="auto" w:fill="DBDBDB"/>
          </w:tcPr>
          <w:p>
            <w:pPr>
              <w:spacing w:after="0" w:line="202" w:lineRule="exact"/>
              <w:rPr>
                <w:sz w:val="20"/>
                <w:szCs w:val="20"/>
                <w:color w:val="auto"/>
              </w:rPr>
            </w:pPr>
            <w:r>
              <w:rPr>
                <w:rFonts w:ascii="Arial" w:cs="Arial" w:eastAsia="Arial" w:hAnsi="Arial"/>
                <w:sz w:val="18"/>
                <w:szCs w:val="18"/>
                <w:color w:val="auto"/>
                <w:w w:val="99"/>
              </w:rPr>
              <w:t>Note 5. Property &amp; Equipment, Net</w:t>
            </w:r>
          </w:p>
        </w:tc>
        <w:tc>
          <w:tcPr>
            <w:tcW w:w="5600" w:type="dxa"/>
            <w:vAlign w:val="bottom"/>
            <w:gridSpan w:val="11"/>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67</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6"/>
          </w:tcPr>
          <w:p>
            <w:pPr>
              <w:spacing w:after="0" w:line="202" w:lineRule="exact"/>
              <w:rPr>
                <w:sz w:val="20"/>
                <w:szCs w:val="20"/>
                <w:color w:val="auto"/>
              </w:rPr>
            </w:pPr>
            <w:r>
              <w:rPr>
                <w:rFonts w:ascii="Arial" w:cs="Arial" w:eastAsia="Arial" w:hAnsi="Arial"/>
                <w:sz w:val="18"/>
                <w:szCs w:val="18"/>
                <w:color w:val="auto"/>
              </w:rPr>
              <w:t>Note 6. Goodwill &amp; Intangible Assets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67</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38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Note 7. Fair Value Of Financial Instruments</w:t>
            </w:r>
          </w:p>
        </w:tc>
        <w:tc>
          <w:tcPr>
            <w:tcW w:w="1380" w:type="dxa"/>
            <w:vAlign w:val="bottom"/>
            <w:gridSpan w:val="4"/>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w w:val="99"/>
              </w:rPr>
              <w:t>69</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6"/>
          </w:tcPr>
          <w:p>
            <w:pPr>
              <w:spacing w:after="0" w:line="202" w:lineRule="exact"/>
              <w:rPr>
                <w:sz w:val="20"/>
                <w:szCs w:val="20"/>
                <w:color w:val="auto"/>
              </w:rPr>
            </w:pPr>
            <w:r>
              <w:rPr>
                <w:rFonts w:ascii="Arial" w:cs="Arial" w:eastAsia="Arial" w:hAnsi="Arial"/>
                <w:sz w:val="18"/>
                <w:szCs w:val="18"/>
                <w:color w:val="auto"/>
              </w:rPr>
              <w:t>Note 8. Supplemental Balance Sheet Information</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70</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020" w:type="dxa"/>
            <w:vAlign w:val="bottom"/>
            <w:gridSpan w:val="2"/>
            <w:shd w:val="clear" w:color="auto" w:fill="DBDBDB"/>
          </w:tcPr>
          <w:p>
            <w:pPr>
              <w:spacing w:after="0" w:line="202" w:lineRule="exact"/>
              <w:rPr>
                <w:sz w:val="20"/>
                <w:szCs w:val="20"/>
                <w:color w:val="auto"/>
              </w:rPr>
            </w:pPr>
            <w:r>
              <w:rPr>
                <w:rFonts w:ascii="Arial" w:cs="Arial" w:eastAsia="Arial" w:hAnsi="Arial"/>
                <w:sz w:val="18"/>
                <w:szCs w:val="18"/>
                <w:color w:val="auto"/>
                <w:w w:val="98"/>
              </w:rPr>
              <w:t>Note 9. Debt</w:t>
            </w:r>
          </w:p>
        </w:tc>
        <w:tc>
          <w:tcPr>
            <w:tcW w:w="7360" w:type="dxa"/>
            <w:vAlign w:val="bottom"/>
            <w:gridSpan w:val="24"/>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70</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6"/>
          </w:tcPr>
          <w:p>
            <w:pPr>
              <w:spacing w:after="0" w:line="202" w:lineRule="exact"/>
              <w:rPr>
                <w:sz w:val="20"/>
                <w:szCs w:val="20"/>
                <w:color w:val="auto"/>
              </w:rPr>
            </w:pPr>
            <w:r>
              <w:rPr>
                <w:rFonts w:ascii="Arial" w:cs="Arial" w:eastAsia="Arial" w:hAnsi="Arial"/>
                <w:sz w:val="18"/>
                <w:szCs w:val="18"/>
                <w:color w:val="auto"/>
              </w:rPr>
              <w:t>Note 10. Leases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72</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380" w:type="dxa"/>
            <w:vAlign w:val="bottom"/>
            <w:gridSpan w:val="26"/>
            <w:shd w:val="clear" w:color="auto" w:fill="DBDBDB"/>
          </w:tcPr>
          <w:p>
            <w:pPr>
              <w:spacing w:after="0" w:line="202" w:lineRule="exact"/>
              <w:rPr>
                <w:sz w:val="20"/>
                <w:szCs w:val="20"/>
                <w:color w:val="auto"/>
              </w:rPr>
            </w:pPr>
            <w:r>
              <w:rPr>
                <w:rFonts w:ascii="Arial" w:cs="Arial" w:eastAsia="Arial" w:hAnsi="Arial"/>
                <w:sz w:val="18"/>
                <w:szCs w:val="18"/>
                <w:color w:val="auto"/>
              </w:rPr>
              <w:t>Note 11. Stockholders' Equity</w:t>
            </w:r>
          </w:p>
        </w:tc>
        <w:tc>
          <w:tcPr>
            <w:tcW w:w="1380" w:type="dxa"/>
            <w:vAlign w:val="bottom"/>
            <w:gridSpan w:val="4"/>
            <w:shd w:val="clear" w:color="auto" w:fill="DBDBDB"/>
          </w:tcPr>
          <w:p>
            <w:pPr>
              <w:jc w:val="center"/>
              <w:ind w:left="850"/>
              <w:spacing w:after="0" w:line="202" w:lineRule="exact"/>
              <w:rPr>
                <w:sz w:val="20"/>
                <w:szCs w:val="20"/>
                <w:color w:val="auto"/>
              </w:rPr>
            </w:pPr>
            <w:r>
              <w:rPr>
                <w:rFonts w:ascii="Arial" w:cs="Arial" w:eastAsia="Arial" w:hAnsi="Arial"/>
                <w:sz w:val="18"/>
                <w:szCs w:val="18"/>
                <w:color w:val="auto"/>
                <w:w w:val="99"/>
              </w:rPr>
              <w:t>75</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380" w:type="dxa"/>
            <w:vAlign w:val="bottom"/>
            <w:gridSpan w:val="26"/>
          </w:tcPr>
          <w:p>
            <w:pPr>
              <w:spacing w:after="0" w:line="202" w:lineRule="exact"/>
              <w:rPr>
                <w:sz w:val="20"/>
                <w:szCs w:val="20"/>
                <w:color w:val="auto"/>
              </w:rPr>
            </w:pPr>
            <w:r>
              <w:rPr>
                <w:rFonts w:ascii="Arial" w:cs="Arial" w:eastAsia="Arial" w:hAnsi="Arial"/>
                <w:sz w:val="18"/>
                <w:szCs w:val="18"/>
                <w:color w:val="auto"/>
              </w:rPr>
              <w:t>Note 12. Non-Controlling Interests</w:t>
            </w:r>
          </w:p>
        </w:tc>
        <w:tc>
          <w:tcPr>
            <w:tcW w:w="1380" w:type="dxa"/>
            <w:vAlign w:val="bottom"/>
            <w:gridSpan w:val="4"/>
          </w:tcPr>
          <w:p>
            <w:pPr>
              <w:jc w:val="center"/>
              <w:ind w:left="850"/>
              <w:spacing w:after="0" w:line="202" w:lineRule="exact"/>
              <w:rPr>
                <w:sz w:val="20"/>
                <w:szCs w:val="20"/>
                <w:color w:val="auto"/>
              </w:rPr>
            </w:pPr>
            <w:r>
              <w:rPr>
                <w:rFonts w:ascii="Arial" w:cs="Arial" w:eastAsia="Arial" w:hAnsi="Arial"/>
                <w:sz w:val="18"/>
                <w:szCs w:val="18"/>
                <w:color w:val="auto"/>
                <w:w w:val="99"/>
              </w:rPr>
              <w:t>77</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3020" w:type="dxa"/>
            <w:vAlign w:val="bottom"/>
            <w:gridSpan w:val="20"/>
            <w:shd w:val="clear" w:color="auto" w:fill="DBDBDB"/>
          </w:tcPr>
          <w:p>
            <w:pPr>
              <w:spacing w:after="0" w:line="202" w:lineRule="exact"/>
              <w:rPr>
                <w:sz w:val="20"/>
                <w:szCs w:val="20"/>
                <w:color w:val="auto"/>
              </w:rPr>
            </w:pPr>
            <w:r>
              <w:rPr>
                <w:rFonts w:ascii="Arial" w:cs="Arial" w:eastAsia="Arial" w:hAnsi="Arial"/>
                <w:sz w:val="18"/>
                <w:szCs w:val="18"/>
                <w:color w:val="auto"/>
                <w:w w:val="99"/>
              </w:rPr>
              <w:t>Note 13. Equity-Based Compensation</w:t>
            </w:r>
          </w:p>
        </w:tc>
        <w:tc>
          <w:tcPr>
            <w:tcW w:w="5360" w:type="dxa"/>
            <w:vAlign w:val="bottom"/>
            <w:gridSpan w:val="6"/>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77</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20" w:type="dxa"/>
            <w:vAlign w:val="bottom"/>
            <w:gridSpan w:val="20"/>
          </w:tcPr>
          <w:p>
            <w:pPr>
              <w:spacing w:after="0" w:line="202" w:lineRule="exact"/>
              <w:rPr>
                <w:sz w:val="20"/>
                <w:szCs w:val="20"/>
                <w:color w:val="auto"/>
              </w:rPr>
            </w:pPr>
            <w:r>
              <w:rPr>
                <w:rFonts w:ascii="Arial" w:cs="Arial" w:eastAsia="Arial" w:hAnsi="Arial"/>
                <w:sz w:val="18"/>
                <w:szCs w:val="18"/>
                <w:color w:val="auto"/>
              </w:rPr>
              <w:t>Note 14. Income Taxes</w:t>
            </w:r>
          </w:p>
        </w:tc>
        <w:tc>
          <w:tcPr>
            <w:tcW w:w="5360" w:type="dxa"/>
            <w:vAlign w:val="bottom"/>
            <w:gridSpan w:val="6"/>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81</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860" w:type="dxa"/>
            <w:vAlign w:val="bottom"/>
            <w:gridSpan w:val="16"/>
            <w:shd w:val="clear" w:color="auto" w:fill="DBDBDB"/>
          </w:tcPr>
          <w:p>
            <w:pPr>
              <w:spacing w:after="0" w:line="202" w:lineRule="exact"/>
              <w:rPr>
                <w:sz w:val="20"/>
                <w:szCs w:val="20"/>
                <w:color w:val="auto"/>
              </w:rPr>
            </w:pPr>
            <w:r>
              <w:rPr>
                <w:rFonts w:ascii="Arial" w:cs="Arial" w:eastAsia="Arial" w:hAnsi="Arial"/>
                <w:sz w:val="18"/>
                <w:szCs w:val="18"/>
                <w:color w:val="auto"/>
                <w:w w:val="99"/>
              </w:rPr>
              <w:t>Note 15. Earnings (Loss) Per Share</w:t>
            </w:r>
          </w:p>
        </w:tc>
        <w:tc>
          <w:tcPr>
            <w:tcW w:w="5520" w:type="dxa"/>
            <w:vAlign w:val="bottom"/>
            <w:gridSpan w:val="10"/>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83</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60" w:type="dxa"/>
            <w:vAlign w:val="bottom"/>
            <w:gridSpan w:val="16"/>
          </w:tcPr>
          <w:p>
            <w:pPr>
              <w:spacing w:after="0" w:line="202" w:lineRule="exact"/>
              <w:rPr>
                <w:sz w:val="20"/>
                <w:szCs w:val="20"/>
                <w:color w:val="auto"/>
              </w:rPr>
            </w:pPr>
            <w:r>
              <w:rPr>
                <w:rFonts w:ascii="Arial" w:cs="Arial" w:eastAsia="Arial" w:hAnsi="Arial"/>
                <w:sz w:val="18"/>
                <w:szCs w:val="18"/>
                <w:color w:val="auto"/>
              </w:rPr>
              <w:t>Note 16. Contingencies</w:t>
            </w:r>
          </w:p>
        </w:tc>
        <w:tc>
          <w:tcPr>
            <w:tcW w:w="5520" w:type="dxa"/>
            <w:vAlign w:val="bottom"/>
            <w:gridSpan w:val="10"/>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84</w:t>
            </w:r>
          </w:p>
        </w:tc>
        <w:tc>
          <w:tcPr>
            <w:tcW w:w="9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900" w:type="dxa"/>
            <w:vAlign w:val="bottom"/>
            <w:gridSpan w:val="17"/>
            <w:shd w:val="clear" w:color="auto" w:fill="DBDBDB"/>
          </w:tcPr>
          <w:p>
            <w:pPr>
              <w:spacing w:after="0" w:line="202" w:lineRule="exact"/>
              <w:rPr>
                <w:sz w:val="20"/>
                <w:szCs w:val="20"/>
                <w:color w:val="auto"/>
              </w:rPr>
            </w:pPr>
            <w:r>
              <w:rPr>
                <w:rFonts w:ascii="Arial" w:cs="Arial" w:eastAsia="Arial" w:hAnsi="Arial"/>
                <w:sz w:val="18"/>
                <w:szCs w:val="18"/>
                <w:color w:val="auto"/>
                <w:w w:val="99"/>
              </w:rPr>
              <w:t>Note 17. Related Party Transactions</w:t>
            </w:r>
          </w:p>
        </w:tc>
        <w:tc>
          <w:tcPr>
            <w:tcW w:w="5480" w:type="dxa"/>
            <w:vAlign w:val="bottom"/>
            <w:gridSpan w:val="9"/>
            <w:shd w:val="clear" w:color="auto" w:fill="DBDBDB"/>
          </w:tcPr>
          <w:p>
            <w:pPr>
              <w:spacing w:after="0"/>
              <w:rPr>
                <w:sz w:val="17"/>
                <w:szCs w:val="17"/>
                <w:color w:val="auto"/>
              </w:rPr>
            </w:pPr>
          </w:p>
        </w:tc>
        <w:tc>
          <w:tcPr>
            <w:tcW w:w="1060" w:type="dxa"/>
            <w:vAlign w:val="bottom"/>
            <w:gridSpan w:val="2"/>
            <w:shd w:val="clear" w:color="auto" w:fill="DBDBDB"/>
          </w:tcPr>
          <w:p>
            <w:pPr>
              <w:spacing w:after="0"/>
              <w:rPr>
                <w:sz w:val="17"/>
                <w:szCs w:val="17"/>
                <w:color w:val="auto"/>
              </w:rPr>
            </w:pPr>
          </w:p>
        </w:tc>
        <w:tc>
          <w:tcPr>
            <w:tcW w:w="320" w:type="dxa"/>
            <w:vAlign w:val="bottom"/>
            <w:gridSpan w:val="2"/>
            <w:shd w:val="clear" w:color="auto" w:fill="DBDBDB"/>
          </w:tcPr>
          <w:p>
            <w:pPr>
              <w:jc w:val="center"/>
              <w:ind w:right="120"/>
              <w:spacing w:after="0" w:line="202" w:lineRule="exact"/>
              <w:rPr>
                <w:sz w:val="20"/>
                <w:szCs w:val="20"/>
                <w:color w:val="auto"/>
              </w:rPr>
            </w:pPr>
            <w:r>
              <w:rPr>
                <w:rFonts w:ascii="Arial" w:cs="Arial" w:eastAsia="Arial" w:hAnsi="Arial"/>
                <w:sz w:val="18"/>
                <w:szCs w:val="18"/>
                <w:color w:val="auto"/>
                <w:w w:val="99"/>
              </w:rPr>
              <w:t>84</w:t>
            </w:r>
          </w:p>
        </w:tc>
        <w:tc>
          <w:tcPr>
            <w:tcW w:w="92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460" w:type="dxa"/>
            <w:vAlign w:val="bottom"/>
            <w:tcBorders>
              <w:top w:val="single" w:sz="8" w:color="DBDBDB"/>
            </w:tcBorders>
            <w:shd w:val="clear" w:color="auto" w:fill="DBDBDB"/>
          </w:tcPr>
          <w:p>
            <w:pPr>
              <w:spacing w:after="0"/>
              <w:rPr>
                <w:sz w:val="4"/>
                <w:szCs w:val="4"/>
                <w:color w:val="auto"/>
              </w:rPr>
            </w:pPr>
          </w:p>
        </w:tc>
        <w:tc>
          <w:tcPr>
            <w:tcW w:w="24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2700" w:type="dxa"/>
            <w:vAlign w:val="bottom"/>
            <w:tcBorders>
              <w:top w:val="single" w:sz="8" w:color="DBDBDB"/>
            </w:tcBorders>
            <w:shd w:val="clear" w:color="auto" w:fill="DBDBDB"/>
          </w:tcPr>
          <w:p>
            <w:pPr>
              <w:spacing w:after="0"/>
              <w:rPr>
                <w:sz w:val="4"/>
                <w:szCs w:val="4"/>
                <w:color w:val="auto"/>
              </w:rPr>
            </w:pPr>
          </w:p>
        </w:tc>
        <w:tc>
          <w:tcPr>
            <w:tcW w:w="96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2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00" w:type="dxa"/>
            <w:vAlign w:val="bottom"/>
            <w:gridSpan w:val="8"/>
          </w:tcPr>
          <w:p>
            <w:pPr>
              <w:spacing w:after="0" w:line="202" w:lineRule="exact"/>
              <w:rPr>
                <w:sz w:val="20"/>
                <w:szCs w:val="20"/>
                <w:color w:val="auto"/>
              </w:rPr>
            </w:pPr>
            <w:r>
              <w:rPr>
                <w:rFonts w:ascii="Arial" w:cs="Arial" w:eastAsia="Arial" w:hAnsi="Arial"/>
                <w:sz w:val="18"/>
                <w:szCs w:val="18"/>
                <w:color w:val="auto"/>
                <w:w w:val="99"/>
              </w:rPr>
              <w:t>Note 18. Subsequent Events</w:t>
            </w:r>
          </w:p>
        </w:tc>
        <w:tc>
          <w:tcPr>
            <w:tcW w:w="600" w:type="dxa"/>
            <w:vAlign w:val="bottom"/>
            <w:gridSpan w:val="9"/>
          </w:tcPr>
          <w:p>
            <w:pPr>
              <w:spacing w:after="0"/>
              <w:rPr>
                <w:sz w:val="17"/>
                <w:szCs w:val="17"/>
                <w:color w:val="auto"/>
              </w:rPr>
            </w:pPr>
          </w:p>
        </w:tc>
        <w:tc>
          <w:tcPr>
            <w:tcW w:w="5480" w:type="dxa"/>
            <w:vAlign w:val="bottom"/>
            <w:gridSpan w:val="9"/>
          </w:tcPr>
          <w:p>
            <w:pPr>
              <w:spacing w:after="0"/>
              <w:rPr>
                <w:sz w:val="17"/>
                <w:szCs w:val="17"/>
                <w:color w:val="auto"/>
              </w:rPr>
            </w:pPr>
          </w:p>
        </w:tc>
        <w:tc>
          <w:tcPr>
            <w:tcW w:w="1060" w:type="dxa"/>
            <w:vAlign w:val="bottom"/>
            <w:gridSpan w:val="2"/>
          </w:tcPr>
          <w:p>
            <w:pPr>
              <w:spacing w:after="0"/>
              <w:rPr>
                <w:sz w:val="17"/>
                <w:szCs w:val="17"/>
                <w:color w:val="auto"/>
              </w:rPr>
            </w:pPr>
          </w:p>
        </w:tc>
        <w:tc>
          <w:tcPr>
            <w:tcW w:w="3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85</w:t>
            </w: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414042"/>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414042"/>
        </w:rPr>
        <w:t>T</w:t>
      </w:r>
      <w:r>
        <w:rPr>
          <w:rFonts w:ascii="Arial" w:cs="Arial" w:eastAsia="Arial" w:hAnsi="Arial"/>
          <w:sz w:val="18"/>
          <w:szCs w:val="18"/>
          <w:color w:val="000000"/>
        </w:rPr>
        <w:t>o the shareholders and the Board of Directors of Portillo's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audited the accompanying consolidated balance sheets of Portillo's Inc. and subsidiaries (the "Company") as of December 25, 2022 and December 26, 2021, the related consolidated statements of operations, stockholders’ and members’ equity, and cash flows, for each of the three years in the period ended December 25, 2022, and the related notes and the schedule listed in the Index at Item 15 (collectively referred to as the "financial statements"). In our opinion, the financial statements present fairly, in all material respects, the financial position of the Company as of December 25, 2022 and December 26, 2021, and the results of its operations and its cash flows for each of the three years in the period ended December 25, 2022, in conformity with accounting principles generally accepted in the United States of America.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5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As discussed in Note 2 to the financial statements, the Company has changed its method of accounting for leases effective December 27, 2021, due to adoption of FASB ASC 842, Leases, using the modified retrospective method.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2"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color w:val="auto"/>
        </w:rPr>
        <w:t>PORTILLO'S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25, 2022</w:t>
            </w:r>
          </w:p>
        </w:tc>
        <w:tc>
          <w:tcPr>
            <w:tcW w:w="180" w:type="dxa"/>
            <w:vAlign w:val="bottom"/>
          </w:tcPr>
          <w:p>
            <w:pPr>
              <w:spacing w:after="0"/>
              <w:rPr>
                <w:sz w:val="19"/>
                <w:szCs w:val="19"/>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26, 2021</w:t>
            </w:r>
          </w:p>
        </w:tc>
      </w:tr>
      <w:tr>
        <w:trPr>
          <w:trHeight w:val="226"/>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r>
      <w:tr>
        <w:trPr>
          <w:trHeight w:val="24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Cash and cash equivalents and restricted cash</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44,427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39,263</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8,590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7,840</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7,387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6,078</w:t>
            </w:r>
          </w:p>
        </w:tc>
      </w:tr>
      <w:tr>
        <w:trPr>
          <w:trHeight w:val="244"/>
        </w:trPr>
        <w:tc>
          <w:tcPr>
            <w:tcW w:w="72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Prepaid expenses</w:t>
            </w: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4,922</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5,836</w:t>
            </w:r>
          </w:p>
        </w:tc>
      </w:tr>
      <w:tr>
        <w:trPr>
          <w:trHeight w:val="237"/>
        </w:trPr>
        <w:tc>
          <w:tcPr>
            <w:tcW w:w="7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65,326</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59,017</w:t>
            </w:r>
          </w:p>
        </w:tc>
      </w:tr>
      <w:tr>
        <w:trPr>
          <w:trHeight w:val="236"/>
        </w:trPr>
        <w:tc>
          <w:tcPr>
            <w:tcW w:w="7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227,036</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190,834</w:t>
            </w:r>
          </w:p>
        </w:tc>
      </w:tr>
      <w:tr>
        <w:trPr>
          <w:trHeight w:val="237"/>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lease assets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166,808</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394,298</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223,925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31,800</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35,832</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Equity method investment</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16,274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16,170</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tax assets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150,497</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74,455</w:t>
            </w:r>
          </w:p>
        </w:tc>
      </w:tr>
      <w:tr>
        <w:trPr>
          <w:trHeight w:val="237"/>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4,119</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w:t>
            </w:r>
          </w:p>
        </w:tc>
      </w:tr>
      <w:tr>
        <w:trPr>
          <w:trHeight w:val="237"/>
        </w:trPr>
        <w:tc>
          <w:tcPr>
            <w:tcW w:w="72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820,913</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749,722</w:t>
            </w:r>
          </w:p>
        </w:tc>
      </w:tr>
      <w:tr>
        <w:trPr>
          <w:trHeight w:val="239"/>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1,280,083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999,573</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87"/>
        </w:trPr>
        <w:tc>
          <w:tcPr>
            <w:tcW w:w="72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r>
      <w:tr>
        <w:trPr>
          <w:trHeight w:val="239"/>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7"/>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30,273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27,249</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4,155</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Current portion of Tax Receivable Agreement liability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Current deferred revenue</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7,292</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6,893</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Short-term operating lease liability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4,849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72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29,915</w:t>
            </w:r>
          </w:p>
        </w:tc>
        <w:tc>
          <w:tcPr>
            <w:tcW w:w="120" w:type="dxa"/>
            <w:vAlign w:val="bottom"/>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spacing w:after="0"/>
              <w:rPr>
                <w:sz w:val="21"/>
                <w:szCs w:val="21"/>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29,472</w:t>
            </w:r>
          </w:p>
        </w:tc>
      </w:tr>
      <w:tr>
        <w:trPr>
          <w:trHeight w:val="235"/>
        </w:trPr>
        <w:tc>
          <w:tcPr>
            <w:tcW w:w="724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77,297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66,938</w:t>
            </w:r>
          </w:p>
        </w:tc>
      </w:tr>
      <w:tr>
        <w:trPr>
          <w:trHeight w:val="251"/>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Long-term debt, net of current portion</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314,425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315,829</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Deferred rent</w:t>
            </w:r>
          </w:p>
        </w:tc>
        <w:tc>
          <w:tcPr>
            <w:tcW w:w="180" w:type="dxa"/>
            <w:vAlign w:val="bottom"/>
            <w:shd w:val="clear" w:color="auto" w:fill="DBDBDB"/>
          </w:tcPr>
          <w:p>
            <w:pPr>
              <w:spacing w:after="0"/>
              <w:rPr>
                <w:sz w:val="21"/>
                <w:szCs w:val="21"/>
                <w:color w:val="auto"/>
              </w:rPr>
            </w:pPr>
          </w:p>
        </w:tc>
        <w:tc>
          <w:tcPr>
            <w:tcW w:w="18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32,174</w:t>
            </w:r>
          </w:p>
        </w:tc>
      </w:tr>
      <w:tr>
        <w:trPr>
          <w:trHeight w:val="235"/>
        </w:trPr>
        <w:tc>
          <w:tcPr>
            <w:tcW w:w="7240" w:type="dxa"/>
            <w:vAlign w:val="bottom"/>
          </w:tcPr>
          <w:p>
            <w:pPr>
              <w:ind w:left="140"/>
              <w:spacing w:after="0"/>
              <w:rPr>
                <w:sz w:val="20"/>
                <w:szCs w:val="20"/>
                <w:color w:val="auto"/>
              </w:rPr>
            </w:pPr>
            <w:r>
              <w:rPr>
                <w:rFonts w:ascii="Arial" w:cs="Arial" w:eastAsia="Arial" w:hAnsi="Arial"/>
                <w:sz w:val="16"/>
                <w:szCs w:val="16"/>
                <w:color w:val="auto"/>
              </w:rPr>
              <w:t>Tax Receivable Agreement liability</w:t>
            </w: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252,003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156,638</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Long-term operating lease liability</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200,166</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3,291</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4,588</w:t>
            </w:r>
          </w:p>
        </w:tc>
      </w:tr>
      <w:tr>
        <w:trPr>
          <w:trHeight w:val="237"/>
        </w:trPr>
        <w:tc>
          <w:tcPr>
            <w:tcW w:w="72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769,885</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509,229</w:t>
            </w:r>
          </w:p>
        </w:tc>
      </w:tr>
      <w:tr>
        <w:trPr>
          <w:trHeight w:val="237"/>
        </w:trPr>
        <w:tc>
          <w:tcPr>
            <w:tcW w:w="7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847,182</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576,167</w:t>
            </w:r>
          </w:p>
        </w:tc>
      </w:tr>
      <w:tr>
        <w:trPr>
          <w:trHeight w:val="203"/>
        </w:trPr>
        <w:tc>
          <w:tcPr>
            <w:tcW w:w="72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760" w:type="dxa"/>
            <w:vAlign w:val="bottom"/>
            <w:shd w:val="clear" w:color="auto" w:fill="DBDBDB"/>
          </w:tcPr>
          <w:p>
            <w:pPr>
              <w:spacing w:after="0"/>
              <w:rPr>
                <w:sz w:val="17"/>
                <w:szCs w:val="17"/>
                <w:color w:val="auto"/>
              </w:rPr>
            </w:pPr>
          </w:p>
        </w:tc>
      </w:tr>
      <w:tr>
        <w:trPr>
          <w:trHeight w:val="235"/>
        </w:trPr>
        <w:tc>
          <w:tcPr>
            <w:tcW w:w="7240" w:type="dxa"/>
            <w:vAlign w:val="bottom"/>
          </w:tcPr>
          <w:p>
            <w:pPr>
              <w:ind w:left="20"/>
              <w:spacing w:after="0"/>
              <w:rPr>
                <w:sz w:val="20"/>
                <w:szCs w:val="20"/>
                <w:color w:val="auto"/>
              </w:rPr>
            </w:pPr>
            <w:r>
              <w:rPr>
                <w:rFonts w:ascii="Arial" w:cs="Arial" w:eastAsia="Arial" w:hAnsi="Arial"/>
                <w:sz w:val="16"/>
                <w:szCs w:val="16"/>
                <w:color w:val="auto"/>
              </w:rPr>
              <w:t>COMMITMENTS AND CONTINGENCIES (NOTE 16)</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1"/>
        </w:trPr>
        <w:tc>
          <w:tcPr>
            <w:tcW w:w="7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spacing w:after="0"/>
              <w:rPr>
                <w:sz w:val="21"/>
                <w:szCs w:val="21"/>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Preferred stock, $0.01 par value per share, 10,000,000 shares authorized, — issued and</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2"/>
        </w:trPr>
        <w:tc>
          <w:tcPr>
            <w:tcW w:w="7240" w:type="dxa"/>
            <w:vAlign w:val="bottom"/>
          </w:tcPr>
          <w:p>
            <w:pPr>
              <w:ind w:left="140"/>
              <w:spacing w:after="0"/>
              <w:rPr>
                <w:sz w:val="20"/>
                <w:szCs w:val="20"/>
                <w:color w:val="auto"/>
              </w:rPr>
            </w:pPr>
            <w:r>
              <w:rPr>
                <w:rFonts w:ascii="Arial" w:cs="Arial" w:eastAsia="Arial" w:hAnsi="Arial"/>
                <w:sz w:val="16"/>
                <w:szCs w:val="16"/>
                <w:color w:val="auto"/>
              </w:rPr>
              <w:t>outstanding</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Class A common stock, $0.01 par value per share, 380,000,000 shares authorized, and</w:t>
            </w:r>
          </w:p>
        </w:tc>
        <w:tc>
          <w:tcPr>
            <w:tcW w:w="18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760" w:type="dxa"/>
            <w:vAlign w:val="bottom"/>
            <w:shd w:val="clear" w:color="auto" w:fill="DBDBDB"/>
          </w:tcPr>
          <w:p>
            <w:pPr>
              <w:spacing w:after="0"/>
              <w:rPr>
                <w:sz w:val="19"/>
                <w:szCs w:val="19"/>
                <w:color w:val="auto"/>
              </w:rPr>
            </w:pPr>
          </w:p>
        </w:tc>
      </w:tr>
      <w:tr>
        <w:trPr>
          <w:trHeight w:val="189"/>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48,420,723 and 35,807,171 shares issued and outstanding as of December 25, 2022 and</w:t>
            </w:r>
          </w:p>
        </w:tc>
        <w:tc>
          <w:tcPr>
            <w:tcW w:w="1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760" w:type="dxa"/>
            <w:vAlign w:val="bottom"/>
            <w:shd w:val="clear" w:color="auto" w:fill="DBDBDB"/>
          </w:tcPr>
          <w:p>
            <w:pPr>
              <w:spacing w:after="0"/>
              <w:rPr>
                <w:sz w:val="16"/>
                <w:szCs w:val="16"/>
                <w:color w:val="auto"/>
              </w:rPr>
            </w:pPr>
          </w:p>
        </w:tc>
      </w:tr>
      <w:tr>
        <w:trPr>
          <w:trHeight w:val="230"/>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December 26, 2021, respectively</w:t>
            </w:r>
          </w:p>
        </w:tc>
        <w:tc>
          <w:tcPr>
            <w:tcW w:w="180" w:type="dxa"/>
            <w:vAlign w:val="bottom"/>
            <w:shd w:val="clear" w:color="auto" w:fill="DBDBDB"/>
          </w:tcPr>
          <w:p>
            <w:pPr>
              <w:spacing w:after="0"/>
              <w:rPr>
                <w:sz w:val="20"/>
                <w:szCs w:val="20"/>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358</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Class B common stock, $0.00001 par value per share, 50,000,000 shares authorized, and</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189"/>
        </w:trPr>
        <w:tc>
          <w:tcPr>
            <w:tcW w:w="7240" w:type="dxa"/>
            <w:vAlign w:val="bottom"/>
          </w:tcPr>
          <w:p>
            <w:pPr>
              <w:ind w:left="140"/>
              <w:spacing w:after="0"/>
              <w:rPr>
                <w:sz w:val="20"/>
                <w:szCs w:val="20"/>
                <w:color w:val="auto"/>
              </w:rPr>
            </w:pPr>
            <w:r>
              <w:rPr>
                <w:rFonts w:ascii="Arial" w:cs="Arial" w:eastAsia="Arial" w:hAnsi="Arial"/>
                <w:sz w:val="16"/>
                <w:szCs w:val="16"/>
                <w:color w:val="auto"/>
              </w:rPr>
              <w:t>23,837,162 and 35,673,321 shares issued and outstanding as of December 25, 2022 and</w:t>
            </w: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22"/>
        </w:trPr>
        <w:tc>
          <w:tcPr>
            <w:tcW w:w="7240" w:type="dxa"/>
            <w:vAlign w:val="bottom"/>
          </w:tcPr>
          <w:p>
            <w:pPr>
              <w:ind w:left="140"/>
              <w:spacing w:after="0"/>
              <w:rPr>
                <w:sz w:val="20"/>
                <w:szCs w:val="20"/>
                <w:color w:val="auto"/>
              </w:rPr>
            </w:pPr>
            <w:r>
              <w:rPr>
                <w:rFonts w:ascii="Arial" w:cs="Arial" w:eastAsia="Arial" w:hAnsi="Arial"/>
                <w:sz w:val="16"/>
                <w:szCs w:val="16"/>
                <w:color w:val="auto"/>
              </w:rPr>
              <w:t>December 26, 2021, respectively</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Additional paid-in-capital</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260,664</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186,856</w:t>
            </w:r>
          </w:p>
        </w:tc>
      </w:tr>
      <w:tr>
        <w:trPr>
          <w:trHeight w:val="236"/>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(4,812)</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(15,950)</w:t>
            </w:r>
          </w:p>
        </w:tc>
      </w:tr>
      <w:tr>
        <w:trPr>
          <w:trHeight w:val="243"/>
        </w:trPr>
        <w:tc>
          <w:tcPr>
            <w:tcW w:w="72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Total stockholders' equity attributable to Portillo's Inc.</w:t>
            </w: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256,336</w:t>
            </w:r>
          </w:p>
        </w:tc>
        <w:tc>
          <w:tcPr>
            <w:tcW w:w="12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171,264</w:t>
            </w:r>
          </w:p>
        </w:tc>
      </w:tr>
      <w:tr>
        <w:trPr>
          <w:trHeight w:val="236"/>
        </w:trPr>
        <w:tc>
          <w:tcPr>
            <w:tcW w:w="7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176,565</w:t>
            </w:r>
          </w:p>
        </w:tc>
        <w:tc>
          <w:tcPr>
            <w:tcW w:w="1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252,142</w:t>
            </w:r>
          </w:p>
        </w:tc>
      </w:tr>
      <w:tr>
        <w:trPr>
          <w:trHeight w:val="237"/>
        </w:trPr>
        <w:tc>
          <w:tcPr>
            <w:tcW w:w="7240" w:type="dxa"/>
            <w:vAlign w:val="bottom"/>
            <w:tcBorders>
              <w:bottom w:val="single" w:sz="8" w:color="auto"/>
            </w:tcBorders>
            <w:shd w:val="clear" w:color="auto" w:fill="DBDBDB"/>
          </w:tcPr>
          <w:p>
            <w:pPr>
              <w:ind w:left="48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432,901</w:t>
            </w:r>
          </w:p>
        </w:tc>
        <w:tc>
          <w:tcPr>
            <w:tcW w:w="120" w:type="dxa"/>
            <w:vAlign w:val="bottom"/>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spacing w:after="0"/>
              <w:rPr>
                <w:sz w:val="20"/>
                <w:szCs w:val="20"/>
                <w:color w:val="auto"/>
              </w:rPr>
            </w:pPr>
          </w:p>
        </w:tc>
        <w:tc>
          <w:tcPr>
            <w:tcW w:w="1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423,406</w:t>
            </w:r>
          </w:p>
        </w:tc>
      </w:tr>
      <w:tr>
        <w:trPr>
          <w:trHeight w:val="239"/>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1,280,083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999,573</w:t>
            </w:r>
          </w:p>
        </w:tc>
      </w:tr>
      <w:tr>
        <w:trPr>
          <w:trHeight w:val="24"/>
        </w:trPr>
        <w:tc>
          <w:tcPr>
            <w:tcW w:w="7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25" w:right="339" w:bottom="924" w:gutter="0" w:footer="0" w:header="0"/>
        </w:sectPr>
      </w:pPr>
    </w:p>
    <w:p>
      <w:pPr>
        <w:spacing w:after="0" w:line="200" w:lineRule="exact"/>
        <w:rPr>
          <w:sz w:val="20"/>
          <w:szCs w:val="20"/>
          <w:color w:val="auto"/>
        </w:rPr>
      </w:pPr>
    </w:p>
    <w:p>
      <w:pPr>
        <w:spacing w:after="0" w:line="27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924"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PORTILLO'S INC</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60" w:type="dxa"/>
            <w:vAlign w:val="bottom"/>
            <w:gridSpan w:val="5"/>
          </w:tcPr>
          <w:p>
            <w:pPr>
              <w:spacing w:after="0"/>
              <w:rPr>
                <w:sz w:val="20"/>
                <w:szCs w:val="20"/>
                <w:color w:val="auto"/>
              </w:rPr>
            </w:pPr>
            <w:r>
              <w:rPr>
                <w:rFonts w:ascii="Arial" w:cs="Arial" w:eastAsia="Arial" w:hAnsi="Arial"/>
                <w:sz w:val="16"/>
                <w:szCs w:val="16"/>
                <w:b w:val="1"/>
                <w:bCs w:val="1"/>
                <w:color w:val="auto"/>
              </w:rPr>
              <w:t>Fiscal Years Ended</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9"/>
        </w:trPr>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26,</w:t>
            </w:r>
          </w:p>
        </w:tc>
        <w:tc>
          <w:tcPr>
            <w:tcW w:w="12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27,</w:t>
            </w:r>
          </w:p>
        </w:tc>
      </w:tr>
      <w:tr>
        <w:trPr>
          <w:trHeight w:val="223"/>
        </w:trPr>
        <w:tc>
          <w:tcPr>
            <w:tcW w:w="6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r>
      <w:tr>
        <w:trPr>
          <w:trHeight w:val="21"/>
        </w:trPr>
        <w:tc>
          <w:tcPr>
            <w:tcW w:w="6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6"/>
        </w:trPr>
        <w:tc>
          <w:tcPr>
            <w:tcW w:w="66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r>
      <w:tr>
        <w:trPr>
          <w:trHeight w:val="239"/>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587,104</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534,952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455,471</w:t>
            </w:r>
          </w:p>
        </w:tc>
      </w:tr>
      <w:tr>
        <w:trPr>
          <w:trHeight w:val="220"/>
        </w:trPr>
        <w:tc>
          <w:tcPr>
            <w:tcW w:w="6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r>
      <w:tr>
        <w:trPr>
          <w:trHeight w:val="239"/>
        </w:trPr>
        <w:tc>
          <w:tcPr>
            <w:tcW w:w="6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 AND EXPENSES: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7"/>
        </w:trPr>
        <w:tc>
          <w:tcPr>
            <w:tcW w:w="67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Restaurant operating expenses: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Cost of goods sold, excluding depreciation and amortization</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204,237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166,764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142,446</w:t>
            </w:r>
          </w:p>
        </w:tc>
      </w:tr>
      <w:tr>
        <w:trPr>
          <w:trHeight w:val="251"/>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Labor</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154,392</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138,788</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115,991</w:t>
            </w: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Occupancy</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28,060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24,920</w:t>
            </w:r>
          </w:p>
        </w:tc>
      </w:tr>
      <w:tr>
        <w:trPr>
          <w:trHeight w:val="244"/>
        </w:trPr>
        <w:tc>
          <w:tcPr>
            <w:tcW w:w="660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Other operating expenses</w:t>
            </w:r>
          </w:p>
        </w:tc>
        <w:tc>
          <w:tcPr>
            <w:tcW w:w="12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65,312</w:t>
            </w:r>
          </w:p>
        </w:tc>
        <w:tc>
          <w:tcPr>
            <w:tcW w:w="20" w:type="dxa"/>
            <w:vAlign w:val="bottom"/>
            <w:tcBorders>
              <w:bottom w:val="single" w:sz="8" w:color="auto"/>
            </w:tcBorders>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tcBorders>
              <w:bottom w:val="single" w:sz="8" w:color="auto"/>
            </w:tcBorders>
            <w:shd w:val="clear" w:color="auto" w:fill="DBDBDB"/>
          </w:tcPr>
          <w:p>
            <w:pPr>
              <w:spacing w:after="0"/>
              <w:rPr>
                <w:sz w:val="21"/>
                <w:szCs w:val="21"/>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59,258</w:t>
            </w:r>
          </w:p>
        </w:tc>
        <w:tc>
          <w:tcPr>
            <w:tcW w:w="80" w:type="dxa"/>
            <w:vAlign w:val="bottom"/>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50,169</w:t>
            </w:r>
          </w:p>
        </w:tc>
      </w:tr>
      <w:tr>
        <w:trPr>
          <w:trHeight w:val="239"/>
        </w:trPr>
        <w:tc>
          <w:tcPr>
            <w:tcW w:w="6720" w:type="dxa"/>
            <w:vAlign w:val="bottom"/>
            <w:gridSpan w:val="2"/>
          </w:tcPr>
          <w:p>
            <w:pPr>
              <w:ind w:left="480"/>
              <w:spacing w:after="0"/>
              <w:rPr>
                <w:sz w:val="20"/>
                <w:szCs w:val="20"/>
                <w:color w:val="auto"/>
              </w:rPr>
            </w:pPr>
            <w:r>
              <w:rPr>
                <w:rFonts w:ascii="Arial" w:cs="Arial" w:eastAsia="Arial" w:hAnsi="Arial"/>
                <w:sz w:val="16"/>
                <w:szCs w:val="16"/>
                <w:b w:val="1"/>
                <w:bCs w:val="1"/>
                <w:color w:val="auto"/>
              </w:rPr>
              <w:t>Total restaurant operating expenses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454,598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392,870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333,526</w:t>
            </w:r>
          </w:p>
        </w:tc>
      </w:tr>
      <w:tr>
        <w:trPr>
          <w:trHeight w:val="220"/>
        </w:trPr>
        <w:tc>
          <w:tcPr>
            <w:tcW w:w="6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General and administrative expenses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66,892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87,089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39,854</w:t>
            </w:r>
          </w:p>
        </w:tc>
      </w:tr>
      <w:tr>
        <w:trPr>
          <w:trHeight w:val="251"/>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Pre-opening expenses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4,715</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3,565</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2,209</w:t>
            </w: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20,907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23,312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24,584</w:t>
            </w:r>
          </w:p>
        </w:tc>
      </w:tr>
      <w:tr>
        <w:trPr>
          <w:trHeight w:val="251"/>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Net income attributable to equity method investment</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(1,083)</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(797)</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(459)</w:t>
            </w:r>
          </w:p>
        </w:tc>
      </w:tr>
      <w:tr>
        <w:trPr>
          <w:trHeight w:val="237"/>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net</w:t>
            </w:r>
          </w:p>
        </w:tc>
        <w:tc>
          <w:tcPr>
            <w:tcW w:w="12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r>
      <w:tr>
        <w:trPr>
          <w:trHeight w:val="243"/>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41,279</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30,012</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57,294</w:t>
            </w:r>
          </w:p>
        </w:tc>
      </w:tr>
      <w:tr>
        <w:trPr>
          <w:trHeight w:val="235"/>
        </w:trPr>
        <w:tc>
          <w:tcPr>
            <w:tcW w:w="6720" w:type="dxa"/>
            <w:vAlign w:val="bottom"/>
            <w:gridSpan w:val="2"/>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27,644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45,031</w:t>
            </w:r>
          </w:p>
        </w:tc>
      </w:tr>
      <w:tr>
        <w:trPr>
          <w:trHeight w:val="251"/>
        </w:trPr>
        <w:tc>
          <w:tcPr>
            <w:tcW w:w="6720" w:type="dxa"/>
            <w:vAlign w:val="bottom"/>
            <w:gridSpan w:val="2"/>
            <w:shd w:val="clear" w:color="auto" w:fill="DBDBDB"/>
          </w:tcPr>
          <w:p>
            <w:pPr>
              <w:ind w:left="220"/>
              <w:spacing w:after="0"/>
              <w:rPr>
                <w:sz w:val="20"/>
                <w:szCs w:val="20"/>
                <w:color w:val="auto"/>
              </w:rPr>
            </w:pPr>
            <w:r>
              <w:rPr>
                <w:rFonts w:ascii="Arial" w:cs="Arial" w:eastAsia="Arial" w:hAnsi="Arial"/>
                <w:sz w:val="16"/>
                <w:szCs w:val="16"/>
                <w:color w:val="auto"/>
              </w:rPr>
              <w:t>Tax Receivable Agreement liability adjustment</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(5,345)</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debt extinguishment</w:t>
            </w:r>
          </w:p>
        </w:tc>
        <w:tc>
          <w:tcPr>
            <w:tcW w:w="12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7,265</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18,980</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(16,947)</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12,263</w:t>
            </w:r>
          </w:p>
        </w:tc>
      </w:tr>
      <w:tr>
        <w:trPr>
          <w:trHeight w:val="237"/>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Income tax expense (benefit)</w:t>
            </w:r>
          </w:p>
        </w:tc>
        <w:tc>
          <w:tcPr>
            <w:tcW w:w="12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(3,531)</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17,157</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(13,416)</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12,263</w:t>
            </w:r>
          </w:p>
        </w:tc>
      </w:tr>
      <w:tr>
        <w:trPr>
          <w:trHeight w:val="23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Redeemable preferred units accretion</w:t>
            </w:r>
          </w:p>
        </w:tc>
        <w:tc>
          <w:tcPr>
            <w:tcW w:w="12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(21,176)</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(20,524)</w:t>
            </w:r>
          </w:p>
        </w:tc>
      </w:tr>
      <w:tr>
        <w:trPr>
          <w:trHeight w:val="243"/>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(LOSS) ATTRIBUTABLE TO COMMON HOLDERS</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17,157</w:t>
            </w: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(34,592)</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(8,261)</w:t>
            </w:r>
          </w:p>
        </w:tc>
      </w:tr>
      <w:tr>
        <w:trPr>
          <w:trHeight w:val="23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2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(19,408)</w:t>
            </w:r>
          </w:p>
        </w:tc>
        <w:tc>
          <w:tcPr>
            <w:tcW w:w="8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59"/>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NET INCOME (LOSS) ATTRIBUTABLE TO PORTILLO'S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10,851</w:t>
            </w:r>
          </w:p>
        </w:tc>
        <w:tc>
          <w:tcPr>
            <w:tcW w:w="260" w:type="dxa"/>
            <w:vAlign w:val="bottom"/>
            <w:gridSpan w:val="3"/>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(15,184)</w:t>
            </w:r>
          </w:p>
        </w:tc>
        <w:tc>
          <w:tcPr>
            <w:tcW w:w="80" w:type="dxa"/>
            <w:vAlign w:val="bottom"/>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(8,261)</w:t>
            </w:r>
          </w:p>
        </w:tc>
      </w:tr>
      <w:tr>
        <w:trPr>
          <w:trHeight w:val="20"/>
        </w:trPr>
        <w:tc>
          <w:tcPr>
            <w:tcW w:w="6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Income (loss) per common share attributable to Portillo's Inc.:</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0.28</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(0.42)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0"/>
        </w:trPr>
        <w:tc>
          <w:tcPr>
            <w:tcW w:w="6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0.25</w:t>
            </w:r>
          </w:p>
        </w:tc>
        <w:tc>
          <w:tcPr>
            <w:tcW w:w="260" w:type="dxa"/>
            <w:vAlign w:val="bottom"/>
            <w:gridSpan w:val="3"/>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(0.42)</w:t>
            </w:r>
          </w:p>
        </w:tc>
        <w:tc>
          <w:tcPr>
            <w:tcW w:w="80" w:type="dxa"/>
            <w:vAlign w:val="bottom"/>
            <w:shd w:val="clear" w:color="auto" w:fill="DBDBDB"/>
          </w:tcPr>
          <w:p>
            <w:pPr>
              <w:spacing w:after="0"/>
              <w:rPr>
                <w:sz w:val="22"/>
                <w:szCs w:val="22"/>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(0.16)</w:t>
            </w:r>
          </w:p>
        </w:tc>
      </w:tr>
      <w:tr>
        <w:trPr>
          <w:trHeight w:val="20"/>
        </w:trPr>
        <w:tc>
          <w:tcPr>
            <w:tcW w:w="6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67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240" w:type="dxa"/>
            <w:vAlign w:val="bottom"/>
            <w:shd w:val="clear" w:color="auto" w:fill="DBDBDB"/>
          </w:tcPr>
          <w:p>
            <w:pPr>
              <w:spacing w:after="0"/>
              <w:rPr>
                <w:sz w:val="21"/>
                <w:szCs w:val="21"/>
                <w:color w:val="auto"/>
              </w:rPr>
            </w:pPr>
          </w:p>
        </w:tc>
      </w:tr>
      <w:tr>
        <w:trPr>
          <w:trHeight w:val="243"/>
        </w:trPr>
        <w:tc>
          <w:tcPr>
            <w:tcW w:w="6720" w:type="dxa"/>
            <w:vAlign w:val="bottom"/>
            <w:gridSpan w:val="2"/>
          </w:tcPr>
          <w:p>
            <w:pPr>
              <w:ind w:left="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38,902,259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51,189,017</w:t>
            </w:r>
          </w:p>
        </w:tc>
      </w:tr>
      <w:tr>
        <w:trPr>
          <w:trHeight w:val="20"/>
        </w:trPr>
        <w:tc>
          <w:tcPr>
            <w:tcW w:w="6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2"/>
        </w:trPr>
        <w:tc>
          <w:tcPr>
            <w:tcW w:w="6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shd w:val="clear" w:color="auto" w:fill="DBDBDB"/>
          </w:tcPr>
          <w:p>
            <w:pPr>
              <w:spacing w:after="0"/>
              <w:rPr>
                <w:sz w:val="22"/>
                <w:szCs w:val="22"/>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42,715,977</w:t>
            </w:r>
          </w:p>
        </w:tc>
        <w:tc>
          <w:tcPr>
            <w:tcW w:w="20" w:type="dxa"/>
            <w:vAlign w:val="bottom"/>
            <w:tcBorders>
              <w:bottom w:val="single" w:sz="8" w:color="auto"/>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spacing w:after="0"/>
              <w:rPr>
                <w:sz w:val="22"/>
                <w:szCs w:val="22"/>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51,189,017</w:t>
            </w:r>
          </w:p>
        </w:tc>
      </w:tr>
      <w:tr>
        <w:trPr>
          <w:trHeight w:val="20"/>
        </w:trPr>
        <w:tc>
          <w:tcPr>
            <w:tcW w:w="6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PORTILLO'S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AND MEMBERS' EQUITY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unit/share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340" w:type="dxa"/>
            <w:vAlign w:val="bottom"/>
            <w:gridSpan w:val="22"/>
          </w:tcPr>
          <w:p>
            <w:pPr>
              <w:jc w:val="right"/>
              <w:ind w:right="619"/>
              <w:spacing w:after="0"/>
              <w:rPr>
                <w:sz w:val="20"/>
                <w:szCs w:val="20"/>
                <w:color w:val="auto"/>
              </w:rPr>
            </w:pPr>
            <w:r>
              <w:rPr>
                <w:rFonts w:ascii="Arial" w:cs="Arial" w:eastAsia="Arial" w:hAnsi="Arial"/>
                <w:sz w:val="16"/>
                <w:szCs w:val="16"/>
                <w:b w:val="1"/>
                <w:bCs w:val="1"/>
                <w:color w:val="auto"/>
              </w:rPr>
              <w:t>FOR THE FISCAL YEARS ENDED DECEMBER 26, 2021 and DECEMBER 27, 2020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4"/>
            <w:vMerge w:val="restart"/>
          </w:tcPr>
          <w:p>
            <w:pPr>
              <w:jc w:val="right"/>
              <w:ind w:right="220"/>
              <w:spacing w:after="0"/>
              <w:rPr>
                <w:sz w:val="20"/>
                <w:szCs w:val="20"/>
                <w:color w:val="auto"/>
              </w:rPr>
            </w:pPr>
            <w:r>
              <w:rPr>
                <w:rFonts w:ascii="Arial" w:cs="Arial" w:eastAsia="Arial" w:hAnsi="Arial"/>
                <w:sz w:val="16"/>
                <w:szCs w:val="16"/>
                <w:b w:val="1"/>
                <w:bCs w:val="1"/>
                <w:color w:val="auto"/>
                <w:w w:val="98"/>
              </w:rPr>
              <w:t>Preferred Units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8"/>
              </w:rPr>
              <w:t>Class A</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4"/>
          </w:tcPr>
          <w:p>
            <w:pPr>
              <w:jc w:val="center"/>
              <w:spacing w:after="0"/>
              <w:rPr>
                <w:sz w:val="20"/>
                <w:szCs w:val="20"/>
                <w:color w:val="auto"/>
              </w:rPr>
            </w:pPr>
            <w:r>
              <w:rPr>
                <w:rFonts w:ascii="Arial" w:cs="Arial" w:eastAsia="Arial" w:hAnsi="Arial"/>
                <w:sz w:val="16"/>
                <w:szCs w:val="16"/>
                <w:b w:val="1"/>
                <w:bCs w:val="1"/>
                <w:color w:val="auto"/>
              </w:rPr>
              <w:t>Class B</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5"/>
          </w:tcPr>
          <w:p>
            <w:pPr>
              <w:jc w:val="center"/>
              <w:ind w:right="199"/>
              <w:spacing w:after="0" w:line="155" w:lineRule="exact"/>
              <w:rPr>
                <w:sz w:val="20"/>
                <w:szCs w:val="20"/>
                <w:color w:val="auto"/>
              </w:rPr>
            </w:pPr>
            <w:r>
              <w:rPr>
                <w:rFonts w:ascii="Arial" w:cs="Arial" w:eastAsia="Arial" w:hAnsi="Arial"/>
                <w:sz w:val="16"/>
                <w:szCs w:val="16"/>
                <w:b w:val="1"/>
                <w:bCs w:val="1"/>
                <w:color w:val="auto"/>
              </w:rPr>
              <w:t>Common Stock</w:t>
            </w:r>
          </w:p>
        </w:tc>
        <w:tc>
          <w:tcPr>
            <w:tcW w:w="1460" w:type="dxa"/>
            <w:vAlign w:val="bottom"/>
            <w:gridSpan w:val="5"/>
          </w:tcPr>
          <w:p>
            <w:pPr>
              <w:jc w:val="center"/>
              <w:ind w:left="199"/>
              <w:spacing w:after="0" w:line="155" w:lineRule="exact"/>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Additional</w:t>
            </w: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w:t>
            </w: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Members'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ind w:left="40"/>
              <w:spacing w:after="0"/>
              <w:rPr>
                <w:sz w:val="20"/>
                <w:szCs w:val="20"/>
                <w:color w:val="auto"/>
              </w:rPr>
            </w:pPr>
            <w:r>
              <w:rPr>
                <w:rFonts w:ascii="Arial" w:cs="Arial" w:eastAsia="Arial" w:hAnsi="Arial"/>
                <w:sz w:val="16"/>
                <w:szCs w:val="16"/>
                <w:b w:val="1"/>
                <w:bCs w:val="1"/>
                <w:color w:val="auto"/>
              </w:rPr>
              <w:t>Paid-In</w:t>
            </w:r>
          </w:p>
        </w:tc>
        <w:tc>
          <w:tcPr>
            <w:tcW w:w="1140" w:type="dxa"/>
            <w:vAlign w:val="bottom"/>
            <w:gridSpan w:val="3"/>
          </w:tcPr>
          <w:p>
            <w:pPr>
              <w:ind w:left="60"/>
              <w:spacing w:after="0"/>
              <w:rPr>
                <w:sz w:val="20"/>
                <w:szCs w:val="20"/>
                <w:color w:val="auto"/>
              </w:rPr>
            </w:pPr>
            <w:r>
              <w:rPr>
                <w:rFonts w:ascii="Arial" w:cs="Arial" w:eastAsia="Arial" w:hAnsi="Arial"/>
                <w:sz w:val="16"/>
                <w:szCs w:val="16"/>
                <w:b w:val="1"/>
                <w:bCs w:val="1"/>
                <w:color w:val="auto"/>
              </w:rPr>
              <w:t>Accumulated</w:t>
            </w: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controlling</w:t>
            </w:r>
          </w:p>
        </w:tc>
        <w:tc>
          <w:tcPr>
            <w:tcW w:w="84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0"/>
        </w:trPr>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Units</w:t>
            </w: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Amount</w:t>
            </w:r>
          </w:p>
        </w:tc>
        <w:tc>
          <w:tcPr>
            <w:tcW w:w="80" w:type="dxa"/>
            <w:vAlign w:val="bottom"/>
            <w:tcBorders>
              <w:bottom w:val="single" w:sz="8" w:color="auto"/>
            </w:tcBorders>
            <w:shd w:val="clear" w:color="auto" w:fill="000000"/>
          </w:tcPr>
          <w:p>
            <w:pPr>
              <w:spacing w:after="0"/>
              <w:rPr>
                <w:sz w:val="20"/>
                <w:szCs w:val="20"/>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Equity</w:t>
            </w:r>
          </w:p>
        </w:tc>
        <w:tc>
          <w:tcPr>
            <w:tcW w:w="9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7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9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7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Capital</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interest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9"/>
        </w:trPr>
        <w:tc>
          <w:tcPr>
            <w:tcW w:w="13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w:t>
            </w:r>
          </w:p>
        </w:tc>
        <w:tc>
          <w:tcPr>
            <w:tcW w:w="2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29,</w:t>
            </w:r>
          </w:p>
        </w:tc>
        <w:tc>
          <w:tcPr>
            <w:tcW w:w="2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2019</w:t>
            </w:r>
          </w:p>
        </w:tc>
        <w:tc>
          <w:tcPr>
            <w:tcW w:w="80" w:type="dxa"/>
            <w:vAlign w:val="bottom"/>
            <w:shd w:val="clear" w:color="auto" w:fill="DBDBDB"/>
          </w:tcPr>
          <w:p>
            <w:pPr>
              <w:spacing w:after="0"/>
              <w:rPr>
                <w:sz w:val="20"/>
                <w:szCs w:val="20"/>
                <w:color w:val="auto"/>
              </w:rPr>
            </w:pPr>
          </w:p>
        </w:tc>
        <w:tc>
          <w:tcPr>
            <w:tcW w:w="780" w:type="dxa"/>
            <w:vAlign w:val="bottom"/>
            <w:gridSpan w:val="2"/>
            <w:shd w:val="clear" w:color="auto" w:fill="DBDBDB"/>
          </w:tcPr>
          <w:p>
            <w:pPr>
              <w:jc w:val="right"/>
              <w:ind w:right="39"/>
              <w:spacing w:after="0"/>
              <w:rPr>
                <w:sz w:val="20"/>
                <w:szCs w:val="20"/>
                <w:color w:val="auto"/>
              </w:rPr>
            </w:pPr>
            <w:r>
              <w:rPr>
                <w:rFonts w:ascii="Arial" w:cs="Arial" w:eastAsia="Arial" w:hAnsi="Arial"/>
                <w:sz w:val="16"/>
                <w:szCs w:val="16"/>
                <w:color w:val="auto"/>
              </w:rPr>
              <w:t>100,000</w:t>
            </w:r>
          </w:p>
        </w:tc>
        <w:tc>
          <w:tcPr>
            <w:tcW w:w="82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$ 180,047</w:t>
            </w:r>
          </w:p>
        </w:tc>
        <w:tc>
          <w:tcPr>
            <w:tcW w:w="80" w:type="dxa"/>
            <w:vAlign w:val="bottom"/>
            <w:shd w:val="clear" w:color="auto" w:fill="000000"/>
          </w:tcPr>
          <w:p>
            <w:pPr>
              <w:spacing w:after="0"/>
              <w:rPr>
                <w:sz w:val="20"/>
                <w:szCs w:val="20"/>
                <w:color w:val="auto"/>
              </w:rPr>
            </w:pPr>
          </w:p>
        </w:tc>
        <w:tc>
          <w:tcPr>
            <w:tcW w:w="8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$ 147,734</w:t>
            </w: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ind w:lef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0"/>
                <w:szCs w:val="20"/>
                <w:color w:val="auto"/>
              </w:rPr>
            </w:pPr>
          </w:p>
        </w:tc>
        <w:tc>
          <w:tcPr>
            <w:tcW w:w="700" w:type="dxa"/>
            <w:vAlign w:val="bottom"/>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$ 147,734</w:t>
            </w:r>
          </w:p>
        </w:tc>
        <w:tc>
          <w:tcPr>
            <w:tcW w:w="0" w:type="dxa"/>
            <w:vAlign w:val="bottom"/>
          </w:tcPr>
          <w:p>
            <w:pPr>
              <w:spacing w:after="0"/>
              <w:rPr>
                <w:sz w:val="1"/>
                <w:szCs w:val="1"/>
                <w:color w:val="auto"/>
              </w:rPr>
            </w:pPr>
          </w:p>
        </w:tc>
      </w:tr>
      <w:tr>
        <w:trPr>
          <w:trHeight w:val="235"/>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12,263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12,263</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Unit-based</w:t>
            </w:r>
          </w:p>
        </w:tc>
        <w:tc>
          <w:tcPr>
            <w:tcW w:w="2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compensation</w:t>
            </w:r>
          </w:p>
        </w:tc>
        <w:tc>
          <w:tcPr>
            <w:tcW w:w="22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8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960</w:t>
            </w: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00" w:type="dxa"/>
            <w:vAlign w:val="bottom"/>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960</w:t>
            </w:r>
          </w:p>
        </w:tc>
        <w:tc>
          <w:tcPr>
            <w:tcW w:w="0" w:type="dxa"/>
            <w:vAlign w:val="bottom"/>
          </w:tcPr>
          <w:p>
            <w:pPr>
              <w:spacing w:after="0"/>
              <w:rPr>
                <w:sz w:val="1"/>
                <w:szCs w:val="1"/>
                <w:color w:val="auto"/>
              </w:rPr>
            </w:pPr>
          </w:p>
        </w:tc>
      </w:tr>
      <w:tr>
        <w:trPr>
          <w:trHeight w:val="20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Repayment of</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receivable</w:t>
            </w:r>
          </w:p>
        </w:tc>
        <w:tc>
          <w:tcPr>
            <w:tcW w:w="22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Issuance of</w:t>
            </w:r>
          </w:p>
        </w:tc>
        <w:tc>
          <w:tcPr>
            <w:tcW w:w="2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common units</w:t>
            </w:r>
          </w:p>
        </w:tc>
        <w:tc>
          <w:tcPr>
            <w:tcW w:w="22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8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26</w:t>
            </w: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00" w:type="dxa"/>
            <w:vAlign w:val="bottom"/>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Redeemable</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preferred units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2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accretion</w:t>
            </w:r>
          </w:p>
        </w:tc>
        <w:tc>
          <w:tcPr>
            <w:tcW w:w="80" w:type="dxa"/>
            <w:vAlign w:val="bottom"/>
            <w:tcBorders>
              <w:bottom w:val="single" w:sz="8" w:color="DBDBDB"/>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20,524</w:t>
            </w:r>
          </w:p>
        </w:tc>
        <w:tc>
          <w:tcPr>
            <w:tcW w:w="80" w:type="dxa"/>
            <w:vAlign w:val="bottom"/>
            <w:tcBorders>
              <w:bottom w:val="single" w:sz="8" w:color="auto"/>
            </w:tcBorders>
            <w:shd w:val="clear" w:color="auto" w:fill="000000"/>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(20,524)</w:t>
            </w: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(20,524)</w:t>
            </w:r>
          </w:p>
        </w:tc>
        <w:tc>
          <w:tcPr>
            <w:tcW w:w="0" w:type="dxa"/>
            <w:vAlign w:val="bottom"/>
          </w:tcPr>
          <w:p>
            <w:pPr>
              <w:spacing w:after="0"/>
              <w:rPr>
                <w:sz w:val="1"/>
                <w:szCs w:val="1"/>
                <w:color w:val="auto"/>
              </w:rPr>
            </w:pPr>
          </w:p>
        </w:tc>
      </w:tr>
      <w:tr>
        <w:trPr>
          <w:trHeight w:val="182"/>
        </w:trPr>
        <w:tc>
          <w:tcPr>
            <w:tcW w:w="1300" w:type="dxa"/>
            <w:vAlign w:val="bottom"/>
            <w:tcBorders>
              <w:top w:val="single" w:sz="8" w:color="DBDBDB"/>
            </w:tcBorders>
            <w:gridSpan w:val="2"/>
            <w:shd w:val="clear" w:color="auto" w:fill="DBDBDB"/>
          </w:tcPr>
          <w:p>
            <w:pPr>
              <w:ind w:left="20"/>
              <w:spacing w:after="0" w:line="182" w:lineRule="exact"/>
              <w:rPr>
                <w:sz w:val="20"/>
                <w:szCs w:val="20"/>
                <w:color w:val="auto"/>
              </w:rPr>
            </w:pPr>
            <w:r>
              <w:rPr>
                <w:rFonts w:ascii="Arial" w:cs="Arial" w:eastAsia="Arial" w:hAnsi="Arial"/>
                <w:sz w:val="16"/>
                <w:szCs w:val="16"/>
                <w:b w:val="1"/>
                <w:bCs w:val="1"/>
                <w:color w:val="auto"/>
              </w:rPr>
              <w:t>Balance, as of</w:t>
            </w:r>
          </w:p>
        </w:tc>
        <w:tc>
          <w:tcPr>
            <w:tcW w:w="220" w:type="dxa"/>
            <w:vAlign w:val="bottom"/>
            <w:tcBorders>
              <w:top w:val="single" w:sz="8" w:color="auto"/>
            </w:tcBorders>
            <w:shd w:val="clear" w:color="auto" w:fill="DBDBDB"/>
          </w:tcPr>
          <w:p>
            <w:pPr>
              <w:spacing w:after="0"/>
              <w:rPr>
                <w:sz w:val="15"/>
                <w:szCs w:val="15"/>
                <w:color w:val="auto"/>
              </w:rPr>
            </w:pPr>
          </w:p>
        </w:tc>
        <w:tc>
          <w:tcPr>
            <w:tcW w:w="560" w:type="dxa"/>
            <w:vAlign w:val="bottom"/>
            <w:tcBorders>
              <w:top w:val="single" w:sz="8" w:color="auto"/>
            </w:tcBorders>
            <w:shd w:val="clear" w:color="auto" w:fill="DBDBDB"/>
          </w:tcPr>
          <w:p>
            <w:pPr>
              <w:spacing w:after="0"/>
              <w:rPr>
                <w:sz w:val="15"/>
                <w:szCs w:val="15"/>
                <w:color w:val="auto"/>
              </w:rPr>
            </w:pPr>
          </w:p>
        </w:tc>
        <w:tc>
          <w:tcPr>
            <w:tcW w:w="460" w:type="dxa"/>
            <w:vAlign w:val="bottom"/>
            <w:tcBorders>
              <w:top w:val="single" w:sz="8" w:color="auto"/>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000000"/>
          </w:tcPr>
          <w:p>
            <w:pPr>
              <w:spacing w:after="0"/>
              <w:rPr>
                <w:sz w:val="15"/>
                <w:szCs w:val="15"/>
                <w:color w:val="auto"/>
              </w:rPr>
            </w:pPr>
          </w:p>
        </w:tc>
        <w:tc>
          <w:tcPr>
            <w:tcW w:w="86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400" w:type="dxa"/>
            <w:vAlign w:val="bottom"/>
            <w:tcBorders>
              <w:top w:val="single" w:sz="8" w:color="auto"/>
            </w:tcBorders>
            <w:shd w:val="clear" w:color="auto" w:fill="DBDBDB"/>
          </w:tcPr>
          <w:p>
            <w:pPr>
              <w:spacing w:after="0"/>
              <w:rPr>
                <w:sz w:val="15"/>
                <w:szCs w:val="15"/>
                <w:color w:val="auto"/>
              </w:rPr>
            </w:pPr>
          </w:p>
        </w:tc>
        <w:tc>
          <w:tcPr>
            <w:tcW w:w="240" w:type="dxa"/>
            <w:vAlign w:val="bottom"/>
            <w:tcBorders>
              <w:top w:val="single" w:sz="8" w:color="auto"/>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380" w:type="dxa"/>
            <w:vAlign w:val="bottom"/>
            <w:tcBorders>
              <w:top w:val="single" w:sz="8" w:color="auto"/>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280" w:type="dxa"/>
            <w:vAlign w:val="bottom"/>
            <w:tcBorders>
              <w:top w:val="single" w:sz="8" w:color="auto"/>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780" w:type="dxa"/>
            <w:vAlign w:val="bottom"/>
            <w:tcBorders>
              <w:top w:val="single" w:sz="8" w:color="auto"/>
            </w:tcBorders>
            <w:shd w:val="clear" w:color="auto" w:fill="DBDBDB"/>
          </w:tcPr>
          <w:p>
            <w:pPr>
              <w:spacing w:after="0"/>
              <w:rPr>
                <w:sz w:val="15"/>
                <w:szCs w:val="15"/>
                <w:color w:val="auto"/>
              </w:rPr>
            </w:pPr>
          </w:p>
        </w:tc>
        <w:tc>
          <w:tcPr>
            <w:tcW w:w="240" w:type="dxa"/>
            <w:vAlign w:val="bottom"/>
            <w:tcBorders>
              <w:top w:val="single" w:sz="8" w:color="auto"/>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spacing w:after="0"/>
              <w:rPr>
                <w:sz w:val="15"/>
                <w:szCs w:val="15"/>
                <w:color w:val="auto"/>
              </w:rPr>
            </w:pPr>
          </w:p>
        </w:tc>
        <w:tc>
          <w:tcPr>
            <w:tcW w:w="700" w:type="dxa"/>
            <w:vAlign w:val="bottom"/>
            <w:tcBorders>
              <w:top w:val="single" w:sz="8" w:color="auto"/>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800" w:type="dxa"/>
            <w:vAlign w:val="bottom"/>
            <w:tcBorders>
              <w:top w:val="single" w:sz="8" w:color="auto"/>
            </w:tcBorders>
            <w:shd w:val="clear" w:color="auto" w:fill="DBDBDB"/>
          </w:tcPr>
          <w:p>
            <w:pPr>
              <w:spacing w:after="0"/>
              <w:rPr>
                <w:sz w:val="15"/>
                <w:szCs w:val="15"/>
                <w:color w:val="auto"/>
              </w:rPr>
            </w:pPr>
          </w:p>
        </w:tc>
        <w:tc>
          <w:tcPr>
            <w:tcW w:w="84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0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27,</w:t>
            </w:r>
          </w:p>
        </w:tc>
        <w:tc>
          <w:tcPr>
            <w:tcW w:w="2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2020</w:t>
            </w:r>
          </w:p>
        </w:tc>
        <w:tc>
          <w:tcPr>
            <w:tcW w:w="80" w:type="dxa"/>
            <w:vAlign w:val="bottom"/>
            <w:shd w:val="clear" w:color="auto" w:fill="DBDBDB"/>
          </w:tcPr>
          <w:p>
            <w:pPr>
              <w:spacing w:after="0"/>
              <w:rPr>
                <w:sz w:val="20"/>
                <w:szCs w:val="20"/>
                <w:color w:val="auto"/>
              </w:rPr>
            </w:pPr>
          </w:p>
        </w:tc>
        <w:tc>
          <w:tcPr>
            <w:tcW w:w="780" w:type="dxa"/>
            <w:vAlign w:val="bottom"/>
            <w:gridSpan w:val="2"/>
            <w:shd w:val="clear" w:color="auto" w:fill="DBDBDB"/>
          </w:tcPr>
          <w:p>
            <w:pPr>
              <w:jc w:val="right"/>
              <w:ind w:right="39"/>
              <w:spacing w:after="0"/>
              <w:rPr>
                <w:sz w:val="20"/>
                <w:szCs w:val="20"/>
                <w:color w:val="auto"/>
              </w:rPr>
            </w:pPr>
            <w:r>
              <w:rPr>
                <w:rFonts w:ascii="Arial" w:cs="Arial" w:eastAsia="Arial" w:hAnsi="Arial"/>
                <w:sz w:val="16"/>
                <w:szCs w:val="16"/>
                <w:color w:val="auto"/>
              </w:rPr>
              <w:t>100,000</w:t>
            </w:r>
          </w:p>
        </w:tc>
        <w:tc>
          <w:tcPr>
            <w:tcW w:w="820" w:type="dxa"/>
            <w:vAlign w:val="bottom"/>
            <w:gridSpan w:val="3"/>
            <w:shd w:val="clear" w:color="auto" w:fill="DBDBDB"/>
          </w:tcPr>
          <w:p>
            <w:pPr>
              <w:jc w:val="right"/>
              <w:ind w:right="80"/>
              <w:spacing w:after="0"/>
              <w:rPr>
                <w:sz w:val="20"/>
                <w:szCs w:val="20"/>
                <w:color w:val="auto"/>
              </w:rPr>
            </w:pPr>
            <w:r>
              <w:rPr>
                <w:rFonts w:ascii="Arial" w:cs="Arial" w:eastAsia="Arial" w:hAnsi="Arial"/>
                <w:sz w:val="16"/>
                <w:szCs w:val="16"/>
                <w:color w:val="auto"/>
              </w:rPr>
              <w:t>$ 200,571</w:t>
            </w:r>
          </w:p>
        </w:tc>
        <w:tc>
          <w:tcPr>
            <w:tcW w:w="80" w:type="dxa"/>
            <w:vAlign w:val="bottom"/>
            <w:shd w:val="clear" w:color="auto" w:fill="000000"/>
          </w:tcPr>
          <w:p>
            <w:pPr>
              <w:spacing w:after="0"/>
              <w:rPr>
                <w:sz w:val="20"/>
                <w:szCs w:val="20"/>
                <w:color w:val="auto"/>
              </w:rPr>
            </w:pPr>
          </w:p>
        </w:tc>
        <w:tc>
          <w:tcPr>
            <w:tcW w:w="8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$ 140,709</w:t>
            </w: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ind w:left="80"/>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ind w:left="8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ind w:lef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0"/>
                <w:szCs w:val="20"/>
                <w:color w:val="auto"/>
              </w:rPr>
            </w:pPr>
          </w:p>
        </w:tc>
        <w:tc>
          <w:tcPr>
            <w:tcW w:w="700" w:type="dxa"/>
            <w:vAlign w:val="bottom"/>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ind w:lef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$ 140,709</w:t>
            </w:r>
          </w:p>
        </w:tc>
        <w:tc>
          <w:tcPr>
            <w:tcW w:w="0" w:type="dxa"/>
            <w:vAlign w:val="bottom"/>
          </w:tcPr>
          <w:p>
            <w:pPr>
              <w:spacing w:after="0"/>
              <w:rPr>
                <w:sz w:val="1"/>
                <w:szCs w:val="1"/>
                <w:color w:val="auto"/>
              </w:rPr>
            </w:pPr>
          </w:p>
        </w:tc>
      </w:tr>
      <w:tr>
        <w:trPr>
          <w:trHeight w:val="20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Redeemable</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preferred units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accretion and</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redemption</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premium</w:t>
            </w:r>
          </w:p>
        </w:tc>
        <w:tc>
          <w:tcPr>
            <w:tcW w:w="22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21,176</w:t>
            </w:r>
          </w:p>
        </w:tc>
        <w:tc>
          <w:tcPr>
            <w:tcW w:w="80" w:type="dxa"/>
            <w:vAlign w:val="bottom"/>
            <w:shd w:val="clear" w:color="auto" w:fill="000000"/>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(21,176)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(21,176)</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Issuance of</w:t>
            </w:r>
          </w:p>
        </w:tc>
        <w:tc>
          <w:tcPr>
            <w:tcW w:w="2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common units</w:t>
            </w:r>
          </w:p>
        </w:tc>
        <w:tc>
          <w:tcPr>
            <w:tcW w:w="22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8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00" w:type="dxa"/>
            <w:vAlign w:val="bottom"/>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Repayment of</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subscription</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receivable</w:t>
            </w:r>
          </w:p>
        </w:tc>
        <w:tc>
          <w:tcPr>
            <w:tcW w:w="22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499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prior to the</w:t>
            </w:r>
          </w:p>
        </w:tc>
        <w:tc>
          <w:tcPr>
            <w:tcW w:w="2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shd w:val="clear" w:color="auto" w:fill="DBDBDB"/>
          </w:tcPr>
          <w:p>
            <w:pPr>
              <w:spacing w:after="0"/>
              <w:rPr>
                <w:sz w:val="20"/>
                <w:szCs w:val="20"/>
                <w:color w:val="auto"/>
              </w:rPr>
            </w:pPr>
          </w:p>
        </w:tc>
        <w:tc>
          <w:tcPr>
            <w:tcW w:w="5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0"/>
                <w:szCs w:val="20"/>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8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21,942</w:t>
            </w: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0"/>
                <w:szCs w:val="20"/>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00" w:type="dxa"/>
            <w:vAlign w:val="bottom"/>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0"/>
                <w:szCs w:val="20"/>
                <w:color w:val="auto"/>
              </w:rPr>
            </w:pPr>
          </w:p>
        </w:tc>
        <w:tc>
          <w:tcPr>
            <w:tcW w:w="8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21,942</w:t>
            </w:r>
          </w:p>
        </w:tc>
        <w:tc>
          <w:tcPr>
            <w:tcW w:w="0" w:type="dxa"/>
            <w:vAlign w:val="bottom"/>
          </w:tcPr>
          <w:p>
            <w:pPr>
              <w:spacing w:after="0"/>
              <w:rPr>
                <w:sz w:val="1"/>
                <w:szCs w:val="1"/>
                <w:color w:val="auto"/>
              </w:rPr>
            </w:pPr>
          </w:p>
        </w:tc>
      </w:tr>
      <w:tr>
        <w:trPr>
          <w:trHeight w:val="20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Unit-based</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prior to the</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Effect of the</w:t>
            </w:r>
          </w:p>
        </w:tc>
        <w:tc>
          <w:tcPr>
            <w:tcW w:w="2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(142,566)</w:t>
            </w:r>
          </w:p>
        </w:tc>
        <w:tc>
          <w:tcPr>
            <w:tcW w:w="96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12,496,361</w:t>
            </w:r>
          </w:p>
        </w:tc>
        <w:tc>
          <w:tcPr>
            <w:tcW w:w="240" w:type="dxa"/>
            <w:vAlign w:val="bottom"/>
            <w:shd w:val="clear" w:color="auto" w:fill="DBDBDB"/>
          </w:tcPr>
          <w:p>
            <w:pPr>
              <w:spacing w:after="0"/>
              <w:rPr>
                <w:sz w:val="21"/>
                <w:szCs w:val="21"/>
                <w:color w:val="auto"/>
              </w:rPr>
            </w:pPr>
          </w:p>
        </w:tc>
        <w:tc>
          <w:tcPr>
            <w:tcW w:w="540" w:type="dxa"/>
            <w:vAlign w:val="bottom"/>
            <w:gridSpan w:val="2"/>
            <w:shd w:val="clear" w:color="auto" w:fill="DBDBDB"/>
          </w:tcPr>
          <w:p>
            <w:pPr>
              <w:jc w:val="right"/>
              <w:ind w:right="19"/>
              <w:spacing w:after="0"/>
              <w:rPr>
                <w:sz w:val="20"/>
                <w:szCs w:val="20"/>
                <w:color w:val="auto"/>
              </w:rPr>
            </w:pPr>
            <w:r>
              <w:rPr>
                <w:rFonts w:ascii="Arial" w:cs="Arial" w:eastAsia="Arial" w:hAnsi="Arial"/>
                <w:sz w:val="16"/>
                <w:szCs w:val="16"/>
                <w:color w:val="auto"/>
              </w:rPr>
              <w:t>125</w:t>
            </w:r>
          </w:p>
        </w:tc>
        <w:tc>
          <w:tcPr>
            <w:tcW w:w="96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35,673,321</w:t>
            </w:r>
          </w:p>
        </w:tc>
        <w:tc>
          <w:tcPr>
            <w:tcW w:w="2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71,416</w:t>
            </w:r>
          </w:p>
        </w:tc>
        <w:tc>
          <w:tcPr>
            <w:tcW w:w="24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00" w:type="dxa"/>
            <w:vAlign w:val="bottom"/>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71,150</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Issuance of</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Class A</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sold in initial</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public offering,</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net of</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underwriting</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discounts of</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$29.1 million</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and other</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offering</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expenses of</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$7.1 million</w:t>
            </w:r>
          </w:p>
        </w:tc>
        <w:tc>
          <w:tcPr>
            <w:tcW w:w="22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23,310,810</w:t>
            </w:r>
          </w:p>
        </w:tc>
        <w:tc>
          <w:tcPr>
            <w:tcW w:w="240" w:type="dxa"/>
            <w:vAlign w:val="bottom"/>
          </w:tcPr>
          <w:p>
            <w:pPr>
              <w:spacing w:after="0"/>
              <w:rPr>
                <w:sz w:val="19"/>
                <w:szCs w:val="19"/>
                <w:color w:val="auto"/>
              </w:rPr>
            </w:pPr>
          </w:p>
        </w:tc>
        <w:tc>
          <w:tcPr>
            <w:tcW w:w="540" w:type="dxa"/>
            <w:vAlign w:val="bottom"/>
            <w:gridSpan w:val="2"/>
          </w:tcPr>
          <w:p>
            <w:pPr>
              <w:jc w:val="right"/>
              <w:ind w:right="19"/>
              <w:spacing w:after="0"/>
              <w:rPr>
                <w:sz w:val="20"/>
                <w:szCs w:val="20"/>
                <w:color w:val="auto"/>
              </w:rPr>
            </w:pPr>
            <w:r>
              <w:rPr>
                <w:rFonts w:ascii="Arial" w:cs="Arial" w:eastAsia="Arial" w:hAnsi="Arial"/>
                <w:sz w:val="16"/>
                <w:szCs w:val="16"/>
                <w:color w:val="auto"/>
              </w:rPr>
              <w:t>233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372,658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372,891</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Allocation of</w:t>
            </w:r>
          </w:p>
        </w:tc>
        <w:tc>
          <w:tcPr>
            <w:tcW w:w="2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equity to non-</w:t>
            </w:r>
          </w:p>
        </w:tc>
        <w:tc>
          <w:tcPr>
            <w:tcW w:w="2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controlling</w:t>
            </w:r>
          </w:p>
        </w:tc>
        <w:tc>
          <w:tcPr>
            <w:tcW w:w="2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interests</w:t>
            </w:r>
          </w:p>
        </w:tc>
        <w:tc>
          <w:tcPr>
            <w:tcW w:w="22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8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(185,980)</w:t>
            </w:r>
          </w:p>
        </w:tc>
        <w:tc>
          <w:tcPr>
            <w:tcW w:w="24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700" w:type="dxa"/>
            <w:vAlign w:val="bottom"/>
            <w:shd w:val="clear" w:color="auto" w:fill="DBDBDB"/>
          </w:tcPr>
          <w:p>
            <w:pPr>
              <w:ind w:lef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185,980</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Payoff of</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redeemable</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preferred units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(100,000)</w:t>
            </w: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(221,747)</w:t>
            </w:r>
          </w:p>
        </w:tc>
        <w:tc>
          <w:tcPr>
            <w:tcW w:w="80" w:type="dxa"/>
            <w:vAlign w:val="bottom"/>
            <w:shd w:val="clear" w:color="auto" w:fill="000000"/>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subsequent to</w:t>
            </w:r>
          </w:p>
        </w:tc>
        <w:tc>
          <w:tcPr>
            <w:tcW w:w="2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the</w:t>
            </w:r>
          </w:p>
        </w:tc>
        <w:tc>
          <w:tcPr>
            <w:tcW w:w="2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shd w:val="clear" w:color="auto" w:fill="DBDBDB"/>
          </w:tcPr>
          <w:p>
            <w:pPr>
              <w:spacing w:after="0"/>
              <w:rPr>
                <w:sz w:val="21"/>
                <w:szCs w:val="21"/>
                <w:color w:val="auto"/>
              </w:rPr>
            </w:pPr>
          </w:p>
        </w:tc>
        <w:tc>
          <w:tcPr>
            <w:tcW w:w="5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36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86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3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1"/>
                <w:szCs w:val="21"/>
                <w:color w:val="auto"/>
              </w:rPr>
            </w:pPr>
          </w:p>
        </w:tc>
        <w:tc>
          <w:tcPr>
            <w:tcW w:w="78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1"/>
                <w:szCs w:val="21"/>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(15,950)</w:t>
            </w:r>
          </w:p>
        </w:tc>
        <w:tc>
          <w:tcPr>
            <w:tcW w:w="180" w:type="dxa"/>
            <w:vAlign w:val="bottom"/>
            <w:shd w:val="clear" w:color="auto" w:fill="DBDBDB"/>
          </w:tcPr>
          <w:p>
            <w:pPr>
              <w:spacing w:after="0"/>
              <w:rPr>
                <w:sz w:val="21"/>
                <w:szCs w:val="21"/>
                <w:color w:val="auto"/>
              </w:rPr>
            </w:pPr>
          </w:p>
        </w:tc>
        <w:tc>
          <w:tcPr>
            <w:tcW w:w="800" w:type="dxa"/>
            <w:vAlign w:val="bottom"/>
            <w:shd w:val="clear" w:color="auto" w:fill="DBDBDB"/>
          </w:tcPr>
          <w:p>
            <w:pPr>
              <w:ind w:left="140"/>
              <w:spacing w:after="0"/>
              <w:rPr>
                <w:sz w:val="20"/>
                <w:szCs w:val="20"/>
                <w:color w:val="auto"/>
              </w:rPr>
            </w:pPr>
            <w:r>
              <w:rPr>
                <w:rFonts w:ascii="Arial" w:cs="Arial" w:eastAsia="Arial" w:hAnsi="Arial"/>
                <w:sz w:val="16"/>
                <w:szCs w:val="16"/>
                <w:color w:val="auto"/>
              </w:rPr>
              <w:t>(19,408)</w:t>
            </w: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(35,358)</w:t>
            </w:r>
          </w:p>
        </w:tc>
        <w:tc>
          <w:tcPr>
            <w:tcW w:w="0" w:type="dxa"/>
            <w:vAlign w:val="bottom"/>
          </w:tcPr>
          <w:p>
            <w:pPr>
              <w:spacing w:after="0"/>
              <w:rPr>
                <w:sz w:val="1"/>
                <w:szCs w:val="1"/>
                <w:color w:val="auto"/>
              </w:rPr>
            </w:pPr>
          </w:p>
        </w:tc>
      </w:tr>
      <w:tr>
        <w:trPr>
          <w:trHeight w:val="20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Equity-based</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subsequent to</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the</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300" w:type="dxa"/>
            <w:vAlign w:val="bottom"/>
            <w:gridSpan w:val="2"/>
          </w:tcPr>
          <w:p>
            <w:pPr>
              <w:ind w:left="140"/>
              <w:spacing w:after="0"/>
              <w:rPr>
                <w:sz w:val="20"/>
                <w:szCs w:val="20"/>
                <w:color w:val="auto"/>
              </w:rPr>
            </w:pPr>
            <w:r>
              <w:rPr>
                <w:rFonts w:ascii="Arial" w:cs="Arial" w:eastAsia="Arial" w:hAnsi="Arial"/>
                <w:sz w:val="16"/>
                <w:szCs w:val="16"/>
                <w:color w:val="auto"/>
              </w:rPr>
              <w:t>Transactions</w:t>
            </w:r>
          </w:p>
        </w:tc>
        <w:tc>
          <w:tcPr>
            <w:tcW w:w="22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14,477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14,420</w:t>
            </w:r>
          </w:p>
        </w:tc>
        <w:tc>
          <w:tcPr>
            <w:tcW w:w="840" w:type="dxa"/>
            <w:vAlign w:val="bottom"/>
          </w:tcPr>
          <w:p>
            <w:pPr>
              <w:jc w:val="right"/>
              <w:spacing w:after="0"/>
              <w:rPr>
                <w:sz w:val="20"/>
                <w:szCs w:val="20"/>
                <w:color w:val="auto"/>
              </w:rPr>
            </w:pPr>
            <w:r>
              <w:rPr>
                <w:rFonts w:ascii="Arial" w:cs="Arial" w:eastAsia="Arial" w:hAnsi="Arial"/>
                <w:sz w:val="16"/>
                <w:szCs w:val="16"/>
                <w:color w:val="auto"/>
              </w:rPr>
              <w:t>28,897</w:t>
            </w:r>
          </w:p>
        </w:tc>
        <w:tc>
          <w:tcPr>
            <w:tcW w:w="0" w:type="dxa"/>
            <w:vAlign w:val="bottom"/>
          </w:tcPr>
          <w:p>
            <w:pPr>
              <w:spacing w:after="0"/>
              <w:rPr>
                <w:sz w:val="1"/>
                <w:szCs w:val="1"/>
                <w:color w:val="auto"/>
              </w:rPr>
            </w:pPr>
          </w:p>
        </w:tc>
      </w:tr>
      <w:tr>
        <w:trPr>
          <w:trHeight w:val="210"/>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Establishment</w:t>
            </w:r>
          </w:p>
        </w:tc>
        <w:tc>
          <w:tcPr>
            <w:tcW w:w="2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7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7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of Tax</w:t>
            </w:r>
          </w:p>
        </w:tc>
        <w:tc>
          <w:tcPr>
            <w:tcW w:w="2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6" w:right="3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Receivable</w:t>
            </w:r>
          </w:p>
        </w:tc>
        <w:tc>
          <w:tcPr>
            <w:tcW w:w="7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r>
      <w:tr>
        <w:trPr>
          <w:trHeight w:val="203"/>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Agreement</w:t>
            </w:r>
          </w:p>
        </w:tc>
        <w:tc>
          <w:tcPr>
            <w:tcW w:w="7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liability and</w:t>
            </w:r>
          </w:p>
        </w:tc>
        <w:tc>
          <w:tcPr>
            <w:tcW w:w="7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r>
      <w:tr>
        <w:trPr>
          <w:trHeight w:val="189"/>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corresponding</w:t>
            </w:r>
          </w:p>
        </w:tc>
        <w:tc>
          <w:tcPr>
            <w:tcW w:w="7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r>
      <w:tr>
        <w:trPr>
          <w:trHeight w:val="203"/>
        </w:trPr>
        <w:tc>
          <w:tcPr>
            <w:tcW w:w="130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deferred tax</w:t>
            </w:r>
          </w:p>
        </w:tc>
        <w:tc>
          <w:tcPr>
            <w:tcW w:w="7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r>
      <w:tr>
        <w:trPr>
          <w:trHeight w:val="224"/>
        </w:trPr>
        <w:tc>
          <w:tcPr>
            <w:tcW w:w="1300" w:type="dxa"/>
            <w:vAlign w:val="bottom"/>
            <w:tcBorders>
              <w:bottom w:val="single" w:sz="8" w:color="auto"/>
            </w:tcBorders>
            <w:gridSpan w:val="2"/>
            <w:shd w:val="clear" w:color="auto" w:fill="DBDBDB"/>
          </w:tcPr>
          <w:p>
            <w:pPr>
              <w:ind w:left="140"/>
              <w:spacing w:after="0"/>
              <w:rPr>
                <w:sz w:val="20"/>
                <w:szCs w:val="20"/>
                <w:color w:val="auto"/>
              </w:rPr>
            </w:pPr>
            <w:r>
              <w:rPr>
                <w:rFonts w:ascii="Arial" w:cs="Arial" w:eastAsia="Arial" w:hAnsi="Arial"/>
                <w:sz w:val="16"/>
                <w:szCs w:val="16"/>
                <w:color w:val="auto"/>
              </w:rPr>
              <w:t>assets</w:t>
            </w:r>
          </w:p>
        </w:tc>
        <w:tc>
          <w:tcPr>
            <w:tcW w:w="1140" w:type="dxa"/>
            <w:vAlign w:val="bottom"/>
            <w:tcBorders>
              <w:bottom w:val="single" w:sz="8" w:color="auto"/>
            </w:tcBorders>
            <w:gridSpan w:val="3"/>
            <w:shd w:val="clear" w:color="auto" w:fill="DBDBDB"/>
          </w:tcPr>
          <w:p>
            <w:pPr>
              <w:ind w:left="5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000000"/>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560" w:type="dxa"/>
            <w:vAlign w:val="bottom"/>
            <w:tcBorders>
              <w:bottom w:val="single" w:sz="8" w:color="auto"/>
            </w:tcBorders>
            <w:gridSpan w:val="2"/>
            <w:shd w:val="clear" w:color="auto" w:fill="DBDBDB"/>
          </w:tcPr>
          <w:p>
            <w:pPr>
              <w:ind w:left="2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gridSpan w:val="2"/>
            <w:shd w:val="clear" w:color="auto" w:fill="DBDBDB"/>
          </w:tcPr>
          <w:p>
            <w:pPr>
              <w:ind w:left="1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(85,715)</w:t>
            </w:r>
          </w:p>
        </w:tc>
        <w:tc>
          <w:tcPr>
            <w:tcW w:w="8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gridSpan w:val="2"/>
            <w:shd w:val="clear" w:color="auto" w:fill="DBDBDB"/>
          </w:tcPr>
          <w:p>
            <w:pPr>
              <w:ind w:left="5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(85,715)</w:t>
            </w:r>
          </w:p>
        </w:tc>
      </w:tr>
      <w:tr>
        <w:trPr>
          <w:trHeight w:val="202"/>
        </w:trPr>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as of</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26,</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6"/>
        </w:trPr>
        <w:tc>
          <w:tcPr>
            <w:tcW w:w="122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1"/>
                <w:szCs w:val="21"/>
                <w:color w:val="auto"/>
              </w:rPr>
            </w:pPr>
          </w:p>
        </w:tc>
        <w:tc>
          <w:tcPr>
            <w:tcW w:w="1140" w:type="dxa"/>
            <w:vAlign w:val="bottom"/>
            <w:gridSpan w:val="3"/>
          </w:tcPr>
          <w:p>
            <w:pPr>
              <w:ind w:left="500"/>
              <w:spacing w:after="0"/>
              <w:rPr>
                <w:sz w:val="20"/>
                <w:szCs w:val="20"/>
                <w:color w:val="auto"/>
              </w:rPr>
            </w:pPr>
            <w:r>
              <w:rPr>
                <w:rFonts w:ascii="Arial" w:cs="Arial" w:eastAsia="Arial" w:hAnsi="Arial"/>
                <w:sz w:val="16"/>
                <w:szCs w:val="16"/>
                <w:color w:val="auto"/>
              </w:rPr>
              <w:t>—  $</w:t>
            </w: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000000"/>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358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35,673,321</w:t>
            </w:r>
          </w:p>
        </w:tc>
        <w:tc>
          <w:tcPr>
            <w:tcW w:w="8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  186,856</w:t>
            </w:r>
          </w:p>
        </w:tc>
        <w:tc>
          <w:tcPr>
            <w:tcW w:w="8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(15,950)</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252,142</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$ 423,406</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PORTILLO'S INC.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AND MEMBERS' EQUITY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unit/share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740" w:type="dxa"/>
            <w:vAlign w:val="bottom"/>
            <w:gridSpan w:val="23"/>
          </w:tcPr>
          <w:p>
            <w:pPr>
              <w:spacing w:after="0"/>
              <w:rPr>
                <w:sz w:val="20"/>
                <w:szCs w:val="20"/>
                <w:color w:val="auto"/>
              </w:rPr>
            </w:pPr>
            <w:r>
              <w:rPr>
                <w:rFonts w:ascii="Arial" w:cs="Arial" w:eastAsia="Arial" w:hAnsi="Arial"/>
                <w:sz w:val="16"/>
                <w:szCs w:val="16"/>
                <w:b w:val="1"/>
                <w:bCs w:val="1"/>
                <w:color w:val="auto"/>
              </w:rPr>
              <w:t>FOR THE FISCAL YEAR ENDED DECEMBER 25, 2022</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6"/>
            <w:vMerge w:val="restart"/>
          </w:tcPr>
          <w:p>
            <w:pPr>
              <w:jc w:val="right"/>
              <w:spacing w:after="0"/>
              <w:rPr>
                <w:sz w:val="20"/>
                <w:szCs w:val="20"/>
                <w:color w:val="auto"/>
              </w:rPr>
            </w:pPr>
            <w:r>
              <w:rPr>
                <w:rFonts w:ascii="Arial" w:cs="Arial" w:eastAsia="Arial" w:hAnsi="Arial"/>
                <w:sz w:val="16"/>
                <w:szCs w:val="16"/>
                <w:b w:val="1"/>
                <w:bCs w:val="1"/>
                <w:color w:val="auto"/>
              </w:rPr>
              <w:t>Preferred Units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Class A</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Class B</w:t>
            </w: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6"/>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8"/>
          </w:tcPr>
          <w:p>
            <w:pPr>
              <w:jc w:val="center"/>
              <w:ind w:right="80"/>
              <w:spacing w:after="0" w:line="155" w:lineRule="exact"/>
              <w:rPr>
                <w:sz w:val="20"/>
                <w:szCs w:val="20"/>
                <w:color w:val="auto"/>
              </w:rPr>
            </w:pPr>
            <w:r>
              <w:rPr>
                <w:rFonts w:ascii="Arial" w:cs="Arial" w:eastAsia="Arial" w:hAnsi="Arial"/>
                <w:sz w:val="16"/>
                <w:szCs w:val="16"/>
                <w:b w:val="1"/>
                <w:bCs w:val="1"/>
                <w:color w:val="auto"/>
              </w:rPr>
              <w:t>Common Stock</w:t>
            </w:r>
          </w:p>
        </w:tc>
        <w:tc>
          <w:tcPr>
            <w:tcW w:w="260" w:type="dxa"/>
            <w:vAlign w:val="bottom"/>
          </w:tcPr>
          <w:p>
            <w:pPr>
              <w:spacing w:after="0"/>
              <w:rPr>
                <w:sz w:val="16"/>
                <w:szCs w:val="16"/>
                <w:color w:val="auto"/>
              </w:rPr>
            </w:pPr>
          </w:p>
        </w:tc>
        <w:tc>
          <w:tcPr>
            <w:tcW w:w="1200" w:type="dxa"/>
            <w:vAlign w:val="bottom"/>
            <w:gridSpan w:val="6"/>
          </w:tcPr>
          <w:p>
            <w:pPr>
              <w:jc w:val="center"/>
              <w:ind w:right="20"/>
              <w:spacing w:after="0" w:line="155" w:lineRule="exact"/>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Additional</w:t>
            </w: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Non-</w:t>
            </w: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900" w:type="dxa"/>
            <w:vAlign w:val="bottom"/>
            <w:gridSpan w:val="4"/>
          </w:tcPr>
          <w:p>
            <w:pPr>
              <w:ind w:left="20"/>
              <w:spacing w:after="0"/>
              <w:rPr>
                <w:sz w:val="20"/>
                <w:szCs w:val="20"/>
                <w:color w:val="auto"/>
              </w:rPr>
            </w:pPr>
            <w:r>
              <w:rPr>
                <w:rFonts w:ascii="Arial" w:cs="Arial" w:eastAsia="Arial" w:hAnsi="Arial"/>
                <w:sz w:val="16"/>
                <w:szCs w:val="16"/>
                <w:b w:val="1"/>
                <w:bCs w:val="1"/>
                <w:color w:val="auto"/>
              </w:rPr>
              <w:t>Members'</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w:t>
            </w: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980" w:type="dxa"/>
            <w:vAlign w:val="bottom"/>
            <w:gridSpan w:val="3"/>
          </w:tcPr>
          <w:p>
            <w:pPr>
              <w:ind w:left="40"/>
              <w:spacing w:after="0"/>
              <w:rPr>
                <w:sz w:val="20"/>
                <w:szCs w:val="20"/>
                <w:color w:val="auto"/>
              </w:rPr>
            </w:pPr>
            <w:r>
              <w:rPr>
                <w:rFonts w:ascii="Arial" w:cs="Arial" w:eastAsia="Arial" w:hAnsi="Arial"/>
                <w:sz w:val="16"/>
                <w:szCs w:val="16"/>
                <w:b w:val="1"/>
                <w:bCs w:val="1"/>
                <w:color w:val="auto"/>
              </w:rPr>
              <w:t>controlling</w:t>
            </w:r>
          </w:p>
        </w:tc>
        <w:tc>
          <w:tcPr>
            <w:tcW w:w="800" w:type="dxa"/>
            <w:vAlign w:val="bottom"/>
          </w:tcPr>
          <w:p>
            <w:pPr>
              <w:jc w:val="right"/>
              <w:ind w:right="1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0"/>
        </w:trPr>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Units</w:t>
            </w: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bottom w:val="single" w:sz="8" w:color="auto"/>
            </w:tcBorders>
            <w:shd w:val="clear" w:color="auto" w:fill="000000"/>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Equity</w:t>
            </w:r>
          </w:p>
        </w:tc>
        <w:tc>
          <w:tcPr>
            <w:tcW w:w="96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Shares</w:t>
            </w:r>
          </w:p>
        </w:tc>
        <w:tc>
          <w:tcPr>
            <w:tcW w:w="7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Amount</w:t>
            </w:r>
          </w:p>
        </w:tc>
        <w:tc>
          <w:tcPr>
            <w:tcW w:w="1020" w:type="dxa"/>
            <w:vAlign w:val="bottom"/>
            <w:tcBorders>
              <w:bottom w:val="single" w:sz="8" w:color="auto"/>
            </w:tcBorders>
            <w:gridSpan w:val="4"/>
          </w:tcPr>
          <w:p>
            <w:pPr>
              <w:ind w:left="200"/>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Capital</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interest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9"/>
        </w:trPr>
        <w:tc>
          <w:tcPr>
            <w:tcW w:w="15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tcBorders>
              <w:right w:val="single" w:sz="8" w:color="DBDBDB"/>
            </w:tcBorders>
            <w:shd w:val="clear" w:color="auto" w:fill="DBDBDB"/>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26,</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tcBorders>
              <w:right w:val="single" w:sz="8" w:color="DBDBDB"/>
            </w:tcBorders>
            <w:shd w:val="clear" w:color="auto" w:fill="DBDBDB"/>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2021</w:t>
            </w:r>
          </w:p>
        </w:tc>
        <w:tc>
          <w:tcPr>
            <w:tcW w:w="80" w:type="dxa"/>
            <w:vAlign w:val="bottom"/>
            <w:shd w:val="clear" w:color="auto" w:fill="DBDBDB"/>
          </w:tcPr>
          <w:p>
            <w:pPr>
              <w:spacing w:after="0"/>
              <w:rPr>
                <w:sz w:val="20"/>
                <w:szCs w:val="20"/>
                <w:color w:val="auto"/>
              </w:rPr>
            </w:pPr>
          </w:p>
        </w:tc>
        <w:tc>
          <w:tcPr>
            <w:tcW w:w="200" w:type="dxa"/>
            <w:vAlign w:val="bottom"/>
            <w:gridSpan w:val="2"/>
            <w:shd w:val="clear" w:color="auto" w:fill="DBDBDB"/>
          </w:tcPr>
          <w:p>
            <w:pPr>
              <w:jc w:val="right"/>
              <w:ind w:right="100"/>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0"/>
                <w:szCs w:val="20"/>
                <w:color w:val="auto"/>
              </w:rPr>
            </w:pPr>
          </w:p>
        </w:tc>
        <w:tc>
          <w:tcPr>
            <w:tcW w:w="120" w:type="dxa"/>
            <w:vAlign w:val="bottom"/>
            <w:shd w:val="clear" w:color="auto" w:fill="DBDBDB"/>
          </w:tcPr>
          <w:p>
            <w:pPr>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DBDBDB"/>
          </w:tcPr>
          <w:p>
            <w:pPr>
              <w:ind w:left="4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35,807,171</w:t>
            </w:r>
          </w:p>
        </w:tc>
        <w:tc>
          <w:tcPr>
            <w:tcW w:w="80" w:type="dxa"/>
            <w:vAlign w:val="bottom"/>
            <w:shd w:val="clear" w:color="auto" w:fill="DBDBDB"/>
          </w:tcPr>
          <w:p>
            <w:pPr>
              <w:spacing w:after="0"/>
              <w:rPr>
                <w:sz w:val="20"/>
                <w:szCs w:val="20"/>
                <w:color w:val="auto"/>
              </w:rPr>
            </w:pP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358</w:t>
            </w:r>
          </w:p>
        </w:tc>
        <w:tc>
          <w:tcPr>
            <w:tcW w:w="80" w:type="dxa"/>
            <w:vAlign w:val="bottom"/>
            <w:shd w:val="clear" w:color="auto" w:fill="DBDBDB"/>
          </w:tcPr>
          <w:p>
            <w:pPr>
              <w:spacing w:after="0"/>
              <w:rPr>
                <w:sz w:val="20"/>
                <w:szCs w:val="20"/>
                <w:color w:val="auto"/>
              </w:rPr>
            </w:pPr>
          </w:p>
        </w:tc>
        <w:tc>
          <w:tcPr>
            <w:tcW w:w="9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35,673,321</w:t>
            </w: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3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186,856</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(15,950)</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252,142</w:t>
            </w:r>
          </w:p>
        </w:tc>
        <w:tc>
          <w:tcPr>
            <w:tcW w:w="80" w:type="dxa"/>
            <w:vAlign w:val="bottom"/>
            <w:shd w:val="clear" w:color="auto" w:fill="DBDBDB"/>
          </w:tcPr>
          <w:p>
            <w:pPr>
              <w:spacing w:after="0"/>
              <w:rPr>
                <w:sz w:val="20"/>
                <w:szCs w:val="20"/>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8"/>
              </w:rPr>
              <w:t>$ 423,406</w:t>
            </w:r>
          </w:p>
        </w:tc>
        <w:tc>
          <w:tcPr>
            <w:tcW w:w="0" w:type="dxa"/>
            <w:vAlign w:val="bottom"/>
          </w:tcPr>
          <w:p>
            <w:pPr>
              <w:spacing w:after="0"/>
              <w:rPr>
                <w:sz w:val="1"/>
                <w:szCs w:val="1"/>
                <w:color w:val="auto"/>
              </w:rPr>
            </w:pPr>
          </w:p>
        </w:tc>
      </w:tr>
      <w:tr>
        <w:trPr>
          <w:trHeight w:val="235"/>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6,306</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17,157</w:t>
            </w:r>
          </w:p>
        </w:tc>
        <w:tc>
          <w:tcPr>
            <w:tcW w:w="0" w:type="dxa"/>
            <w:vAlign w:val="bottom"/>
          </w:tcPr>
          <w:p>
            <w:pPr>
              <w:spacing w:after="0"/>
              <w:rPr>
                <w:sz w:val="1"/>
                <w:szCs w:val="1"/>
                <w:color w:val="auto"/>
              </w:rPr>
            </w:pPr>
          </w:p>
        </w:tc>
      </w:tr>
      <w:tr>
        <w:trPr>
          <w:trHeight w:val="210"/>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Adoption of</w:t>
            </w:r>
          </w:p>
        </w:tc>
        <w:tc>
          <w:tcPr>
            <w:tcW w:w="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tcBorders>
              <w:right w:val="single" w:sz="8" w:color="DBDBDB"/>
            </w:tcBorders>
            <w:shd w:val="clear" w:color="auto" w:fill="DBDBDB"/>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Accounting</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tcBorders>
              <w:right w:val="single" w:sz="8" w:color="DBDBDB"/>
            </w:tcBorders>
            <w:shd w:val="clear" w:color="auto" w:fill="DBDBDB"/>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Standards</w:t>
            </w: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tcBorders>
              <w:right w:val="single" w:sz="8" w:color="DBDBDB"/>
            </w:tcBorders>
            <w:shd w:val="clear" w:color="auto" w:fill="DBDBDB"/>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Codification 842 -</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tcBorders>
              <w:right w:val="single" w:sz="8" w:color="DBDBDB"/>
            </w:tcBorders>
            <w:shd w:val="clear" w:color="auto" w:fill="DBDBDB"/>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Leases</w:t>
            </w:r>
          </w:p>
        </w:tc>
        <w:tc>
          <w:tcPr>
            <w:tcW w:w="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0"/>
                <w:szCs w:val="20"/>
                <w:color w:val="auto"/>
              </w:rPr>
            </w:pPr>
          </w:p>
        </w:tc>
        <w:tc>
          <w:tcPr>
            <w:tcW w:w="4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80" w:type="dxa"/>
            <w:vAlign w:val="bottom"/>
            <w:gridSpan w:val="3"/>
            <w:shd w:val="clear" w:color="auto" w:fill="DBDBDB"/>
          </w:tcPr>
          <w:p>
            <w:pPr>
              <w:ind w:left="4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4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4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3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0"/>
                <w:szCs w:val="20"/>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287</w:t>
            </w:r>
          </w:p>
        </w:tc>
        <w:tc>
          <w:tcPr>
            <w:tcW w:w="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DBDBDB"/>
          </w:tcPr>
          <w:p>
            <w:pPr>
              <w:spacing w:after="0"/>
              <w:rPr>
                <w:sz w:val="20"/>
                <w:szCs w:val="20"/>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2"/>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Equity-based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compensation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expense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8,820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7,317</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16,137</w:t>
            </w:r>
          </w:p>
        </w:tc>
        <w:tc>
          <w:tcPr>
            <w:tcW w:w="0" w:type="dxa"/>
            <w:vAlign w:val="bottom"/>
          </w:tcPr>
          <w:p>
            <w:pPr>
              <w:spacing w:after="0"/>
              <w:rPr>
                <w:sz w:val="1"/>
                <w:szCs w:val="1"/>
                <w:color w:val="auto"/>
              </w:rPr>
            </w:pPr>
          </w:p>
        </w:tc>
      </w:tr>
      <w:tr>
        <w:trPr>
          <w:trHeight w:val="210"/>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Activity under</w:t>
            </w:r>
          </w:p>
        </w:tc>
        <w:tc>
          <w:tcPr>
            <w:tcW w:w="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tcBorders>
              <w:right w:val="single" w:sz="8" w:color="DBDBDB"/>
            </w:tcBorders>
            <w:shd w:val="clear" w:color="auto" w:fill="DBDBDB"/>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equity-based</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tcBorders>
              <w:right w:val="single" w:sz="8" w:color="DBDBDB"/>
            </w:tcBorders>
            <w:shd w:val="clear" w:color="auto" w:fill="DBDBDB"/>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compensation</w:t>
            </w:r>
          </w:p>
        </w:tc>
        <w:tc>
          <w:tcPr>
            <w:tcW w:w="6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tcBorders>
              <w:right w:val="single" w:sz="8" w:color="DBDBDB"/>
            </w:tcBorders>
            <w:shd w:val="clear" w:color="auto" w:fill="DBDBDB"/>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8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plans</w:t>
            </w:r>
          </w:p>
        </w:tc>
        <w:tc>
          <w:tcPr>
            <w:tcW w:w="6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4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780" w:type="dxa"/>
            <w:vAlign w:val="bottom"/>
            <w:gridSpan w:val="3"/>
            <w:shd w:val="clear" w:color="auto" w:fill="DBDBDB"/>
          </w:tcPr>
          <w:p>
            <w:pPr>
              <w:ind w:left="4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777,393</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5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4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3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(606)</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8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02"/>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Redemption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LLC Units in</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connection with</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the secondary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offering</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auto"/>
                <w:w w:val="99"/>
              </w:rPr>
              <w:t>11,836,159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w w:val="99"/>
              </w:rPr>
              <w:t>(11,836,159)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Non-controlling</w:t>
            </w:r>
          </w:p>
        </w:tc>
        <w:tc>
          <w:tcPr>
            <w:tcW w:w="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tcBorders>
              <w:right w:val="single" w:sz="8" w:color="DBDBDB"/>
            </w:tcBorders>
            <w:shd w:val="clear" w:color="auto" w:fill="DBDBDB"/>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5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interest</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tcBorders>
              <w:right w:val="single" w:sz="8" w:color="DBDBDB"/>
            </w:tcBorders>
            <w:shd w:val="clear" w:color="auto" w:fill="DBDBDB"/>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adjustment</w:t>
            </w:r>
          </w:p>
        </w:tc>
        <w:tc>
          <w:tcPr>
            <w:tcW w:w="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0"/>
                <w:szCs w:val="20"/>
                <w:color w:val="auto"/>
              </w:rPr>
            </w:pPr>
          </w:p>
        </w:tc>
        <w:tc>
          <w:tcPr>
            <w:tcW w:w="4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80" w:type="dxa"/>
            <w:vAlign w:val="bottom"/>
            <w:gridSpan w:val="3"/>
            <w:shd w:val="clear" w:color="auto" w:fill="DBDBDB"/>
          </w:tcPr>
          <w:p>
            <w:pPr>
              <w:ind w:left="460"/>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46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3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4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20" w:type="dxa"/>
            <w:vAlign w:val="bottom"/>
            <w:shd w:val="clear" w:color="auto" w:fill="DBDBDB"/>
          </w:tcPr>
          <w:p>
            <w:pPr>
              <w:spacing w:after="0"/>
              <w:rPr>
                <w:sz w:val="20"/>
                <w:szCs w:val="20"/>
                <w:color w:val="auto"/>
              </w:rPr>
            </w:pPr>
          </w:p>
        </w:tc>
        <w:tc>
          <w:tcPr>
            <w:tcW w:w="3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89,374</w:t>
            </w:r>
          </w:p>
        </w:tc>
        <w:tc>
          <w:tcPr>
            <w:tcW w:w="8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940" w:type="dxa"/>
            <w:vAlign w:val="bottom"/>
            <w:gridSpan w:val="2"/>
            <w:shd w:val="clear" w:color="auto" w:fill="DBDBDB"/>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760" w:type="dxa"/>
            <w:vAlign w:val="bottom"/>
            <w:shd w:val="clear" w:color="auto" w:fill="DBDBDB"/>
          </w:tcPr>
          <w:p>
            <w:pPr>
              <w:ind w:left="120"/>
              <w:spacing w:after="0"/>
              <w:rPr>
                <w:sz w:val="20"/>
                <w:szCs w:val="20"/>
                <w:color w:val="auto"/>
              </w:rPr>
            </w:pPr>
            <w:r>
              <w:rPr>
                <w:rFonts w:ascii="Arial" w:cs="Arial" w:eastAsia="Arial" w:hAnsi="Arial"/>
                <w:sz w:val="16"/>
                <w:szCs w:val="16"/>
                <w:color w:val="auto"/>
              </w:rPr>
              <w:t>(89,374)</w:t>
            </w:r>
          </w:p>
        </w:tc>
        <w:tc>
          <w:tcPr>
            <w:tcW w:w="80" w:type="dxa"/>
            <w:vAlign w:val="bottom"/>
            <w:shd w:val="clear" w:color="auto" w:fill="DBDBDB"/>
          </w:tcPr>
          <w:p>
            <w:pPr>
              <w:spacing w:after="0"/>
              <w:rPr>
                <w:sz w:val="20"/>
                <w:szCs w:val="20"/>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Establishment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liabilities under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tax</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receivable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agreement and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related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changes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deferred tax</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assets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associated with</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increases in tax</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ind w:left="140"/>
              <w:spacing w:after="0"/>
              <w:rPr>
                <w:sz w:val="20"/>
                <w:szCs w:val="20"/>
                <w:color w:val="auto"/>
              </w:rPr>
            </w:pPr>
            <w:r>
              <w:rPr>
                <w:rFonts w:ascii="Arial" w:cs="Arial" w:eastAsia="Arial" w:hAnsi="Arial"/>
                <w:sz w:val="16"/>
                <w:szCs w:val="16"/>
                <w:color w:val="auto"/>
              </w:rPr>
              <w:t>basis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ind w:lef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(23,662)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(23,662)</w:t>
            </w:r>
          </w:p>
        </w:tc>
        <w:tc>
          <w:tcPr>
            <w:tcW w:w="0" w:type="dxa"/>
            <w:vAlign w:val="bottom"/>
          </w:tcPr>
          <w:p>
            <w:pPr>
              <w:spacing w:after="0"/>
              <w:rPr>
                <w:sz w:val="1"/>
                <w:szCs w:val="1"/>
                <w:color w:val="auto"/>
              </w:rPr>
            </w:pPr>
          </w:p>
        </w:tc>
      </w:tr>
      <w:tr>
        <w:trPr>
          <w:trHeight w:val="202"/>
        </w:trPr>
        <w:tc>
          <w:tcPr>
            <w:tcW w:w="152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w:t>
            </w:r>
          </w:p>
        </w:tc>
        <w:tc>
          <w:tcPr>
            <w:tcW w:w="60" w:type="dxa"/>
            <w:vAlign w:val="bottom"/>
            <w:tcBorders>
              <w:top w:val="single" w:sz="8" w:color="auto"/>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3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spacing w:after="0"/>
              <w:rPr>
                <w:sz w:val="17"/>
                <w:szCs w:val="17"/>
                <w:color w:val="auto"/>
              </w:rPr>
            </w:pPr>
          </w:p>
        </w:tc>
        <w:tc>
          <w:tcPr>
            <w:tcW w:w="400" w:type="dxa"/>
            <w:vAlign w:val="bottom"/>
            <w:tcBorders>
              <w:top w:val="single" w:sz="8" w:color="auto"/>
              <w:right w:val="single" w:sz="8" w:color="DBDBDB"/>
            </w:tcBorders>
            <w:shd w:val="clear" w:color="auto" w:fill="DBDBDB"/>
          </w:tcPr>
          <w:p>
            <w:pPr>
              <w:spacing w:after="0"/>
              <w:rPr>
                <w:sz w:val="17"/>
                <w:szCs w:val="17"/>
                <w:color w:val="auto"/>
              </w:rPr>
            </w:pPr>
          </w:p>
        </w:tc>
        <w:tc>
          <w:tcPr>
            <w:tcW w:w="100" w:type="dxa"/>
            <w:vAlign w:val="bottom"/>
            <w:tcBorders>
              <w:top w:val="single" w:sz="8" w:color="auto"/>
            </w:tcBorders>
            <w:shd w:val="clear" w:color="auto" w:fill="000000"/>
          </w:tcPr>
          <w:p>
            <w:pPr>
              <w:spacing w:after="0"/>
              <w:rPr>
                <w:sz w:val="17"/>
                <w:szCs w:val="17"/>
                <w:color w:val="auto"/>
              </w:rPr>
            </w:pPr>
          </w:p>
        </w:tc>
        <w:tc>
          <w:tcPr>
            <w:tcW w:w="120" w:type="dxa"/>
            <w:vAlign w:val="bottom"/>
            <w:tcBorders>
              <w:top w:val="single" w:sz="8" w:color="auto"/>
            </w:tcBorders>
            <w:shd w:val="clear" w:color="auto" w:fill="DBDBDB"/>
          </w:tcPr>
          <w:p>
            <w:pPr>
              <w:spacing w:after="0"/>
              <w:rPr>
                <w:sz w:val="17"/>
                <w:szCs w:val="17"/>
                <w:color w:val="auto"/>
              </w:rPr>
            </w:pPr>
          </w:p>
        </w:tc>
        <w:tc>
          <w:tcPr>
            <w:tcW w:w="520" w:type="dxa"/>
            <w:vAlign w:val="bottom"/>
            <w:tcBorders>
              <w:top w:val="single" w:sz="8" w:color="auto"/>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spacing w:after="0"/>
              <w:rPr>
                <w:sz w:val="17"/>
                <w:szCs w:val="17"/>
                <w:color w:val="auto"/>
              </w:rPr>
            </w:pPr>
          </w:p>
        </w:tc>
        <w:tc>
          <w:tcPr>
            <w:tcW w:w="260" w:type="dxa"/>
            <w:vAlign w:val="bottom"/>
            <w:tcBorders>
              <w:top w:val="single" w:sz="8" w:color="auto"/>
            </w:tcBorders>
            <w:shd w:val="clear" w:color="auto" w:fill="DBDBDB"/>
          </w:tcPr>
          <w:p>
            <w:pPr>
              <w:spacing w:after="0"/>
              <w:rPr>
                <w:sz w:val="17"/>
                <w:szCs w:val="17"/>
                <w:color w:val="auto"/>
              </w:rPr>
            </w:pPr>
          </w:p>
        </w:tc>
        <w:tc>
          <w:tcPr>
            <w:tcW w:w="38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60" w:type="dxa"/>
            <w:vAlign w:val="bottom"/>
            <w:tcBorders>
              <w:top w:val="single" w:sz="8" w:color="auto"/>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spacing w:after="0"/>
              <w:rPr>
                <w:sz w:val="17"/>
                <w:szCs w:val="17"/>
                <w:color w:val="auto"/>
              </w:rPr>
            </w:pPr>
          </w:p>
        </w:tc>
        <w:tc>
          <w:tcPr>
            <w:tcW w:w="40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20" w:type="dxa"/>
            <w:vAlign w:val="bottom"/>
            <w:tcBorders>
              <w:top w:val="single" w:sz="8" w:color="auto"/>
            </w:tcBorders>
            <w:shd w:val="clear" w:color="auto" w:fill="DBDBDB"/>
          </w:tcPr>
          <w:p>
            <w:pPr>
              <w:spacing w:after="0"/>
              <w:rPr>
                <w:sz w:val="17"/>
                <w:szCs w:val="17"/>
                <w:color w:val="auto"/>
              </w:rPr>
            </w:pPr>
          </w:p>
        </w:tc>
        <w:tc>
          <w:tcPr>
            <w:tcW w:w="300" w:type="dxa"/>
            <w:vAlign w:val="bottom"/>
            <w:tcBorders>
              <w:top w:val="single" w:sz="8" w:color="auto"/>
            </w:tcBorders>
            <w:shd w:val="clear" w:color="auto" w:fill="DBDBDB"/>
          </w:tcPr>
          <w:p>
            <w:pPr>
              <w:spacing w:after="0"/>
              <w:rPr>
                <w:sz w:val="17"/>
                <w:szCs w:val="17"/>
                <w:color w:val="auto"/>
              </w:rPr>
            </w:pPr>
          </w:p>
        </w:tc>
        <w:tc>
          <w:tcPr>
            <w:tcW w:w="20" w:type="dxa"/>
            <w:vAlign w:val="bottom"/>
            <w:tcBorders>
              <w:top w:val="single" w:sz="8" w:color="auto"/>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spacing w:after="0"/>
              <w:rPr>
                <w:sz w:val="17"/>
                <w:szCs w:val="17"/>
                <w:color w:val="auto"/>
              </w:rPr>
            </w:pPr>
          </w:p>
        </w:tc>
        <w:tc>
          <w:tcPr>
            <w:tcW w:w="5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200" w:type="dxa"/>
            <w:vAlign w:val="bottom"/>
            <w:tcBorders>
              <w:top w:val="single" w:sz="8" w:color="auto"/>
            </w:tcBorders>
            <w:shd w:val="clear" w:color="auto" w:fill="DBDBDB"/>
          </w:tcPr>
          <w:p>
            <w:pPr>
              <w:spacing w:after="0"/>
              <w:rPr>
                <w:sz w:val="17"/>
                <w:szCs w:val="17"/>
                <w:color w:val="auto"/>
              </w:rPr>
            </w:pPr>
          </w:p>
        </w:tc>
        <w:tc>
          <w:tcPr>
            <w:tcW w:w="8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760" w:type="dxa"/>
            <w:vAlign w:val="bottom"/>
            <w:tcBorders>
              <w:top w:val="single" w:sz="8" w:color="auto"/>
            </w:tcBorders>
            <w:shd w:val="clear" w:color="auto" w:fill="DBDBDB"/>
          </w:tcPr>
          <w:p>
            <w:pPr>
              <w:spacing w:after="0"/>
              <w:rPr>
                <w:sz w:val="17"/>
                <w:szCs w:val="17"/>
                <w:color w:val="auto"/>
              </w:rPr>
            </w:pPr>
          </w:p>
        </w:tc>
        <w:tc>
          <w:tcPr>
            <w:tcW w:w="80" w:type="dxa"/>
            <w:vAlign w:val="bottom"/>
            <w:tcBorders>
              <w:top w:val="single" w:sz="8" w:color="DBDBDB"/>
            </w:tcBorders>
            <w:shd w:val="clear" w:color="auto" w:fill="DBDBDB"/>
          </w:tcPr>
          <w:p>
            <w:pPr>
              <w:spacing w:after="0"/>
              <w:rPr>
                <w:sz w:val="17"/>
                <w:szCs w:val="17"/>
                <w:color w:val="auto"/>
              </w:rPr>
            </w:pPr>
          </w:p>
        </w:tc>
        <w:tc>
          <w:tcPr>
            <w:tcW w:w="80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DBDBDB"/>
          </w:tcPr>
          <w:p>
            <w:pPr>
              <w:ind w:left="20"/>
              <w:spacing w:after="0"/>
              <w:rPr>
                <w:sz w:val="20"/>
                <w:szCs w:val="20"/>
                <w:color w:val="auto"/>
              </w:rPr>
            </w:pPr>
            <w:r>
              <w:rPr>
                <w:rFonts w:ascii="Arial" w:cs="Arial" w:eastAsia="Arial" w:hAnsi="Arial"/>
                <w:sz w:val="16"/>
                <w:szCs w:val="16"/>
                <w:b w:val="1"/>
                <w:bCs w:val="1"/>
                <w:color w:val="auto"/>
              </w:rPr>
              <w:t>December 25,</w:t>
            </w:r>
          </w:p>
        </w:tc>
        <w:tc>
          <w:tcPr>
            <w:tcW w:w="6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tcBorders>
              <w:right w:val="single" w:sz="8" w:color="DBDBDB"/>
            </w:tcBorders>
            <w:shd w:val="clear" w:color="auto" w:fill="DBDBDB"/>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5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4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2022</w:t>
            </w:r>
          </w:p>
        </w:tc>
        <w:tc>
          <w:tcPr>
            <w:tcW w:w="80" w:type="dxa"/>
            <w:vAlign w:val="bottom"/>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4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4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000000"/>
          </w:tcPr>
          <w:p>
            <w:pPr>
              <w:spacing w:after="0"/>
              <w:rPr>
                <w:sz w:val="21"/>
                <w:szCs w:val="21"/>
                <w:color w:val="auto"/>
              </w:rPr>
            </w:pPr>
          </w:p>
        </w:tc>
        <w:tc>
          <w:tcPr>
            <w:tcW w:w="120" w:type="dxa"/>
            <w:vAlign w:val="bottom"/>
            <w:shd w:val="clear" w:color="auto" w:fill="DBDBDB"/>
          </w:tcPr>
          <w:p>
            <w:pPr>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DBDBDB"/>
          </w:tcPr>
          <w:p>
            <w:pPr>
              <w:ind w:left="460"/>
              <w:spacing w:after="0"/>
              <w:rPr>
                <w:sz w:val="20"/>
                <w:szCs w:val="20"/>
                <w:color w:val="auto"/>
              </w:rPr>
            </w:pPr>
            <w:r>
              <w:rPr>
                <w:rFonts w:ascii="Arial" w:cs="Arial" w:eastAsia="Arial" w:hAnsi="Arial"/>
                <w:sz w:val="16"/>
                <w:szCs w:val="16"/>
                <w:color w:val="auto"/>
              </w:rPr>
              <w:t>—</w:t>
            </w:r>
          </w:p>
        </w:tc>
        <w:tc>
          <w:tcPr>
            <w:tcW w:w="88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w w:val="99"/>
              </w:rPr>
              <w:t>48,420,723</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484</w:t>
            </w:r>
          </w:p>
        </w:tc>
        <w:tc>
          <w:tcPr>
            <w:tcW w:w="80" w:type="dxa"/>
            <w:vAlign w:val="bottom"/>
            <w:shd w:val="clear" w:color="auto" w:fill="DBDBDB"/>
          </w:tcPr>
          <w:p>
            <w:pPr>
              <w:spacing w:after="0"/>
              <w:rPr>
                <w:sz w:val="21"/>
                <w:szCs w:val="21"/>
                <w:color w:val="auto"/>
              </w:rPr>
            </w:pPr>
          </w:p>
        </w:tc>
        <w:tc>
          <w:tcPr>
            <w:tcW w:w="94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23,837,162</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3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260,664</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(4,812)</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176,565</w:t>
            </w:r>
          </w:p>
        </w:tc>
        <w:tc>
          <w:tcPr>
            <w:tcW w:w="80" w:type="dxa"/>
            <w:vAlign w:val="bottom"/>
            <w:shd w:val="clear" w:color="auto" w:fill="DBDBDB"/>
          </w:tcPr>
          <w:p>
            <w:pPr>
              <w:spacing w:after="0"/>
              <w:rPr>
                <w:sz w:val="21"/>
                <w:szCs w:val="2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8"/>
              </w:rPr>
              <w:t>$ 432,901</w:t>
            </w:r>
          </w:p>
        </w:tc>
        <w:tc>
          <w:tcPr>
            <w:tcW w:w="0" w:type="dxa"/>
            <w:vAlign w:val="bottom"/>
          </w:tcPr>
          <w:p>
            <w:pPr>
              <w:spacing w:after="0"/>
              <w:rPr>
                <w:sz w:val="1"/>
                <w:szCs w:val="1"/>
                <w:color w:val="auto"/>
              </w:rPr>
            </w:pPr>
          </w:p>
        </w:tc>
      </w:tr>
      <w:tr>
        <w:trPr>
          <w:trHeight w:val="20"/>
        </w:trPr>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PORTILLO'S INC.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 Ended</w:t>
            </w: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7"/>
        </w:trPr>
        <w:tc>
          <w:tcPr>
            <w:tcW w:w="6480" w:type="dxa"/>
            <w:vAlign w:val="bottom"/>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25, 2022</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26, 2021</w:t>
            </w: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27, 2020</w:t>
            </w:r>
          </w:p>
        </w:tc>
      </w:tr>
      <w:tr>
        <w:trPr>
          <w:trHeight w:val="227"/>
        </w:trPr>
        <w:tc>
          <w:tcPr>
            <w:tcW w:w="6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tcBorders>
              <w:top w:val="single" w:sz="8" w:color="auto"/>
            </w:tcBorders>
            <w:shd w:val="clear" w:color="auto" w:fill="DBDBDB"/>
          </w:tcPr>
          <w:p>
            <w:pPr>
              <w:spacing w:after="0"/>
              <w:rPr>
                <w:sz w:val="19"/>
                <w:szCs w:val="19"/>
                <w:color w:val="auto"/>
              </w:rPr>
            </w:pPr>
          </w:p>
        </w:tc>
        <w:tc>
          <w:tcPr>
            <w:tcW w:w="106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50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spacing w:after="0"/>
              <w:rPr>
                <w:sz w:val="19"/>
                <w:szCs w:val="19"/>
                <w:color w:val="auto"/>
              </w:rPr>
            </w:pPr>
          </w:p>
        </w:tc>
      </w:tr>
      <w:tr>
        <w:trPr>
          <w:trHeight w:val="235"/>
        </w:trPr>
        <w:tc>
          <w:tcPr>
            <w:tcW w:w="64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17,157</w:t>
            </w:r>
          </w:p>
        </w:tc>
        <w:tc>
          <w:tcPr>
            <w:tcW w:w="10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(13,416)</w:t>
            </w:r>
          </w:p>
        </w:tc>
        <w:tc>
          <w:tcPr>
            <w:tcW w:w="8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12,263</w:t>
            </w:r>
          </w:p>
        </w:tc>
      </w:tr>
      <w:tr>
        <w:trPr>
          <w:trHeight w:val="251"/>
        </w:trPr>
        <w:tc>
          <w:tcPr>
            <w:tcW w:w="6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spacing w:after="0"/>
              <w:rPr>
                <w:sz w:val="21"/>
                <w:szCs w:val="21"/>
                <w:color w:val="auto"/>
              </w:rPr>
            </w:pPr>
          </w:p>
        </w:tc>
      </w:tr>
      <w:tr>
        <w:trPr>
          <w:trHeight w:val="235"/>
        </w:trPr>
        <w:tc>
          <w:tcPr>
            <w:tcW w:w="64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20,907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23,312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24,584</w:t>
            </w: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debt issuance costs and discount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2,751</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3,607</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3,863</w:t>
            </w:r>
          </w:p>
        </w:tc>
      </w:tr>
      <w:tr>
        <w:trPr>
          <w:trHeight w:val="235"/>
        </w:trPr>
        <w:tc>
          <w:tcPr>
            <w:tcW w:w="6480" w:type="dxa"/>
            <w:vAlign w:val="bottom"/>
          </w:tcPr>
          <w:p>
            <w:pPr>
              <w:ind w:left="360"/>
              <w:spacing w:after="0"/>
              <w:rPr>
                <w:sz w:val="20"/>
                <w:szCs w:val="20"/>
                <w:color w:val="auto"/>
              </w:rPr>
            </w:pPr>
            <w:r>
              <w:rPr>
                <w:rFonts w:ascii="Arial" w:cs="Arial" w:eastAsia="Arial" w:hAnsi="Arial"/>
                <w:sz w:val="16"/>
                <w:szCs w:val="16"/>
                <w:color w:val="auto"/>
              </w:rPr>
              <w:t>Loss on sales of assets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Equity-based compensation</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16,137</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29,389</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960</w:t>
            </w:r>
          </w:p>
        </w:tc>
      </w:tr>
      <w:tr>
        <w:trPr>
          <w:trHeight w:val="235"/>
        </w:trPr>
        <w:tc>
          <w:tcPr>
            <w:tcW w:w="6480" w:type="dxa"/>
            <w:vAlign w:val="bottom"/>
          </w:tcPr>
          <w:p>
            <w:pPr>
              <w:ind w:left="360"/>
              <w:spacing w:after="0"/>
              <w:rPr>
                <w:sz w:val="20"/>
                <w:szCs w:val="20"/>
                <w:color w:val="auto"/>
              </w:rPr>
            </w:pPr>
            <w:r>
              <w:rPr>
                <w:rFonts w:ascii="Arial" w:cs="Arial" w:eastAsia="Arial" w:hAnsi="Arial"/>
                <w:sz w:val="16"/>
                <w:szCs w:val="16"/>
                <w:color w:val="auto"/>
              </w:rPr>
              <w:t>Deferred rent and tenant allowance</w:t>
            </w:r>
          </w:p>
        </w:tc>
        <w:tc>
          <w:tcPr>
            <w:tcW w:w="4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4,120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3,888</w:t>
            </w: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income tax provision (benefit)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(3,532)</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480" w:type="dxa"/>
            <w:vAlign w:val="bottom"/>
          </w:tcPr>
          <w:p>
            <w:pPr>
              <w:ind w:left="360"/>
              <w:spacing w:after="0"/>
              <w:rPr>
                <w:sz w:val="20"/>
                <w:szCs w:val="20"/>
                <w:color w:val="auto"/>
              </w:rPr>
            </w:pPr>
            <w:r>
              <w:rPr>
                <w:rFonts w:ascii="Arial" w:cs="Arial" w:eastAsia="Arial" w:hAnsi="Arial"/>
                <w:sz w:val="16"/>
                <w:szCs w:val="16"/>
                <w:color w:val="auto"/>
              </w:rPr>
              <w:t>Tax Receivable Agreement liability adjustment</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(5,345)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Amortization of deferred lease incentives</w:t>
            </w:r>
          </w:p>
        </w:tc>
        <w:tc>
          <w:tcPr>
            <w:tcW w:w="460" w:type="dxa"/>
            <w:vAlign w:val="bottom"/>
            <w:shd w:val="clear" w:color="auto" w:fill="DBDBDB"/>
          </w:tcPr>
          <w:p>
            <w:pPr>
              <w:spacing w:after="0"/>
              <w:rPr>
                <w:sz w:val="21"/>
                <w:szCs w:val="21"/>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(388)</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(330)</w:t>
            </w:r>
          </w:p>
        </w:tc>
      </w:tr>
      <w:tr>
        <w:trPr>
          <w:trHeight w:val="235"/>
        </w:trPr>
        <w:tc>
          <w:tcPr>
            <w:tcW w:w="6480" w:type="dxa"/>
            <w:vAlign w:val="bottom"/>
          </w:tcPr>
          <w:p>
            <w:pPr>
              <w:ind w:left="360"/>
              <w:spacing w:after="0"/>
              <w:rPr>
                <w:sz w:val="20"/>
                <w:szCs w:val="20"/>
                <w:color w:val="auto"/>
              </w:rPr>
            </w:pPr>
            <w:r>
              <w:rPr>
                <w:rFonts w:ascii="Arial" w:cs="Arial" w:eastAsia="Arial" w:hAnsi="Arial"/>
                <w:sz w:val="16"/>
                <w:szCs w:val="16"/>
                <w:color w:val="auto"/>
              </w:rPr>
              <w:t>Gift card breakage</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Loss on debt extinguishment</w:t>
            </w:r>
          </w:p>
        </w:tc>
        <w:tc>
          <w:tcPr>
            <w:tcW w:w="460" w:type="dxa"/>
            <w:vAlign w:val="bottom"/>
            <w:shd w:val="clear" w:color="auto" w:fill="DBDBDB"/>
          </w:tcPr>
          <w:p>
            <w:pPr>
              <w:spacing w:after="0"/>
              <w:rPr>
                <w:sz w:val="21"/>
                <w:szCs w:val="21"/>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7,265</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48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Accounts receivables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(777)</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(753)</w:t>
            </w:r>
          </w:p>
        </w:tc>
      </w:tr>
      <w:tr>
        <w:trPr>
          <w:trHeight w:val="235"/>
        </w:trPr>
        <w:tc>
          <w:tcPr>
            <w:tcW w:w="6480" w:type="dxa"/>
            <w:vAlign w:val="bottom"/>
          </w:tcPr>
          <w:p>
            <w:pPr>
              <w:ind w:left="360"/>
              <w:spacing w:after="0"/>
              <w:rPr>
                <w:sz w:val="20"/>
                <w:szCs w:val="20"/>
                <w:color w:val="auto"/>
              </w:rPr>
            </w:pPr>
            <w:r>
              <w:rPr>
                <w:rFonts w:ascii="Arial" w:cs="Arial" w:eastAsia="Arial" w:hAnsi="Arial"/>
                <w:sz w:val="16"/>
                <w:szCs w:val="16"/>
                <w:color w:val="auto"/>
              </w:rPr>
              <w:t>Receivables from related parties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Inventory</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(1,003)</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(1,180)</w:t>
            </w:r>
          </w:p>
        </w:tc>
      </w:tr>
      <w:tr>
        <w:trPr>
          <w:trHeight w:val="235"/>
        </w:trPr>
        <w:tc>
          <w:tcPr>
            <w:tcW w:w="6480" w:type="dxa"/>
            <w:vAlign w:val="bottom"/>
          </w:tcPr>
          <w:p>
            <w:pPr>
              <w:ind w:left="360"/>
              <w:spacing w:after="0"/>
              <w:rPr>
                <w:sz w:val="20"/>
                <w:szCs w:val="20"/>
                <w:color w:val="auto"/>
              </w:rPr>
            </w:pPr>
            <w:r>
              <w:rPr>
                <w:rFonts w:ascii="Arial" w:cs="Arial" w:eastAsia="Arial" w:hAnsi="Arial"/>
                <w:sz w:val="16"/>
                <w:szCs w:val="16"/>
                <w:color w:val="auto"/>
              </w:rPr>
              <w:t>Other current assets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Operating lease assets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6,793</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4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1,788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1,354</w:t>
            </w: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Accrued expenses and other liabilities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1,587</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(4,521)</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6,573</w:t>
            </w:r>
          </w:p>
        </w:tc>
      </w:tr>
      <w:tr>
        <w:trPr>
          <w:trHeight w:val="235"/>
        </w:trPr>
        <w:tc>
          <w:tcPr>
            <w:tcW w:w="6480" w:type="dxa"/>
            <w:vAlign w:val="bottom"/>
          </w:tcPr>
          <w:p>
            <w:pPr>
              <w:ind w:left="360"/>
              <w:spacing w:after="0"/>
              <w:rPr>
                <w:sz w:val="20"/>
                <w:szCs w:val="20"/>
                <w:color w:val="auto"/>
              </w:rPr>
            </w:pPr>
            <w:r>
              <w:rPr>
                <w:rFonts w:ascii="Arial" w:cs="Arial" w:eastAsia="Arial" w:hAnsi="Arial"/>
                <w:sz w:val="16"/>
                <w:szCs w:val="16"/>
                <w:color w:val="auto"/>
              </w:rPr>
              <w:t>Operating lease liabilities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480" w:type="dxa"/>
            <w:vAlign w:val="bottom"/>
            <w:shd w:val="clear" w:color="auto" w:fill="DBDBDB"/>
          </w:tcPr>
          <w:p>
            <w:pPr>
              <w:ind w:left="360"/>
              <w:spacing w:after="0"/>
              <w:rPr>
                <w:sz w:val="20"/>
                <w:szCs w:val="20"/>
                <w:color w:val="auto"/>
              </w:rPr>
            </w:pPr>
            <w:r>
              <w:rPr>
                <w:rFonts w:ascii="Arial" w:cs="Arial" w:eastAsia="Arial" w:hAnsi="Arial"/>
                <w:sz w:val="16"/>
                <w:szCs w:val="16"/>
                <w:color w:val="auto"/>
              </w:rPr>
              <w:t>Deferred lease incentives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1,651</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690</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2,314</w:t>
            </w:r>
          </w:p>
        </w:tc>
      </w:tr>
      <w:tr>
        <w:trPr>
          <w:trHeight w:val="237"/>
        </w:trPr>
        <w:tc>
          <w:tcPr>
            <w:tcW w:w="6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Other assets and liabilities</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5,473</w:t>
            </w:r>
          </w:p>
        </w:tc>
      </w:tr>
      <w:tr>
        <w:trPr>
          <w:trHeight w:val="239"/>
        </w:trPr>
        <w:tc>
          <w:tcPr>
            <w:tcW w:w="64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PROVIDED BY OPERATING ACTIVITIES</w:t>
            </w:r>
          </w:p>
        </w:tc>
        <w:tc>
          <w:tcPr>
            <w:tcW w:w="460" w:type="dxa"/>
            <w:vAlign w:val="bottom"/>
            <w:tcBorders>
              <w:bottom w:val="single" w:sz="8" w:color="auto"/>
            </w:tcBorders>
            <w:shd w:val="clear" w:color="auto" w:fill="DBDBDB"/>
          </w:tcPr>
          <w:p>
            <w:pPr>
              <w:spacing w:after="0"/>
              <w:rPr>
                <w:sz w:val="20"/>
                <w:szCs w:val="20"/>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56,889</w:t>
            </w:r>
          </w:p>
        </w:tc>
        <w:tc>
          <w:tcPr>
            <w:tcW w:w="10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42,874</w:t>
            </w:r>
          </w:p>
        </w:tc>
        <w:tc>
          <w:tcPr>
            <w:tcW w:w="80" w:type="dxa"/>
            <w:vAlign w:val="bottom"/>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spacing w:after="0"/>
              <w:rPr>
                <w:sz w:val="20"/>
                <w:szCs w:val="20"/>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58,271</w:t>
            </w:r>
          </w:p>
        </w:tc>
      </w:tr>
      <w:tr>
        <w:trPr>
          <w:trHeight w:val="237"/>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7"/>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Purchase of property and equipment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(47,061)</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(36,183)</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(21,452)</w:t>
            </w:r>
          </w:p>
        </w:tc>
      </w:tr>
      <w:tr>
        <w:trPr>
          <w:trHeight w:val="235"/>
        </w:trPr>
        <w:tc>
          <w:tcPr>
            <w:tcW w:w="6480" w:type="dxa"/>
            <w:vAlign w:val="bottom"/>
          </w:tcPr>
          <w:p>
            <w:pPr>
              <w:ind w:left="220"/>
              <w:spacing w:after="0"/>
              <w:rPr>
                <w:sz w:val="20"/>
                <w:szCs w:val="20"/>
                <w:color w:val="auto"/>
              </w:rPr>
            </w:pPr>
            <w:r>
              <w:rPr>
                <w:rFonts w:ascii="Arial" w:cs="Arial" w:eastAsia="Arial" w:hAnsi="Arial"/>
                <w:sz w:val="16"/>
                <w:szCs w:val="16"/>
                <w:color w:val="auto"/>
              </w:rPr>
              <w:t>Purchase of investment securities</w:t>
            </w:r>
          </w:p>
        </w:tc>
        <w:tc>
          <w:tcPr>
            <w:tcW w:w="4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48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6"/>
                <w:szCs w:val="16"/>
                <w:color w:val="auto"/>
              </w:rPr>
              <w:t>Proceeds from the sale of property and equipment</w:t>
            </w:r>
          </w:p>
        </w:tc>
        <w:tc>
          <w:tcPr>
            <w:tcW w:w="460" w:type="dxa"/>
            <w:vAlign w:val="bottom"/>
            <w:tcBorders>
              <w:bottom w:val="single" w:sz="8" w:color="auto"/>
            </w:tcBorders>
            <w:shd w:val="clear" w:color="auto" w:fill="DBDBDB"/>
          </w:tcPr>
          <w:p>
            <w:pPr>
              <w:spacing w:after="0"/>
              <w:rPr>
                <w:sz w:val="21"/>
                <w:szCs w:val="21"/>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auto"/>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DBDBDB"/>
          </w:tcPr>
          <w:p>
            <w:pPr>
              <w:spacing w:after="0"/>
              <w:rPr>
                <w:sz w:val="21"/>
                <w:szCs w:val="21"/>
                <w:color w:val="auto"/>
              </w:rPr>
            </w:pPr>
          </w:p>
        </w:tc>
        <w:tc>
          <w:tcPr>
            <w:tcW w:w="500" w:type="dxa"/>
            <w:vAlign w:val="bottom"/>
            <w:tcBorders>
              <w:bottom w:val="single" w:sz="8" w:color="auto"/>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w:t>
            </w:r>
          </w:p>
        </w:tc>
      </w:tr>
      <w:tr>
        <w:trPr>
          <w:trHeight w:val="239"/>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NET CASH USED IN INVESTING ACTIVITIES</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(47,017)</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(36,260)</w:t>
            </w:r>
          </w:p>
        </w:tc>
        <w:tc>
          <w:tcPr>
            <w:tcW w:w="8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(21,420)</w:t>
            </w:r>
          </w:p>
        </w:tc>
      </w:tr>
      <w:tr>
        <w:trPr>
          <w:trHeight w:val="240"/>
        </w:trPr>
        <w:tc>
          <w:tcPr>
            <w:tcW w:w="6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DBDBDB"/>
          </w:tcPr>
          <w:p>
            <w:pPr>
              <w:spacing w:after="0"/>
              <w:rPr>
                <w:sz w:val="20"/>
                <w:szCs w:val="20"/>
                <w:color w:val="auto"/>
              </w:rPr>
            </w:pPr>
          </w:p>
        </w:tc>
        <w:tc>
          <w:tcPr>
            <w:tcW w:w="10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6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5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r>
      <w:tr>
        <w:trPr>
          <w:trHeight w:val="235"/>
        </w:trPr>
        <w:tc>
          <w:tcPr>
            <w:tcW w:w="6480" w:type="dxa"/>
            <w:vAlign w:val="bottom"/>
          </w:tcPr>
          <w:p>
            <w:pPr>
              <w:ind w:left="220"/>
              <w:spacing w:after="0"/>
              <w:rPr>
                <w:sz w:val="20"/>
                <w:szCs w:val="20"/>
                <w:color w:val="auto"/>
              </w:rPr>
            </w:pPr>
            <w:r>
              <w:rPr>
                <w:rFonts w:ascii="Arial" w:cs="Arial" w:eastAsia="Arial" w:hAnsi="Arial"/>
                <w:sz w:val="16"/>
                <w:szCs w:val="16"/>
                <w:color w:val="auto"/>
              </w:rPr>
              <w:t>Repayments of short-term debt</w:t>
            </w:r>
          </w:p>
        </w:tc>
        <w:tc>
          <w:tcPr>
            <w:tcW w:w="4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51"/>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Payments of long-term debt</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(3,324)</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(158,324)</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(13,324)</w:t>
            </w:r>
          </w:p>
        </w:tc>
      </w:tr>
      <w:tr>
        <w:trPr>
          <w:trHeight w:val="235"/>
        </w:trPr>
        <w:tc>
          <w:tcPr>
            <w:tcW w:w="6480" w:type="dxa"/>
            <w:vAlign w:val="bottom"/>
          </w:tcPr>
          <w:p>
            <w:pPr>
              <w:ind w:left="220"/>
              <w:spacing w:after="0"/>
              <w:rPr>
                <w:sz w:val="20"/>
                <w:szCs w:val="20"/>
                <w:color w:val="auto"/>
              </w:rPr>
            </w:pPr>
            <w:r>
              <w:rPr>
                <w:rFonts w:ascii="Arial" w:cs="Arial" w:eastAsia="Arial" w:hAnsi="Arial"/>
                <w:sz w:val="16"/>
                <w:szCs w:val="16"/>
                <w:color w:val="auto"/>
              </w:rPr>
              <w:t>Proceeds from Paycheck Protection Program loan</w:t>
            </w:r>
          </w:p>
        </w:tc>
        <w:tc>
          <w:tcPr>
            <w:tcW w:w="4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51"/>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long-term debt prepayment penalty</w:t>
            </w:r>
          </w:p>
        </w:tc>
        <w:tc>
          <w:tcPr>
            <w:tcW w:w="460" w:type="dxa"/>
            <w:vAlign w:val="bottom"/>
            <w:shd w:val="clear" w:color="auto" w:fill="DBDBDB"/>
          </w:tcPr>
          <w:p>
            <w:pPr>
              <w:spacing w:after="0"/>
              <w:rPr>
                <w:sz w:val="21"/>
                <w:szCs w:val="21"/>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(3,100)</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480" w:type="dxa"/>
            <w:vAlign w:val="bottom"/>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364,956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437,078</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Repurchase of outstanding equity / Portillo's OpCo units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(364,956)</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(57,010)</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480" w:type="dxa"/>
            <w:vAlign w:val="bottom"/>
          </w:tcPr>
          <w:p>
            <w:pPr>
              <w:ind w:left="220"/>
              <w:spacing w:after="0"/>
              <w:rPr>
                <w:sz w:val="20"/>
                <w:szCs w:val="20"/>
                <w:color w:val="auto"/>
              </w:rPr>
            </w:pPr>
            <w:r>
              <w:rPr>
                <w:rFonts w:ascii="Arial" w:cs="Arial" w:eastAsia="Arial" w:hAnsi="Arial"/>
                <w:sz w:val="16"/>
                <w:szCs w:val="16"/>
                <w:color w:val="auto"/>
              </w:rPr>
              <w:t>Payment of preferred units and preferred units liquidation</w:t>
            </w:r>
          </w:p>
        </w:tc>
        <w:tc>
          <w:tcPr>
            <w:tcW w:w="46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(221,747)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Payment of initial public offering issuance costs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(6,279)</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480" w:type="dxa"/>
            <w:vAlign w:val="bottom"/>
          </w:tcPr>
          <w:p>
            <w:pPr>
              <w:ind w:left="220"/>
              <w:spacing w:after="0"/>
              <w:rPr>
                <w:sz w:val="20"/>
                <w:szCs w:val="20"/>
                <w:color w:val="auto"/>
              </w:rPr>
            </w:pPr>
            <w:r>
              <w:rPr>
                <w:rFonts w:ascii="Arial" w:cs="Arial" w:eastAsia="Arial" w:hAnsi="Arial"/>
                <w:sz w:val="16"/>
                <w:szCs w:val="16"/>
                <w:color w:val="auto"/>
              </w:rPr>
              <w:t>Proceeds from stock option exercises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Employee withholding taxes related to net settled equity awards</w:t>
            </w:r>
          </w:p>
        </w:tc>
        <w:tc>
          <w:tcPr>
            <w:tcW w:w="4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(2,632)</w:t>
            </w:r>
          </w:p>
        </w:tc>
        <w:tc>
          <w:tcPr>
            <w:tcW w:w="100" w:type="dxa"/>
            <w:vAlign w:val="bottom"/>
            <w:shd w:val="clear" w:color="auto" w:fill="DBDBDB"/>
          </w:tcPr>
          <w:p>
            <w:pPr>
              <w:spacing w:after="0"/>
              <w:rPr>
                <w:sz w:val="21"/>
                <w:szCs w:val="21"/>
                <w:color w:val="auto"/>
              </w:rPr>
            </w:pPr>
          </w:p>
        </w:tc>
        <w:tc>
          <w:tcPr>
            <w:tcW w:w="460" w:type="dxa"/>
            <w:vAlign w:val="bottom"/>
            <w:shd w:val="clear" w:color="auto" w:fill="DBDBDB"/>
          </w:tcPr>
          <w:p>
            <w:pPr>
              <w:spacing w:after="0"/>
              <w:rPr>
                <w:sz w:val="21"/>
                <w:szCs w:val="21"/>
                <w:color w:val="auto"/>
              </w:rPr>
            </w:pPr>
          </w:p>
        </w:tc>
        <w:tc>
          <w:tcPr>
            <w:tcW w:w="11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480" w:type="dxa"/>
            <w:vAlign w:val="bottom"/>
          </w:tcPr>
          <w:p>
            <w:pPr>
              <w:ind w:left="220"/>
              <w:spacing w:after="0"/>
              <w:rPr>
                <w:sz w:val="20"/>
                <w:szCs w:val="20"/>
                <w:color w:val="auto"/>
              </w:rPr>
            </w:pPr>
            <w:r>
              <w:rPr>
                <w:rFonts w:ascii="Arial" w:cs="Arial" w:eastAsia="Arial" w:hAnsi="Arial"/>
                <w:sz w:val="16"/>
                <w:szCs w:val="16"/>
                <w:color w:val="auto"/>
              </w:rPr>
              <w:t>Proceeds from Employee Stock Purchase Plan purchases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648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Proceeds from issuance of common units</w:t>
            </w:r>
          </w:p>
        </w:tc>
        <w:tc>
          <w:tcPr>
            <w:tcW w:w="460" w:type="dxa"/>
            <w:vAlign w:val="bottom"/>
            <w:shd w:val="clear" w:color="auto" w:fill="DBDBDB"/>
          </w:tcPr>
          <w:p>
            <w:pPr>
              <w:spacing w:after="0"/>
              <w:rPr>
                <w:sz w:val="21"/>
                <w:szCs w:val="21"/>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w:t>
            </w:r>
          </w:p>
        </w:tc>
      </w:tr>
      <w:tr>
        <w:trPr>
          <w:trHeight w:val="236"/>
        </w:trPr>
        <w:tc>
          <w:tcPr>
            <w:tcW w:w="64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Repayment of stock subscription receivable</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w:t>
            </w:r>
          </w:p>
        </w:tc>
        <w:tc>
          <w:tcPr>
            <w:tcW w:w="80" w:type="dxa"/>
            <w:vAlign w:val="bottom"/>
            <w:tcBorders>
              <w:bottom w:val="single" w:sz="8" w:color="DBDBDB"/>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39"/>
        </w:trPr>
        <w:tc>
          <w:tcPr>
            <w:tcW w:w="64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6"/>
                <w:szCs w:val="16"/>
                <w:b w:val="1"/>
                <w:bCs w:val="1"/>
                <w:color w:val="auto"/>
              </w:rPr>
              <w:t>NET CASH USED IN FINANCING ACTIVITIES</w:t>
            </w:r>
          </w:p>
        </w:tc>
        <w:tc>
          <w:tcPr>
            <w:tcW w:w="460" w:type="dxa"/>
            <w:vAlign w:val="bottom"/>
            <w:tcBorders>
              <w:bottom w:val="single" w:sz="8" w:color="auto"/>
            </w:tcBorders>
            <w:shd w:val="clear" w:color="auto" w:fill="DBDBDB"/>
          </w:tcPr>
          <w:p>
            <w:pPr>
              <w:spacing w:after="0"/>
              <w:rPr>
                <w:sz w:val="20"/>
                <w:szCs w:val="20"/>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(4,708)</w:t>
            </w:r>
          </w:p>
        </w:tc>
        <w:tc>
          <w:tcPr>
            <w:tcW w:w="10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(8,783)</w:t>
            </w:r>
          </w:p>
        </w:tc>
        <w:tc>
          <w:tcPr>
            <w:tcW w:w="80" w:type="dxa"/>
            <w:vAlign w:val="bottom"/>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spacing w:after="0"/>
              <w:rPr>
                <w:sz w:val="20"/>
                <w:szCs w:val="20"/>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(18,048)</w:t>
            </w:r>
          </w:p>
        </w:tc>
      </w:tr>
      <w:tr>
        <w:trPr>
          <w:trHeight w:val="199"/>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 AND</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RESTRICTED CASH</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5,164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(2,169)</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18,803</w:t>
            </w:r>
          </w:p>
        </w:tc>
      </w:tr>
      <w:tr>
        <w:trPr>
          <w:trHeight w:val="210"/>
        </w:trPr>
        <w:tc>
          <w:tcPr>
            <w:tcW w:w="6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BEGINNING OF THE</w:t>
            </w:r>
          </w:p>
        </w:tc>
        <w:tc>
          <w:tcPr>
            <w:tcW w:w="46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r>
      <w:tr>
        <w:trPr>
          <w:trHeight w:val="237"/>
        </w:trPr>
        <w:tc>
          <w:tcPr>
            <w:tcW w:w="64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PERIOD</w:t>
            </w:r>
          </w:p>
        </w:tc>
        <w:tc>
          <w:tcPr>
            <w:tcW w:w="460" w:type="dxa"/>
            <w:vAlign w:val="bottom"/>
            <w:tcBorders>
              <w:bottom w:val="single" w:sz="8" w:color="auto"/>
            </w:tcBorders>
            <w:shd w:val="clear" w:color="auto" w:fill="DBDBDB"/>
          </w:tcPr>
          <w:p>
            <w:pPr>
              <w:spacing w:after="0"/>
              <w:rPr>
                <w:sz w:val="20"/>
                <w:szCs w:val="20"/>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39,263</w:t>
            </w:r>
          </w:p>
        </w:tc>
        <w:tc>
          <w:tcPr>
            <w:tcW w:w="100" w:type="dxa"/>
            <w:vAlign w:val="bottom"/>
            <w:tcBorders>
              <w:bottom w:val="single" w:sz="8" w:color="auto"/>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spacing w:after="0"/>
              <w:rPr>
                <w:sz w:val="20"/>
                <w:szCs w:val="20"/>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41,432</w:t>
            </w:r>
          </w:p>
        </w:tc>
        <w:tc>
          <w:tcPr>
            <w:tcW w:w="80" w:type="dxa"/>
            <w:vAlign w:val="bottom"/>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spacing w:after="0"/>
              <w:rPr>
                <w:sz w:val="20"/>
                <w:szCs w:val="20"/>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22,629</w:t>
            </w:r>
          </w:p>
        </w:tc>
      </w:tr>
      <w:tr>
        <w:trPr>
          <w:trHeight w:val="202"/>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THE</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44,427</w:t>
            </w: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39,263</w:t>
            </w:r>
          </w:p>
        </w:tc>
        <w:tc>
          <w:tcPr>
            <w:tcW w:w="80" w:type="dxa"/>
            <w:vAlign w:val="bottom"/>
          </w:tcPr>
          <w:p>
            <w:pPr>
              <w:spacing w:after="0"/>
              <w:rPr>
                <w:sz w:val="20"/>
                <w:szCs w:val="20"/>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41,432</w:t>
            </w:r>
          </w:p>
        </w:tc>
      </w:tr>
      <w:tr>
        <w:trPr>
          <w:trHeight w:val="27"/>
        </w:trPr>
        <w:tc>
          <w:tcPr>
            <w:tcW w:w="6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116" w:right="339" w:bottom="1018" w:gutter="0" w:footer="0" w:header="0"/>
        </w:sectPr>
      </w:pPr>
    </w:p>
    <w:p>
      <w:pPr>
        <w:spacing w:after="0" w:line="200" w:lineRule="exact"/>
        <w:rPr>
          <w:sz w:val="20"/>
          <w:szCs w:val="20"/>
          <w:color w:val="auto"/>
        </w:rPr>
      </w:pPr>
    </w:p>
    <w:p>
      <w:pPr>
        <w:spacing w:after="0" w:line="34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018" w:gutter="0" w:footer="0" w:header="0"/>
          <w:type w:val="continuous"/>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PORTILLO'S INC.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Fiscal Years Ended</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4"/>
        </w:trPr>
        <w:tc>
          <w:tcPr>
            <w:tcW w:w="6480" w:type="dxa"/>
            <w:vAlign w:val="bottom"/>
          </w:tcPr>
          <w:p>
            <w:pPr>
              <w:spacing w:after="0"/>
              <w:rPr>
                <w:sz w:val="21"/>
                <w:szCs w:val="21"/>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December 25, 2022</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December 26, 2021</w:t>
            </w: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27, 2020</w:t>
            </w:r>
          </w:p>
        </w:tc>
      </w:tr>
      <w:tr>
        <w:trPr>
          <w:trHeight w:val="226"/>
        </w:trPr>
        <w:tc>
          <w:tcPr>
            <w:tcW w:w="648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4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47"/>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Interest paid</w:t>
            </w:r>
          </w:p>
        </w:tc>
        <w:tc>
          <w:tcPr>
            <w:tcW w:w="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23,968</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43,544</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34,294</w:t>
            </w:r>
          </w:p>
        </w:tc>
      </w:tr>
      <w:tr>
        <w:trPr>
          <w:trHeight w:val="262"/>
        </w:trPr>
        <w:tc>
          <w:tcPr>
            <w:tcW w:w="6480" w:type="dxa"/>
            <w:vAlign w:val="bottom"/>
          </w:tcPr>
          <w:p>
            <w:pPr>
              <w:ind w:left="140"/>
              <w:spacing w:after="0"/>
              <w:rPr>
                <w:sz w:val="20"/>
                <w:szCs w:val="20"/>
                <w:color w:val="auto"/>
              </w:rPr>
            </w:pPr>
            <w:r>
              <w:rPr>
                <w:rFonts w:ascii="Arial" w:cs="Arial" w:eastAsia="Arial" w:hAnsi="Arial"/>
                <w:sz w:val="16"/>
                <w:szCs w:val="16"/>
                <w:color w:val="auto"/>
              </w:rPr>
              <w:t>Income tax paid</w:t>
            </w:r>
          </w:p>
        </w:tc>
        <w:tc>
          <w:tcPr>
            <w:tcW w:w="4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648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48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r>
      <w:tr>
        <w:trPr>
          <w:trHeight w:val="235"/>
        </w:trPr>
        <w:tc>
          <w:tcPr>
            <w:tcW w:w="648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9,796</w:t>
            </w:r>
          </w:p>
        </w:tc>
        <w:tc>
          <w:tcPr>
            <w:tcW w:w="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2,195</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5,008</w:t>
            </w:r>
          </w:p>
        </w:tc>
      </w:tr>
      <w:tr>
        <w:trPr>
          <w:trHeight w:val="251"/>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Redeemable preferred units accretion</w:t>
            </w:r>
          </w:p>
        </w:tc>
        <w:tc>
          <w:tcPr>
            <w:tcW w:w="480" w:type="dxa"/>
            <w:vAlign w:val="bottom"/>
            <w:shd w:val="clear" w:color="auto" w:fill="DBDBDB"/>
          </w:tcPr>
          <w:p>
            <w:pPr>
              <w:spacing w:after="0"/>
              <w:rPr>
                <w:sz w:val="21"/>
                <w:szCs w:val="21"/>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BDBDB"/>
          </w:tcPr>
          <w:p>
            <w:pPr>
              <w:spacing w:after="0"/>
              <w:rPr>
                <w:sz w:val="21"/>
                <w:szCs w:val="21"/>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(21,176)</w:t>
            </w:r>
          </w:p>
        </w:tc>
        <w:tc>
          <w:tcPr>
            <w:tcW w:w="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(20,524)</w:t>
            </w:r>
          </w:p>
        </w:tc>
      </w:tr>
      <w:tr>
        <w:trPr>
          <w:trHeight w:val="262"/>
        </w:trPr>
        <w:tc>
          <w:tcPr>
            <w:tcW w:w="6480" w:type="dxa"/>
            <w:vAlign w:val="bottom"/>
          </w:tcPr>
          <w:p>
            <w:pPr>
              <w:ind w:left="140"/>
              <w:spacing w:after="0"/>
              <w:rPr>
                <w:sz w:val="20"/>
                <w:szCs w:val="20"/>
                <w:color w:val="auto"/>
              </w:rPr>
            </w:pPr>
            <w:r>
              <w:rPr>
                <w:rFonts w:ascii="Arial" w:cs="Arial" w:eastAsia="Arial" w:hAnsi="Arial"/>
                <w:sz w:val="16"/>
                <w:szCs w:val="16"/>
                <w:color w:val="auto"/>
              </w:rPr>
              <w:t>Deferred offering costs in accounts payable</w:t>
            </w:r>
          </w:p>
        </w:tc>
        <w:tc>
          <w:tcPr>
            <w:tcW w:w="4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648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w:t>
            </w:r>
          </w:p>
        </w:tc>
        <w:tc>
          <w:tcPr>
            <w:tcW w:w="480" w:type="dxa"/>
            <w:vAlign w:val="bottom"/>
            <w:shd w:val="clear" w:color="auto" w:fill="DBDBDB"/>
          </w:tcPr>
          <w:p>
            <w:pPr>
              <w:spacing w:after="0"/>
              <w:rPr>
                <w:sz w:val="24"/>
                <w:szCs w:val="2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101,524</w:t>
            </w:r>
          </w:p>
        </w:tc>
        <w:tc>
          <w:tcPr>
            <w:tcW w:w="100" w:type="dxa"/>
            <w:vAlign w:val="bottom"/>
            <w:shd w:val="clear" w:color="auto" w:fill="DBDBDB"/>
          </w:tcPr>
          <w:p>
            <w:pPr>
              <w:spacing w:after="0"/>
              <w:rPr>
                <w:sz w:val="24"/>
                <w:szCs w:val="24"/>
                <w:color w:val="auto"/>
              </w:rPr>
            </w:pPr>
          </w:p>
        </w:tc>
        <w:tc>
          <w:tcPr>
            <w:tcW w:w="340" w:type="dxa"/>
            <w:vAlign w:val="bottom"/>
            <w:shd w:val="clear" w:color="auto" w:fill="DBDBDB"/>
          </w:tcPr>
          <w:p>
            <w:pPr>
              <w:spacing w:after="0"/>
              <w:rPr>
                <w:sz w:val="24"/>
                <w:szCs w:val="24"/>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156,638</w:t>
            </w:r>
          </w:p>
        </w:tc>
        <w:tc>
          <w:tcPr>
            <w:tcW w:w="8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538"/>
        </w:trPr>
        <w:tc>
          <w:tcPr>
            <w:tcW w:w="64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41"/>
        </w:trPr>
        <w:tc>
          <w:tcPr>
            <w:tcW w:w="6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Portillo's Inc.</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Form 10-K | 57</w:t>
            </w:r>
          </w:p>
        </w:tc>
      </w:tr>
      <w:tr>
        <w:trPr>
          <w:trHeight w:val="111"/>
        </w:trPr>
        <w:tc>
          <w:tcPr>
            <w:tcW w:w="64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-316865</wp:posOffset>
            </wp:positionV>
            <wp:extent cx="17145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1450" cy="16319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Portillo’s Inc. (the "Company") was formed and incorporated as a Delaware corporation on June 8, 2021. The Company was formed for the purpose of completing an initial public offering ("IPO")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as sole managing member, the Company operates and controls all of the business and affairs of Portillo's OpCo. As a result, the Company consolidates the financial results of Portillo's OpCo and reports a non-controlling interest representing the economic interest in Portillo's OpCo held by the other members of Portillo's OpCo (the "pre-IPO LLC Members"). Unless the context otherwise requires, references to "we," "us," "our," "Portillo's," and the "Company" refer to Portillo's Inc. and its subsidiaries, including Portillo's OpCo.</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operate fast-casual restaurants in Illinois, Indiana, California, Arizona, Florida, Wisconsin, Minnesota, Iowa and Michigan, along with two food production commissaries in Illinois. As of December 25, 2022 and December 26, 2021, the Company had 71 and 68 restaurants in operation, respectively, excluding a restaurant owned by C&amp;O Chicago, LLC ("C&amp;O"). The Company also had two and three non-traditional locations in operation as of December 25, 2022 and December 26, 2021, respectively. These non-traditional locations include a food truck and a ghost kitchen (small kitchen with no store-front presence, used to fill online orders). Portillo's Inc., additionally has a 50% interest in a single restaurant owned by C&amp;O, that is referred to in Note 2. Summary Of Significant Accounting Policies. There were no restaurant closings during any period presented in the financial statements. The Company’s principal corporate offices are located in Oak Brook, Illinois.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6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registration statement on Form S-1, as amended (Registration No. 333-259810), related to its IPO was declared effective October 20, 2021, and the Company's Class A common stock began trading on the Nasdaq Global Select Market under the symbol "PTLO" on October 21, 2021. On October 25, 2021, the Company completed its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we completed the following:</w:t>
      </w:r>
    </w:p>
    <w:p>
      <w:pPr>
        <w:spacing w:after="0" w:line="252" w:lineRule="exact"/>
        <w:rPr>
          <w:sz w:val="20"/>
          <w:szCs w:val="20"/>
          <w:color w:val="auto"/>
        </w:rPr>
      </w:pPr>
    </w:p>
    <w:p>
      <w:pPr>
        <w:ind w:left="660" w:right="340" w:hanging="328"/>
        <w:spacing w:after="0" w:line="268" w:lineRule="auto"/>
        <w:tabs>
          <w:tab w:leader="none" w:pos="6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amended and restated the limited liability company agreement of Portillo’s OpCo ("LLC Agreement") to, among other things, convert all outstanding equity interests (except for those redeemable preferred units which were redeemed in connection with the IPO) into LLC Units.</w:t>
      </w:r>
    </w:p>
    <w:p>
      <w:pPr>
        <w:spacing w:after="0" w:line="197" w:lineRule="exact"/>
        <w:rPr>
          <w:rFonts w:ascii="Arial" w:cs="Arial" w:eastAsia="Arial" w:hAnsi="Arial"/>
          <w:sz w:val="18"/>
          <w:szCs w:val="18"/>
          <w:color w:val="auto"/>
        </w:rPr>
      </w:pPr>
    </w:p>
    <w:p>
      <w:pPr>
        <w:ind w:left="660" w:right="120" w:hanging="328"/>
        <w:spacing w:after="0" w:line="275" w:lineRule="auto"/>
        <w:tabs>
          <w:tab w:leader="none" w:pos="669"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became the sole managing member of Portillo's OpCo. Because we manage and operate the business and control the strategic decisions and day-to-day operations of Portillo’s OpCo and because we also have a substantial financial interest in Portillo’s OpCo, we consolidated the financial results of Portillo’s OpCo, and a portion of our net income was allocated to non-controlling interests to reflect the entitlement of the pre-IPO LLC Members who retained their equity ownership in Portillo's OpCo. In addition, because Portillo’s OpCo was under the common control of the pre-IPO LLC Members before and after the Transactions, we measured the assets and liabilities of Portillo’s OpCo at their carrying amounts as of the date of the completion of the Transactions.</w:t>
      </w:r>
    </w:p>
    <w:p>
      <w:pPr>
        <w:spacing w:after="0" w:line="195" w:lineRule="exact"/>
        <w:rPr>
          <w:rFonts w:ascii="Arial" w:cs="Arial" w:eastAsia="Arial" w:hAnsi="Arial"/>
          <w:sz w:val="17"/>
          <w:szCs w:val="17"/>
          <w:color w:val="auto"/>
        </w:rPr>
      </w:pPr>
    </w:p>
    <w:p>
      <w:pPr>
        <w:ind w:left="660" w:right="60" w:hanging="328"/>
        <w:spacing w:after="0" w:line="262" w:lineRule="auto"/>
        <w:tabs>
          <w:tab w:leader="none" w:pos="66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authorize the issuance of two series of common stock: Class A common stock and Class B common stock. Each share of Class A common stock and Class B common stock entitles its holder to one vote per share on all matters submitted to a vote of our shareholders. The Class B common stock is not entitled to economic interests in Portillo’s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and cash on hand were used as follows:</w:t>
      </w:r>
    </w:p>
    <w:p>
      <w:pPr>
        <w:spacing w:after="0" w:line="2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27" w:lineRule="exact"/>
        <w:rPr>
          <w:rFonts w:ascii="Arial" w:cs="Arial" w:eastAsia="Arial" w:hAnsi="Arial"/>
          <w:sz w:val="18"/>
          <w:szCs w:val="18"/>
          <w:color w:val="auto"/>
        </w:rPr>
      </w:pPr>
    </w:p>
    <w:p>
      <w:pPr>
        <w:ind w:left="660" w:right="780" w:hanging="328"/>
        <w:spacing w:after="0" w:line="250" w:lineRule="auto"/>
        <w:tabs>
          <w:tab w:leader="none" w:pos="6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ind w:left="660" w:right="20" w:hanging="328"/>
        <w:spacing w:after="0" w:line="266" w:lineRule="auto"/>
        <w:tabs>
          <w:tab w:leader="none" w:pos="66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purchase LLC Units and corresponding shares of Class B common stock or shares of Class A common stock from certain pre-IPO LLC Members of $57.0 million.</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connection with the IPO, the Company entered into a Tax Receivable Agreement ("TRA") with certain pre-IPO LLC Members, in which the Company will be generally obligated to pay 85% of the amount of applicable cash savings, if any, in U.S. federal, state, and local income tax that the Company actually realizes or is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or exchanges of LLC Units by pre-IPO LLC Members for Class A common stock and (iv) certain other tax benefits related to entering into the TRA, including payments made under the TRA. We will retain the benefit of the remaining 15% of these tax savings.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61"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the third quarter of 2022, the Company completed a secondary offering of 8,066,458 shares of the Company's Class A common stock at an offering price of $23.75 per share ("Q3 Secondary Offering"). We used all of the net proceeds from the Q3 Secondary Offering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The proceeds from the Q3 Secondary Offering were used to (i) purchase 2,123,899 existing shares of Class A common stock from the shareholders of the Blocker Companies and (ii) redeem 5,942,559 LLC Units held by certain pre-IPO LLC Members. In connection with the redemption, 5,942,559 shares of Class B common stock were surrendered by the pre-IPO LLC Members and canceled and the Company received 5,942,559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fourth quarter of 2022, the Company completed a secondary offering of 8,000,000 shares of the Company's Class A common stock at an offering price of $22.69 per share ("Q4 Secondary Offering"). We used all of the net proceeds from the Q4 Secondary Offering to purchase LLC Units and corresponding shares of Class B common stock from certain pre-IPO LLC Members and to repurchase shares of Class A common stock from the shareholders of the Blocker Companies at a price per LLC Unit or share of Class A common stock, as applicable. The proceeds from the Q4 Secondary Offering were used to (i) purchase 2,106,400 existing shares of Class A common stock from the shareholders of the Blocker Companies and (ii) redeem 5,893,000 LLC Units held by the pre-IPO LLC Members. In connection with the redemption, 5,893,000 shares of Class B common stock were surrendered by the pre-IPO LLC Members and canceled and the Company received 5,893,000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0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of December 25, 2022, the Company owned 67.0% of Portillo's OpCo and the pre-IPO LLC Members owned the remaining 33.0% of Portillo's OpCo.</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and include the accounts of the Company and its subsidiaries. All intercompany balances and transactions have been eliminated in consolidation.</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consolidated financial statements, and therefore, does not separately present a statement of comprehensive income (loss).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6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operates on a 52- or 53-week fiscal year ending on the Sunday on or prior to December 31. In a 52-week fiscal year, each quarterly period is comprised of 13 weeks. The additional week in a 53-week fiscal year is added to the fourth quarter. Fiscal 2022, 2021 and 2020 each consisted of 52 weeks. The fiscal periods presented in this report are years ended December 25, 2022, December 26, 2021 and December 27, 2020, respectively. Unless otherwise stated, references to years in this report relate to fiscal years.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Segment Reporting</w:t>
      </w:r>
    </w:p>
    <w:p>
      <w:pPr>
        <w:spacing w:after="0" w:line="247"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Company owns and operates fast-casual restaurants in the United States, along with two food production commissaries in Illinois. The Company’s chief operating decision maker (the “CODM”) is its Chief Executive Officer ("CEO"). As the CODM reviews financial performance and allocates resources at a consolidated level on a recurring basis, the Company has one operating segment and one reportable segment.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61"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preparation of these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reporting period.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Cash and Cash Equivalents and Restricted Cash</w:t>
      </w:r>
    </w:p>
    <w:p>
      <w:pPr>
        <w:spacing w:after="0" w:line="24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Cash includes amounts that are either held in the Company’s bank accounts or represent deposits in transit. Amounts receivable from credit card processors are considered cash equivalents because they are both short in term and highly liquid in nature and are typically converted to cash within three business days of the sales transactions.</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Restricted cash includes amounts that are held in the Company’s bank accounts subject to minimum balance requirements for medical claim disbursements.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Accounts Receivable</w:t>
      </w:r>
    </w:p>
    <w:p>
      <w:pPr>
        <w:spacing w:after="0" w:line="26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Accounts receivable consist primarily of vendor rebates, tenant improvement receivables, and delivery receivables as well as receivables from related parties (see Note 17. Related Party Transactions). The Company evaluates the collectability of its accounts receivable based on a variety of factors, including historical experience, current and future economic and market conditions and other factors. Based on these factors, no allowance for uncollectible accounts was recorded at December 25, 2022 or December 26, 2021.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Inventory</w:t>
      </w:r>
    </w:p>
    <w:p>
      <w:pPr>
        <w:spacing w:after="0" w:line="26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Inventory, which consists mainly of food products, is valued at the lower of cost or net realizable value, with cost determined on the first-in, first-out (FIFO) method. No other adjustment is deemed necessary to reduce inventory to lower of cost or net realizable value due to the rapid turnover and high utilization of inventory.</w:t>
      </w:r>
    </w:p>
    <w:p>
      <w:pPr>
        <w:spacing w:after="0" w:line="198"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The Company operates two commissaries to supply the Company's restaurants with several products and ensures product consistency and quality. The commissaries derive revenue principally from the sale and distribution of food to our distributors, who, in turn, sell the food to the restaurants. This is considered under ASC 845, Non-Monetary Transactions, and the impact on the statement of operations is not material.</w:t>
      </w:r>
    </w:p>
    <w:p>
      <w:pPr>
        <w:spacing w:after="0" w:line="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These products are held as inventory at distributors on a short-term consignment basis. Inventories subject to these consignment arrangements are recorded on the Company’s consolidated balance sheet and were $0.7 million and $0.4 million as of December 25, 2022 and December 26,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 Method Investment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50% interest in C&amp;O. The Company accounts for the investment and financial results in the consolidated financial</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statements under the equity method of accounting as the Company has significant influence but does not have control. The investment is adjusted to reflect the Company’s share of C&amp;O’s earnings and losses to date and any distributions received.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Long-Lived Assets and Valuation</w:t>
      </w:r>
    </w:p>
    <w:p>
      <w:pPr>
        <w:spacing w:after="0" w:line="26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Company’s long-lived assets include property and equipment and definite-lived intangible assets. Depreciation and amortization are computed using the straight-line method. Except for leasehold improvements, depreciation is computed over the estimated useful life of each asset (generally ranging from three to ten years). Leasehold improvements are amortized over the shorter of the estimated lives of the asset or the lease term.</w:t>
      </w:r>
    </w:p>
    <w:p>
      <w:pPr>
        <w:spacing w:after="0" w:line="20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reviews its long-lived assets, including property and equipment, definite-lived intangible assets and operating lease assets for impairment whenever events or changes in circumstances indicate that the carrying amount of an asset or asset group might not be recoverable. Recoverability is measured by a comparison of the carrying amount to future undiscounted cash flows that are expected to be generated by the asset or asset group. If the carrying amount exceeds its estimated future cash flows, an impairment charge is recognized in the amount by which the carrying value exceeds the estimated fair value. Restaurant-level assets are grouped by restaurant for the purpose of the impairment assessment because a restaurant represents the lowest level for which identifiable cash flows are largely independent of the cash flows of other assets and liabilities. No impairment charge was recorded for any period presented.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Goodwill and Indefinite-Lived Intangible Assets</w:t>
      </w: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and indefinite-lived intangible assets are assessed for impairment annually in the fourth quarter or more frequently if events and circumstances indicate that it is more likely than not that the fair value of a reporting unit or an intangible asset is less than its carrying value. The Company has one reporting unit which is evaluated for impairment annually. Fair value of the reporting unit is estimated using the market approach that uses publicly available market data, including publicly traded stock prices and total shares outstanding to determine the fair value of the reporting unit. If the fair value of the reporting unit is less than its carrying value, an impairment loss is recorded for the difference between the fair value of the reporting unit and the carrying value of the reporting unit.</w:t>
      </w:r>
    </w:p>
    <w:p>
      <w:pPr>
        <w:spacing w:after="0" w:line="20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indefinite-lived intangible assets consist of trade names and trade marks (collectively “trade names”). The Company estimates the fair value of its trade names using a relief-from-royalty income approach. If the fair value of the trade name is less than its carrying value, an impairment loss is recorded for the difference between the estimated fair value and carrying value of the intangible assets.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Fair Value of Financial Instruments</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5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Reverse Common Unit Split</w:t>
      </w:r>
    </w:p>
    <w:p>
      <w:pPr>
        <w:spacing w:after="0" w:line="26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October 20, 2021, the members of Portillo's OpCo amended the LLC Agreement, effecting a 7.4-for-1 reverse common unit split. All applicable unit data, per unit amounts and related information in the consolidated financial statements and notes thereto for the year ended December 27, 2020 have been adjusted retroactively to give effect to the 7.4-for-1 reverse common unit split.</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Offering Costs</w:t>
      </w:r>
    </w:p>
    <w:p>
      <w:pPr>
        <w:spacing w:after="0" w:line="247"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In connection with the IPO, Portillo's OpCo incurred certain legal, accounting, and other IPO-related costs. Such costs are recorded in stockholders’ equity as a reduction from the proceeds of the offering. As of December 26, 2021, $7.1 million of offering costs had been recorded in stockholders' equity.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 Recognition</w:t>
      </w:r>
    </w:p>
    <w:p>
      <w:pPr>
        <w:spacing w:after="0" w:line="2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offers delivery services to its customers. For delivery sales through Portillos.com or the Portillo's App, the Company recognizes revenue, including delivery fees, when the performance obligation is complete and the food is transferred to the customer. For delivery sales through a non-Company owned channel, such as the delivery partner’s website or app, as of the end of 2021, we recognize marketplace sales, including third-party delivery menu price premiums, as revenue when control of the food is transferred to the delivery service, excluding any delivery or service fees charged to the customer. Prior to the end of 2021, this price premium was previously recorded in cost of goods sold, excluding depreciation and amortization. The amount of the price premium recorded in 2021 and prior periods is not material and there is no anticipated or actual impact on operating income or net income for any period.</w:t>
      </w:r>
    </w:p>
    <w:p>
      <w:pPr>
        <w:spacing w:after="0" w:line="21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Generally, revenue is recognized as promised goods or services transfer to the guest or customer in an amount that reflects the consideration we expect to be entitled to in exchange for those goods or services. Revenues are recognized when payment is tendered at the point of sale as the performance obligation has been satisfied. Refer to Note 3. Revenue Recognition for additional detail.</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Commitments</w:t>
      </w:r>
    </w:p>
    <w:p>
      <w:pPr>
        <w:spacing w:after="0" w:line="24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majority of the food products the Company purchases are subject to changes in price primarily due to the effect of supply and demand of the commodities, in particular, proteins, dairy, produce and grains. Overall pricing agreements are established in an effort to maintain a more consistent food cost without creating long-term purchase commitments.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Employee Benefits</w:t>
      </w:r>
    </w:p>
    <w:p>
      <w:pPr>
        <w:spacing w:after="0" w:line="26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sponsors a 401(k) plan for all employees that are eligible based upon age and length of service. The expenses incurred for Company matching contributions to the plan were approximately $0.4 million, $0.5 million and $0.4 million for the years ended December 25, 2022, December 26, 2021 and December 27, 2020, respectively.</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offers a non-qualified deferred compensation plan to certain officers and other members of management. Under the plan, eligible employees may defer up to 80% of their annual salary and annual bonus. The Company has elected to fund its deferred compensation obligations through a rabbi trust. The rabbi trust is subject to creditor claims in the event of insolvency, but such assets are not available for general corporate purposes. Assets held in the rabbi trust are invested in mutual funds, which are purchased and held principally for the purpose of selling them in the near term, and are classified as trading securities and carried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Equity-Based Compensation</w:t>
      </w:r>
    </w:p>
    <w:p>
      <w:pPr>
        <w:spacing w:after="0" w:line="26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has issued non-qualified stock options, performance-based stock options, restricted stock units and restricted stock awards. Equity-based compensation expense is measured based on the grant-date fair value of those awards and is recognized on a straight-line basis over the vesting period. Equity-based compensation expense is based on awards ultimately expected to vest and is reduced for estimated forfeitures. Forfeitures are revised, if necessary, in subsequent periods if actual forfeitures differ from those estimates and an adjustment to equity-based compensation expense will be recognized at that time. Equity-based compensation expense is included within general and administrative expenses and labor in the consolidated statements of operations.</w:t>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adopted an Employee Share Purchase Plan (“ESPP”) in June 2022 under which qualifying employees may be granted purchase rights to the Company’s common shares at not less than 85% of the market price on the purchase date, subject to Company discretion. The ESPP has a maximum of 250,000 shares of the Company's Class A common stock available for issuance. Eligible employees are able to contribute up to 15% of their gross base earnings for purchases under the ESPP through regular payroll deductions, subject to an annual maximum dollar amount. The expense incurred under the ESPP was immaterial for the year ended December 25, 2022 and is included within general and administrative expenses and labor in the consolidated statements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Advertising and Marketing Expenses</w:t>
      </w:r>
    </w:p>
    <w:p>
      <w:pPr>
        <w:spacing w:after="0" w:line="2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Advertising costs are expensed the first-time advertising takes place, while the costs of producing advertising are expensed during production and the costs of communicating advertising are expensed as services are received. Advertising and marketing expenses totaled $4.0 million, $3.1 million and $2.6 million for the years ended December 25, 2022, December 26, 2021 and December 27, 2020, respectively. Advertising and marketing expenses included in other operating expenses in the consolidated statements of operations primarily relate to sponsorships, restaurant merchandising and charitable giving; and those expenses included in general and administrative expenses in the consolidated statements of operations primarily consist of branding initiatives.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Leases</w:t>
      </w:r>
    </w:p>
    <w:p>
      <w:pPr>
        <w:spacing w:after="0" w:line="261"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On December 27, 2021, the Company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along with related clarifications and improvements, using a modified retrospective approach. Results for reporting periods beginning on or after December 27, 2021 are presented under ASC 842. Prior period amounts were not revised and continue to be reported in accordance with ASC 840, the accounting standard then in effect.</w:t>
      </w:r>
    </w:p>
    <w:p>
      <w:pPr>
        <w:spacing w:after="0" w:line="18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currently leases land for its retail restaurants and commissaries, and office space under various long-term operating lease agreements that expire on various dates through 2068. We also lease equipment, which primarily consists of restaurant equipment and copiers. We have immaterial short-term operating leases, such as those for seasonal rentals and training spaces. We evaluate the contracts to determine whether the contract involves the use of property or equipment, which is either explicitly or implicitly identified. We evaluate whether we control the use of the asset, which is determined by assessing whether we obtain substantially all economic benefits from the use of the asset, and whether we have the right to direct the use of the asset. If these criteria are met and we have identified a lease, we account for the contract under the requirements of ASC 842.</w:t>
      </w:r>
    </w:p>
    <w:p>
      <w:pPr>
        <w:spacing w:after="0" w:line="21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Upon the possession of a leased asset, we determine its classification as an operating or finance lease. As of December 25, 2022, all of our leases are classified as operating leases. Operating lease assets and liabilities are recognized at the lease commencement date. We make judgments regarding the probable term for each lease, which can impact the classification and accounting for a lease as operating or financing, as well as the amount of straight-lined rent expense in a particular period. Generally, the leases for the Company's restaurant locations have an initial term of 10 years to 20 years and typically provide for renewal options in five-year increments, as well as rent escalations. Renewal options are generally recognized as part of the right-of-use assets and lease liabilities as it is reasonably certain at commencement date that we would exercise the options to extend the lease. Some of our real estate leases provide for base rent, plus if applicable additional rent based on gross sales, as defined in each lease agreement, which is considered to be variable rent. When the achievement of such sales thresholds are deemed to be probable, contingent rent is accrued in proportion to the sales recognized during the period. For operating leases that include rent holidays and rent escalation clauses, we recognize lease expense on a straight-line basis over the lease term from the date we take possession of the leased property. Lease expense incurred before a restaurant opens is recorded in pre-opening expenses in the consolidated statements of operations. Once a restaurant opens, we record the straight-line lease expense and any contingent rent, if applicable, in occupancy on the consolidated statements of operations. Many of our leases also require us to pay real estate taxes, common area maintenance costs and other occupancy costs which are included in occupancy and other operating expenses on the consolidated statements of operations and is generally considered to be variable rent. For leases with a lease term of 12 months or less ("short-term operating lease"), any fixed lease payments are recognized on a straight-line basis over such term, and are not recognized on the consolidated balance sheets.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Per the ASC 842 requirements, a lessee is required to use the rate implicit in the lease when readily determinable; alternatively, it would use the incremental borrowing rate in determining the present value of future lease payments. We estimate our incremental borrowing rates corresponding to the maturities of our leases. We estimate this rate based on prevailing financial market conditions, indications for the Company's credit rating, and other benchmarks related to the Company's outstanding secured borrowings.</w:t>
      </w:r>
    </w:p>
    <w:p>
      <w:pPr>
        <w:spacing w:after="0" w:line="20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expend cash for leasehold improvements to build out our leased premises. Generally, a portion of the leasehold improvements and building costs are reimbursed by our landlords as landlord incentives pursuant to agreed-upon terms in our lease agreements. If obtained, landlord incentives usually take the form of cash, full or partial credits against our future minimum or contingent rents otherwise payable by us, or a combination thereof. In most cases, the tenant improvement allowances are received after we take possession of the property, as we meet required milestones during the construction of the property. We include these amounts in the measurement of the initial operating lease liability, which are also reflected as a reduction to the initial measurement of the right-of-use asset.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Pre-opening expenses consist primarily of wages, occupancy expenses, which represent rent expense recognized during the period between the date of possession of the restaurant facility and the restaurant opening date, travel for the opening team, food, beverage, and the initial stocking of operating supplies. These are expensed as incurred prior to the restaurant opening for business.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and Other Taxes</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prudent and feasible tax planning strategies and recent and expected future results of operations. The assumptions utilized in determining future taxable income require significant judgment and are consistent with the plans and estimates we use to manage our business. Actual operating results in future years could differ from our current assumptions, judgments and estimates, which could have a material impact on the amount of deferred tax assets we ultimately realize.</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intended to provide economic relief to those impacted by the COVID-19 pandemic. The CARES Act also allowed eligible employers to defer the remittance of employer federal payroll taxes otherwise payable during calendar year 2020 and remit half of such deferred amounts on or before December 31, 2021 and half on or before December 31, 2022. The Company deferred approximately $5.4 million of federal payroll tax remittances under this provision as of December 27, 2020, of which $2.7 million was paid during the year ended December 26, 2021 and the remaining deferred balance of $2.7 million was paid during the year ended December 25, 2022.</w:t>
      </w:r>
    </w:p>
    <w:p>
      <w:pPr>
        <w:spacing w:after="0" w:line="20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CARES Act provides refundable employee retention credits, which can be used to offset federal payroll tax liabilities. For the year ended December 27, 2020, the Company recorded a benefit of $0.3 million, which is included in other income in the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Earnings (Loss) Per Share</w:t>
      </w:r>
    </w:p>
    <w:p>
      <w:pPr>
        <w:spacing w:after="0" w:line="26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Basic earnings (loss) per share is calculated by dividing the net income (loss) attributable to common shareholders by the weighted-average number of shares outstanding.</w:t>
      </w:r>
    </w:p>
    <w:p>
      <w:pPr>
        <w:spacing w:after="0" w:line="18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Diluted earnings (loss) per share adjusts the basic earnings (loss) per unit attributable to shareholders and the weighted-average number of units of shares outstanding for the potential dilutive impact of shares, using the treasury-stock method. Diluted earnings (loss) per share considers the impact of potentially dilutive securities except in periods in which there is a loss because the inclusion of the potential common units would have an anti-dilutive effect.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Issued Accounting Standards</w:t>
      </w:r>
    </w:p>
    <w:p>
      <w:pPr>
        <w:spacing w:after="0" w:line="26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March 2020, the Financial Accounting Standards Board ("FASB") issued Accounting Standards Update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FASB has extended the sunset date to December 31, 2024. The Company does not believe the impact of the transition from LIBOR to alternative reference rates is material to its consolidated financial statements. See Note 18. Subsequent Events for discussion of the New Credit Agreement, effective February 2, 2023.</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Adopted Accounting Standards</w:t>
      </w: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February 2016, the FASB issued ASU No. 2016-02, Leases (Topic 842) ("ASC 842"), along with related clarifications and improvements. The pronouncement requires lessees to recognize a liability, which represents the discounted obligation to make future minimum lease payments, and a corresponding right-of-use asset on the balance sheet. The guidance requires disclosure of key information about leasing arrangements that is intended to give financial statement users the ability to assess the amount, timing, and potential uncertainty of cash flows related to leases. The update is effective for fiscal years beginning after December 15, 2021, with early adoption permitted. The Company adopted this standard effective December 27, 2021, electing the modified retrospective approach to apply the standard as of the transition date. As a result, we did not apply the standard to the comparative periods presented. We have elected the transition package of three practical expedients permitted under the new standard, which eliminates the requirement to reassess the conclusions about historical lease identifications, lease classifications, and initial direct costs. We did not elect the hindsight practical expedient, which permits the use of hindsight when determining lease terms and impairments of right-of-use assets. We elected to apply the practical expedient of combining lease and non-lease components. Additionally, we elected to utilize the short-term lease exception policy, which allows us to not apply the recognition requirements of this standard to leases with a term of 12 months or less. The adoption of this standard had a significant impact on the Company’s consolidated balance sheet as we recognized the right-of-use asset and lease liabilities for our operating leases. The adoption had an immaterial impact on the consolidated statement of income, cash flows and overall liquidity. See Note 10. Leases for additional information.</w:t>
      </w:r>
    </w:p>
    <w:p>
      <w:pPr>
        <w:spacing w:after="0" w:line="19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which amends the disclosure requirements for fair value measurements by removing, modifying and adding certain disclosures. The Company adopted this standard effective December 28, 2020. The adoption of this new standard did not have a material effect on our consolidated financial statements.</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2018, the FASB issued ASU No. 2018 -15, Intangibles-Goodwill and Other-Internal-Use Software (Subtopic 350-40): Customer’s Accounting for Implementation Costs Incurred in a Cloud Computing Arrangement That Is a Service Contract, which clarifies the accounting for implementation costs in cloud computing arrangements that is a service contract. The Company adopted this standard effective December 28, 2020. Subsequent to the adoption of ASU 2018-15, the Company capitalized such costs within other current assets or other assets on its consolidated balance sheets. The Company amortizes the implementation costs once the system is ready for its intended use, on a straight-line basis, over the term of the related service agreements, including all reasonably certain renewals. The amortization expense related to cloud computing arrangements that are service contracts are recorded within general and administrative expenses or other operating expenses on the Company's consolidated statements of operations. The adoption of this new standard did not have a material effect on our consolidated financial statements.</w:t>
      </w:r>
    </w:p>
    <w:p>
      <w:pPr>
        <w:spacing w:after="0" w:line="20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which modifies certain technical guidelines for accounting for income taxes. ASU 2019-12 is effective for reporting periods beginning after December 15, 2022, and early adoption is permitted. The Company adopted the new standard as of December 28, 2020. The adoption of this new standard did not have a material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Hedging-Contracts in Entity’s Own Equity (Subtopic 815-40), an amendment that simplifies the accounting for certain financial instruments with characteristics of liabilities and equity, including convertible instruments and contracts on an entity’s own equity. The amendment simplifies accounting for convertible instruments by removing major separation models required under current accounting guidance. In addition, the amendment removes certain settlement conditions that are required for equity contracts to qualify for the derivative scope exception, which will permit more equity contracts to qualify for the exception, and also simplifies the diluted earnings per share calculation in certain areas. The amendment is effective beginning after December 15, 2023, and early adoption is permitted. The Company adopted the new standard as of December 28, 2020. The adoption of this new standard did not have a material effect on our consolidated financial statements.</w:t>
      </w:r>
    </w:p>
    <w:p>
      <w:pPr>
        <w:spacing w:after="0" w:line="20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consolidated financial statements.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tab/>
        <w:t>REVENUE RECOGNITION</w:t>
      </w:r>
    </w:p>
    <w:p>
      <w:pPr>
        <w:spacing w:after="0" w:line="2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19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offers delivery services to its customers. Delivery services are fulfilled by the Company and third-party service providers. In some cases, the Company makes delivery sales through Portillos.com or the Portillo's App ("Dispatch Sales"). In other cases, the Company makes delivery sales through a non-Company owned channel, such as the delivery partner’s website or app (“Marketplace Sales”).</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With respect to Dispatch Sales, delivery may be performed by the Company or through a third-party service provider. The Company recognizes revenue, including delivery fees, when the performance obligation is complete and the food is transferred to the customer. For these sales, the Company receives payment directly from the customer at the time of sale.</w:t>
      </w:r>
    </w:p>
    <w:p>
      <w:pPr>
        <w:spacing w:after="0" w:line="198"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With respect to Marketplace Sales, the Company recognizes revenue, including third-party menu price premiums, excluding delivery or service fees collected by the delivery partner, when the performance obligation is complete, and control of the food is transferred to the delivery partner. The Company receives payment subsequent to the transfer of the food. The payment terms with respect to Marketplace Sales are short-term in nature and are generally paid one week in arrears.</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net in the consolidated statements of operations. The Company recognized gift card breakage of $0.8 million in the year ended December 25, 2022 and $0.7 million in each of the years ended December 26, 2021 and December 27, 2020, respectively.</w:t>
      </w:r>
    </w:p>
    <w:p>
      <w:pPr>
        <w:spacing w:after="0" w:line="21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Company’s revenue related to performance obligations not yet satisfied is revenue from gift cards sold but not yet redeemed. The gift card liability is included in current deferred revenue on the consolidated balance sheets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25, 2022</w:t>
            </w:r>
          </w:p>
        </w:tc>
        <w:tc>
          <w:tcPr>
            <w:tcW w:w="200" w:type="dxa"/>
            <w:vAlign w:val="bottom"/>
          </w:tcPr>
          <w:p>
            <w:pPr>
              <w:spacing w:after="0"/>
              <w:rPr>
                <w:sz w:val="19"/>
                <w:szCs w:val="19"/>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71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Gift card liability</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6,988</w:t>
            </w:r>
          </w:p>
        </w:tc>
        <w:tc>
          <w:tcPr>
            <w:tcW w:w="100" w:type="dxa"/>
            <w:vAlign w:val="bottom"/>
            <w:tcBorders>
              <w:top w:val="single" w:sz="8" w:color="DBDBDB"/>
            </w:tcBorders>
            <w:shd w:val="clear" w:color="auto" w:fill="DBDBDB"/>
          </w:tcPr>
          <w:p>
            <w:pPr>
              <w:spacing w:after="0"/>
              <w:rPr>
                <w:sz w:val="20"/>
                <w:szCs w:val="20"/>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6,606</w:t>
            </w:r>
          </w:p>
        </w:tc>
      </w:tr>
    </w:tbl>
    <w:p>
      <w:pPr>
        <w:spacing w:after="0" w:line="319" w:lineRule="exact"/>
        <w:rPr>
          <w:sz w:val="20"/>
          <w:szCs w:val="20"/>
          <w:color w:val="auto"/>
        </w:rPr>
      </w:pPr>
    </w:p>
    <w:p>
      <w:pPr>
        <w:ind w:right="540"/>
        <w:spacing w:after="0" w:line="284" w:lineRule="auto"/>
        <w:rPr>
          <w:sz w:val="20"/>
          <w:szCs w:val="20"/>
          <w:color w:val="auto"/>
        </w:rPr>
      </w:pPr>
      <w:r>
        <w:rPr>
          <w:rFonts w:ascii="Arial" w:cs="Arial" w:eastAsia="Arial" w:hAnsi="Arial"/>
          <w:sz w:val="18"/>
          <w:szCs w:val="18"/>
          <w:color w:val="auto"/>
        </w:rPr>
        <w:t>Revenue recognized in the consolidated statements of operations for the redemption of gift cards that were included in their respective liability balances at the beginning of the year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Fiscal Years Ended</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7"/>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December 25, 2022</w:t>
            </w:r>
          </w:p>
        </w:tc>
        <w:tc>
          <w:tcPr>
            <w:tcW w:w="10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December 26, 2021</w:t>
            </w:r>
          </w:p>
        </w:tc>
        <w:tc>
          <w:tcPr>
            <w:tcW w:w="100" w:type="dxa"/>
            <w:vAlign w:val="bottom"/>
          </w:tcPr>
          <w:p>
            <w:pPr>
              <w:spacing w:after="0"/>
              <w:rPr>
                <w:sz w:val="21"/>
                <w:szCs w:val="21"/>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December 27, 2020</w:t>
            </w:r>
          </w:p>
        </w:tc>
      </w:tr>
      <w:tr>
        <w:trPr>
          <w:trHeight w:val="240"/>
        </w:trPr>
        <w:tc>
          <w:tcPr>
            <w:tcW w:w="59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Revenue recognized from gift card liability balance at the beginning of the year</w:t>
            </w: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3,598</w:t>
            </w:r>
          </w:p>
        </w:tc>
        <w:tc>
          <w:tcPr>
            <w:tcW w:w="120" w:type="dxa"/>
            <w:vAlign w:val="bottom"/>
            <w:tcBorders>
              <w:top w:val="single" w:sz="8" w:color="DBDBDB"/>
            </w:tcBorders>
            <w:shd w:val="clear" w:color="auto" w:fill="DBDBDB"/>
          </w:tcPr>
          <w:p>
            <w:pPr>
              <w:spacing w:after="0"/>
              <w:rPr>
                <w:sz w:val="20"/>
                <w:szCs w:val="20"/>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3,279</w:t>
            </w:r>
          </w:p>
        </w:tc>
        <w:tc>
          <w:tcPr>
            <w:tcW w:w="100" w:type="dxa"/>
            <w:vAlign w:val="bottom"/>
            <w:tcBorders>
              <w:top w:val="single" w:sz="8" w:color="DBDBDB"/>
            </w:tcBorders>
            <w:shd w:val="clear" w:color="auto" w:fill="DBDBDB"/>
          </w:tcPr>
          <w:p>
            <w:pPr>
              <w:spacing w:after="0"/>
              <w:rPr>
                <w:sz w:val="20"/>
                <w:szCs w:val="20"/>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3,197</w:t>
            </w: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tab/>
        <w:t>INVENTORIES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25, 2022</w:t>
            </w:r>
          </w:p>
        </w:tc>
        <w:tc>
          <w:tcPr>
            <w:tcW w:w="280" w:type="dxa"/>
            <w:vAlign w:val="bottom"/>
          </w:tcPr>
          <w:p>
            <w:pPr>
              <w:spacing w:after="0"/>
              <w:rPr>
                <w:sz w:val="19"/>
                <w:szCs w:val="19"/>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63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Raw materials</w:t>
            </w: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5,722</w:t>
            </w:r>
          </w:p>
        </w:tc>
        <w:tc>
          <w:tcPr>
            <w:tcW w:w="12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4,181</w:t>
            </w:r>
          </w:p>
        </w:tc>
      </w:tr>
      <w:tr>
        <w:trPr>
          <w:trHeight w:val="235"/>
        </w:trPr>
        <w:tc>
          <w:tcPr>
            <w:tcW w:w="6320" w:type="dxa"/>
            <w:vAlign w:val="bottom"/>
          </w:tcPr>
          <w:p>
            <w:pPr>
              <w:ind w:left="20"/>
              <w:spacing w:after="0"/>
              <w:rPr>
                <w:sz w:val="20"/>
                <w:szCs w:val="20"/>
                <w:color w:val="auto"/>
              </w:rPr>
            </w:pPr>
            <w:r>
              <w:rPr>
                <w:rFonts w:ascii="Arial" w:cs="Arial" w:eastAsia="Arial" w:hAnsi="Arial"/>
                <w:sz w:val="16"/>
                <w:szCs w:val="16"/>
                <w:color w:val="auto"/>
              </w:rPr>
              <w:t>Work in progress</w:t>
            </w:r>
          </w:p>
        </w:tc>
        <w:tc>
          <w:tcPr>
            <w:tcW w:w="3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51"/>
        </w:trPr>
        <w:tc>
          <w:tcPr>
            <w:tcW w:w="6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shd w:val="clear" w:color="auto" w:fill="DBDBDB"/>
          </w:tcPr>
          <w:p>
            <w:pPr>
              <w:spacing w:after="0"/>
              <w:rPr>
                <w:sz w:val="21"/>
                <w:szCs w:val="21"/>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1,395</w:t>
            </w:r>
          </w:p>
        </w:tc>
      </w:tr>
      <w:tr>
        <w:trPr>
          <w:trHeight w:val="237"/>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Consigned inventory</w:t>
            </w: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262"/>
        </w:trPr>
        <w:tc>
          <w:tcPr>
            <w:tcW w:w="632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7,387</w:t>
            </w:r>
          </w:p>
        </w:tc>
        <w:tc>
          <w:tcPr>
            <w:tcW w:w="12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6,078</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2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r>
      <w:r>
        <w:rPr>
          <w:sz w:val="20"/>
          <w:szCs w:val="20"/>
          <w:color w:val="auto"/>
        </w:rPr>
        <w:tab/>
      </w:r>
      <w:r>
        <w:rPr>
          <w:rFonts w:ascii="Arial" w:cs="Arial" w:eastAsia="Arial" w:hAnsi="Arial"/>
          <w:sz w:val="24"/>
          <w:szCs w:val="24"/>
          <w:b w:val="1"/>
          <w:bCs w:val="1"/>
          <w:color w:val="414042"/>
        </w:rPr>
        <w:t>PROPERTY &amp; EQUIPMENT, NET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25, 2022</w:t>
            </w:r>
          </w:p>
        </w:tc>
        <w:tc>
          <w:tcPr>
            <w:tcW w:w="300" w:type="dxa"/>
            <w:vAlign w:val="bottom"/>
          </w:tcPr>
          <w:p>
            <w:pPr>
              <w:spacing w:after="0"/>
              <w:rPr>
                <w:sz w:val="19"/>
                <w:szCs w:val="19"/>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62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Land improvements</w:t>
            </w:r>
          </w:p>
        </w:tc>
        <w:tc>
          <w:tcPr>
            <w:tcW w:w="30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16,369</w:t>
            </w:r>
          </w:p>
        </w:tc>
        <w:tc>
          <w:tcPr>
            <w:tcW w:w="120" w:type="dxa"/>
            <w:vAlign w:val="bottom"/>
            <w:tcBorders>
              <w:top w:val="single" w:sz="8" w:color="DBDBDB"/>
            </w:tcBorders>
            <w:shd w:val="clear" w:color="auto" w:fill="DBDBDB"/>
          </w:tcPr>
          <w:p>
            <w:pPr>
              <w:spacing w:after="0"/>
              <w:rPr>
                <w:sz w:val="20"/>
                <w:szCs w:val="20"/>
                <w:color w:val="auto"/>
              </w:rPr>
            </w:pPr>
          </w:p>
        </w:tc>
        <w:tc>
          <w:tcPr>
            <w:tcW w:w="300" w:type="dxa"/>
            <w:vAlign w:val="bottom"/>
            <w:tcBorders>
              <w:top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15,451</w:t>
            </w:r>
          </w:p>
        </w:tc>
      </w:tr>
      <w:tr>
        <w:trPr>
          <w:trHeight w:val="235"/>
        </w:trPr>
        <w:tc>
          <w:tcPr>
            <w:tcW w:w="6280" w:type="dxa"/>
            <w:vAlign w:val="bottom"/>
          </w:tcPr>
          <w:p>
            <w:pPr>
              <w:ind w:left="20"/>
              <w:spacing w:after="0"/>
              <w:rPr>
                <w:sz w:val="20"/>
                <w:szCs w:val="20"/>
                <w:color w:val="auto"/>
              </w:rPr>
            </w:pPr>
            <w:r>
              <w:rPr>
                <w:rFonts w:ascii="Arial" w:cs="Arial" w:eastAsia="Arial" w:hAnsi="Arial"/>
                <w:sz w:val="16"/>
                <w:szCs w:val="16"/>
                <w:color w:val="auto"/>
              </w:rPr>
              <w:t>Furniture, fixtures, and equipment</w:t>
            </w:r>
          </w:p>
        </w:tc>
        <w:tc>
          <w:tcPr>
            <w:tcW w:w="3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126,130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115,187</w:t>
            </w:r>
          </w:p>
        </w:tc>
      </w:tr>
      <w:tr>
        <w:trPr>
          <w:trHeight w:val="251"/>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shd w:val="clear" w:color="auto" w:fill="DBDBDB"/>
          </w:tcPr>
          <w:p>
            <w:pPr>
              <w:spacing w:after="0"/>
              <w:rPr>
                <w:sz w:val="21"/>
                <w:szCs w:val="21"/>
                <w:color w:val="auto"/>
              </w:rPr>
            </w:pPr>
          </w:p>
        </w:tc>
        <w:tc>
          <w:tcPr>
            <w:tcW w:w="2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153,341</w:t>
            </w:r>
          </w:p>
        </w:tc>
        <w:tc>
          <w:tcPr>
            <w:tcW w:w="12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138,923</w:t>
            </w:r>
          </w:p>
        </w:tc>
      </w:tr>
      <w:tr>
        <w:trPr>
          <w:trHeight w:val="235"/>
        </w:trPr>
        <w:tc>
          <w:tcPr>
            <w:tcW w:w="628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3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2,281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2,203</w:t>
            </w:r>
          </w:p>
        </w:tc>
      </w:tr>
      <w:tr>
        <w:trPr>
          <w:trHeight w:val="244"/>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Construction-in-progress</w:t>
            </w:r>
          </w:p>
        </w:tc>
        <w:tc>
          <w:tcPr>
            <w:tcW w:w="300" w:type="dxa"/>
            <w:vAlign w:val="bottom"/>
            <w:tcBorders>
              <w:bottom w:val="single" w:sz="8" w:color="auto"/>
            </w:tcBorders>
            <w:shd w:val="clear" w:color="auto" w:fill="DBDBDB"/>
          </w:tcPr>
          <w:p>
            <w:pPr>
              <w:spacing w:after="0"/>
              <w:rPr>
                <w:sz w:val="21"/>
                <w:szCs w:val="21"/>
                <w:color w:val="auto"/>
              </w:rPr>
            </w:pP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35,386</w:t>
            </w:r>
          </w:p>
        </w:tc>
        <w:tc>
          <w:tcPr>
            <w:tcW w:w="12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8,300</w:t>
            </w:r>
          </w:p>
        </w:tc>
      </w:tr>
      <w:tr>
        <w:trPr>
          <w:trHeight w:val="235"/>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333,507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280,064</w:t>
            </w:r>
          </w:p>
        </w:tc>
      </w:tr>
      <w:tr>
        <w:trPr>
          <w:trHeight w:val="244"/>
        </w:trPr>
        <w:tc>
          <w:tcPr>
            <w:tcW w:w="6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auto"/>
            </w:tcBorders>
            <w:shd w:val="clear" w:color="auto" w:fill="DBDBDB"/>
          </w:tcPr>
          <w:p>
            <w:pPr>
              <w:spacing w:after="0"/>
              <w:rPr>
                <w:sz w:val="21"/>
                <w:szCs w:val="21"/>
                <w:color w:val="auto"/>
              </w:rPr>
            </w:pPr>
          </w:p>
        </w:tc>
        <w:tc>
          <w:tcPr>
            <w:tcW w:w="2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(106,471)</w:t>
            </w:r>
          </w:p>
        </w:tc>
        <w:tc>
          <w:tcPr>
            <w:tcW w:w="120" w:type="dxa"/>
            <w:vAlign w:val="bottom"/>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(89,230)</w:t>
            </w:r>
          </w:p>
        </w:tc>
      </w:tr>
      <w:tr>
        <w:trPr>
          <w:trHeight w:val="236"/>
        </w:trPr>
        <w:tc>
          <w:tcPr>
            <w:tcW w:w="628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227,036</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190,834</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Depreciation expense was $18.0 million, $ 16.9 million, and $15.8 million for the years ended December 25, 2022, December 26, 2021 and December 27, 2020 respectively, and was included in depreciation and amortization in the consolidated statements of operations.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tab/>
        <w:t>GOODWILL &amp; INTANGIBLE ASSETS</w:t>
      </w:r>
    </w:p>
    <w:p>
      <w:pPr>
        <w:spacing w:after="0" w:line="2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 The Company used the market approach to test goodwill. The market approach utilized publicly available market data, including publicly traded stock prices and total shares outstanding to determine the fair value of the reporting unit.</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indefinite-lived intangibles, the relief-from-royalty method estimates the fair value of an intangible asset based on what a third party would pay for the right to use that asset. The most significant assumptions utilized in the relief-from-royalty method are projected revenues and the royalty rate.</w:t>
      </w:r>
    </w:p>
    <w:p>
      <w:pPr>
        <w:spacing w:after="0" w:line="19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No impairment charges were recognized for goodwill or indefinite-lived intangible assets for the years ended December 25, 2022, December 26, 2021 and December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5"/>
          </w:tcPr>
          <w:p>
            <w:pPr>
              <w:ind w:left="800"/>
              <w:spacing w:after="0"/>
              <w:rPr>
                <w:sz w:val="20"/>
                <w:szCs w:val="20"/>
                <w:color w:val="auto"/>
              </w:rPr>
            </w:pPr>
            <w:r>
              <w:rPr>
                <w:rFonts w:ascii="Arial" w:cs="Arial" w:eastAsia="Arial" w:hAnsi="Arial"/>
                <w:sz w:val="16"/>
                <w:szCs w:val="16"/>
                <w:b w:val="1"/>
                <w:bCs w:val="1"/>
                <w:color w:val="auto"/>
              </w:rPr>
              <w:t>As of December 25, 2022</w:t>
            </w:r>
          </w:p>
        </w:tc>
        <w:tc>
          <w:tcPr>
            <w:tcW w:w="1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r>
      <w:tr>
        <w:trPr>
          <w:trHeight w:val="240"/>
        </w:trPr>
        <w:tc>
          <w:tcPr>
            <w:tcW w:w="2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40"/>
        </w:trPr>
        <w:tc>
          <w:tcPr>
            <w:tcW w:w="2960" w:type="dxa"/>
            <w:vAlign w:val="bottom"/>
          </w:tcPr>
          <w:p>
            <w:pPr>
              <w:spacing w:after="0"/>
              <w:rPr>
                <w:sz w:val="20"/>
                <w:szCs w:val="20"/>
                <w:color w:val="auto"/>
              </w:rPr>
            </w:pPr>
          </w:p>
        </w:tc>
        <w:tc>
          <w:tcPr>
            <w:tcW w:w="2080" w:type="dxa"/>
            <w:vAlign w:val="bottom"/>
            <w:gridSpan w:val="3"/>
          </w:tcPr>
          <w:p>
            <w:pPr>
              <w:ind w:left="60"/>
              <w:spacing w:after="0"/>
              <w:rPr>
                <w:sz w:val="20"/>
                <w:szCs w:val="20"/>
                <w:color w:val="auto"/>
              </w:rPr>
            </w:pPr>
            <w:r>
              <w:rPr>
                <w:rFonts w:ascii="Arial" w:cs="Arial" w:eastAsia="Arial" w:hAnsi="Arial"/>
                <w:sz w:val="16"/>
                <w:szCs w:val="16"/>
                <w:b w:val="1"/>
                <w:bCs w:val="1"/>
                <w:color w:val="auto"/>
              </w:rPr>
              <w:t>Gross Carrying Amount</w:t>
            </w:r>
          </w:p>
        </w:tc>
        <w:tc>
          <w:tcPr>
            <w:tcW w:w="300" w:type="dxa"/>
            <w:vAlign w:val="bottom"/>
          </w:tcPr>
          <w:p>
            <w:pPr>
              <w:spacing w:after="0"/>
              <w:rPr>
                <w:sz w:val="20"/>
                <w:szCs w:val="20"/>
                <w:color w:val="auto"/>
              </w:rPr>
            </w:pPr>
          </w:p>
        </w:tc>
        <w:tc>
          <w:tcPr>
            <w:tcW w:w="1800" w:type="dxa"/>
            <w:vAlign w:val="bottom"/>
            <w:gridSpan w:val="2"/>
          </w:tcPr>
          <w:p>
            <w:pPr>
              <w:ind w:left="20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Arial" w:cs="Arial" w:eastAsia="Arial" w:hAnsi="Arial"/>
                <w:sz w:val="16"/>
                <w:szCs w:val="16"/>
                <w:b w:val="1"/>
                <w:bCs w:val="1"/>
                <w:color w:val="auto"/>
              </w:rPr>
              <w:t>ASC 842 Adjustment</w:t>
            </w:r>
          </w:p>
        </w:tc>
        <w:tc>
          <w:tcPr>
            <w:tcW w:w="140" w:type="dxa"/>
            <w:vAlign w:val="bottom"/>
          </w:tcPr>
          <w:p>
            <w:pPr>
              <w:spacing w:after="0"/>
              <w:rPr>
                <w:sz w:val="20"/>
                <w:szCs w:val="20"/>
                <w:color w:val="auto"/>
              </w:rPr>
            </w:pPr>
          </w:p>
        </w:tc>
        <w:tc>
          <w:tcPr>
            <w:tcW w:w="1860" w:type="dxa"/>
            <w:vAlign w:val="bottom"/>
          </w:tcPr>
          <w:p>
            <w:pPr>
              <w:jc w:val="right"/>
              <w:ind w:right="99"/>
              <w:spacing w:after="0"/>
              <w:rPr>
                <w:sz w:val="20"/>
                <w:szCs w:val="20"/>
                <w:color w:val="auto"/>
              </w:rPr>
            </w:pPr>
            <w:r>
              <w:rPr>
                <w:rFonts w:ascii="Arial" w:cs="Arial" w:eastAsia="Arial" w:hAnsi="Arial"/>
                <w:sz w:val="16"/>
                <w:szCs w:val="16"/>
                <w:b w:val="1"/>
                <w:bCs w:val="1"/>
                <w:color w:val="auto"/>
              </w:rPr>
              <w:t>Net Carrying Amount</w:t>
            </w:r>
          </w:p>
        </w:tc>
      </w:tr>
      <w:tr>
        <w:trPr>
          <w:trHeight w:val="254"/>
        </w:trPr>
        <w:tc>
          <w:tcPr>
            <w:tcW w:w="296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tcPr>
          <w:p>
            <w:pPr>
              <w:spacing w:after="0"/>
              <w:rPr>
                <w:sz w:val="22"/>
                <w:szCs w:val="22"/>
                <w:color w:val="auto"/>
              </w:rPr>
            </w:pPr>
          </w:p>
        </w:tc>
      </w:tr>
      <w:tr>
        <w:trPr>
          <w:trHeight w:val="243"/>
        </w:trPr>
        <w:tc>
          <w:tcPr>
            <w:tcW w:w="2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70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5"/>
        </w:trPr>
        <w:tc>
          <w:tcPr>
            <w:tcW w:w="296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223,925</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0" w:type="dxa"/>
            <w:vAlign w:val="bottom"/>
            <w:gridSpan w:val="2"/>
          </w:tcPr>
          <w:p>
            <w:pPr>
              <w:ind w:left="14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94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1"/>
        </w:trPr>
        <w:tc>
          <w:tcPr>
            <w:tcW w:w="2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70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8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spacing w:after="0"/>
              <w:rPr>
                <w:sz w:val="21"/>
                <w:szCs w:val="21"/>
                <w:color w:val="auto"/>
              </w:rPr>
            </w:pPr>
          </w:p>
        </w:tc>
      </w:tr>
      <w:tr>
        <w:trPr>
          <w:trHeight w:val="235"/>
        </w:trPr>
        <w:tc>
          <w:tcPr>
            <w:tcW w:w="2960" w:type="dxa"/>
            <w:vAlign w:val="bottom"/>
          </w:tcPr>
          <w:p>
            <w:pPr>
              <w:ind w:left="120"/>
              <w:spacing w:after="0"/>
              <w:rPr>
                <w:sz w:val="20"/>
                <w:szCs w:val="20"/>
                <w:color w:val="auto"/>
              </w:rPr>
            </w:pPr>
            <w:r>
              <w:rPr>
                <w:rFonts w:ascii="Arial" w:cs="Arial" w:eastAsia="Arial" w:hAnsi="Arial"/>
                <w:sz w:val="16"/>
                <w:szCs w:val="16"/>
                <w:color w:val="auto"/>
              </w:rPr>
              <w:t>Recipes</w:t>
            </w:r>
          </w:p>
        </w:tc>
        <w:tc>
          <w:tcPr>
            <w:tcW w:w="7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(24,317)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ind w:left="1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31,800</w:t>
            </w:r>
          </w:p>
        </w:tc>
      </w:tr>
      <w:tr>
        <w:trPr>
          <w:trHeight w:val="251"/>
        </w:trPr>
        <w:tc>
          <w:tcPr>
            <w:tcW w:w="296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Covenants not-to-compete</w:t>
            </w:r>
          </w:p>
        </w:tc>
        <w:tc>
          <w:tcPr>
            <w:tcW w:w="70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940" w:type="dxa"/>
            <w:vAlign w:val="bottom"/>
            <w:gridSpan w:val="2"/>
            <w:shd w:val="clear" w:color="auto" w:fill="DBDBDB"/>
          </w:tcPr>
          <w:p>
            <w:pPr>
              <w:ind w:left="1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96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Favorable rental contracts</w:t>
            </w:r>
          </w:p>
        </w:tc>
        <w:tc>
          <w:tcPr>
            <w:tcW w:w="7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100" w:type="dxa"/>
            <w:vAlign w:val="bottom"/>
            <w:tcBorders>
              <w:bottom w:val="single" w:sz="8" w:color="DBDBDB"/>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2960" w:type="dxa"/>
            <w:vAlign w:val="bottom"/>
            <w:tcBorders>
              <w:bottom w:val="single" w:sz="8" w:color="DBDBDB"/>
            </w:tcBorders>
            <w:shd w:val="clear" w:color="auto" w:fill="DBDBDB"/>
          </w:tcPr>
          <w:p>
            <w:pPr>
              <w:spacing w:after="0"/>
              <w:rPr>
                <w:sz w:val="22"/>
                <w:szCs w:val="22"/>
                <w:color w:val="auto"/>
              </w:rPr>
            </w:pPr>
          </w:p>
        </w:tc>
        <w:tc>
          <w:tcPr>
            <w:tcW w:w="700" w:type="dxa"/>
            <w:vAlign w:val="bottom"/>
            <w:tcBorders>
              <w:bottom w:val="single" w:sz="8" w:color="auto"/>
            </w:tcBorders>
            <w:shd w:val="clear" w:color="auto" w:fill="DBDBDB"/>
          </w:tcPr>
          <w:p>
            <w:pPr>
              <w:jc w:val="right"/>
              <w:ind w:right="5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323,832</w:t>
            </w:r>
          </w:p>
        </w:tc>
        <w:tc>
          <w:tcPr>
            <w:tcW w:w="100" w:type="dxa"/>
            <w:vAlign w:val="bottom"/>
            <w:tcBorders>
              <w:bottom w:val="single" w:sz="8" w:color="DBDBDB"/>
            </w:tcBorders>
            <w:shd w:val="clear" w:color="auto" w:fill="DBDBDB"/>
          </w:tcPr>
          <w:p>
            <w:pPr>
              <w:spacing w:after="0"/>
              <w:rPr>
                <w:sz w:val="22"/>
                <w:szCs w:val="22"/>
                <w:color w:val="auto"/>
              </w:rPr>
            </w:pP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(66,965)</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255,725</w:t>
            </w:r>
          </w:p>
        </w:tc>
      </w:tr>
      <w:tr>
        <w:trPr>
          <w:trHeight w:val="20"/>
        </w:trPr>
        <w:tc>
          <w:tcPr>
            <w:tcW w:w="296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As of December 26, 2021</w:t>
            </w:r>
          </w:p>
        </w:tc>
        <w:tc>
          <w:tcPr>
            <w:tcW w:w="3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r>
      <w:tr>
        <w:trPr>
          <w:trHeight w:val="277"/>
        </w:trPr>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2"/>
          </w:tcPr>
          <w:p>
            <w:pPr>
              <w:ind w:left="140"/>
              <w:spacing w:after="0"/>
              <w:rPr>
                <w:sz w:val="20"/>
                <w:szCs w:val="20"/>
                <w:color w:val="auto"/>
              </w:rPr>
            </w:pPr>
            <w:r>
              <w:rPr>
                <w:rFonts w:ascii="Arial" w:cs="Arial" w:eastAsia="Arial" w:hAnsi="Arial"/>
                <w:sz w:val="16"/>
                <w:szCs w:val="16"/>
                <w:b w:val="1"/>
                <w:bCs w:val="1"/>
                <w:color w:val="auto"/>
              </w:rPr>
              <w:t>Gross Carrying Amount</w:t>
            </w:r>
          </w:p>
        </w:tc>
        <w:tc>
          <w:tcPr>
            <w:tcW w:w="200" w:type="dxa"/>
            <w:vAlign w:val="bottom"/>
          </w:tcPr>
          <w:p>
            <w:pPr>
              <w:spacing w:after="0"/>
              <w:rPr>
                <w:sz w:val="24"/>
                <w:szCs w:val="24"/>
                <w:color w:val="auto"/>
              </w:rPr>
            </w:pPr>
          </w:p>
        </w:tc>
        <w:tc>
          <w:tcPr>
            <w:tcW w:w="2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Accumulated Amortization</w:t>
            </w:r>
          </w:p>
        </w:tc>
        <w:tc>
          <w:tcPr>
            <w:tcW w:w="320" w:type="dxa"/>
            <w:vAlign w:val="bottom"/>
          </w:tcPr>
          <w:p>
            <w:pPr>
              <w:spacing w:after="0"/>
              <w:rPr>
                <w:sz w:val="24"/>
                <w:szCs w:val="24"/>
                <w:color w:val="auto"/>
              </w:rPr>
            </w:pPr>
          </w:p>
        </w:tc>
        <w:tc>
          <w:tcPr>
            <w:tcW w:w="2380" w:type="dxa"/>
            <w:vAlign w:val="bottom"/>
          </w:tcPr>
          <w:p>
            <w:pPr>
              <w:jc w:val="right"/>
              <w:ind w:right="459"/>
              <w:spacing w:after="0"/>
              <w:rPr>
                <w:sz w:val="20"/>
                <w:szCs w:val="20"/>
                <w:color w:val="auto"/>
              </w:rPr>
            </w:pPr>
            <w:r>
              <w:rPr>
                <w:rFonts w:ascii="Arial" w:cs="Arial" w:eastAsia="Arial" w:hAnsi="Arial"/>
                <w:sz w:val="16"/>
                <w:szCs w:val="16"/>
                <w:b w:val="1"/>
                <w:bCs w:val="1"/>
                <w:color w:val="auto"/>
              </w:rPr>
              <w:t>Net Carrying Amount</w:t>
            </w:r>
          </w:p>
        </w:tc>
      </w:tr>
      <w:tr>
        <w:trPr>
          <w:trHeight w:val="254"/>
        </w:trPr>
        <w:tc>
          <w:tcPr>
            <w:tcW w:w="296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spacing w:after="0"/>
              <w:rPr>
                <w:sz w:val="22"/>
                <w:szCs w:val="22"/>
                <w:color w:val="auto"/>
              </w:rPr>
            </w:pPr>
          </w:p>
        </w:tc>
      </w:tr>
      <w:tr>
        <w:trPr>
          <w:trHeight w:val="243"/>
        </w:trPr>
        <w:tc>
          <w:tcPr>
            <w:tcW w:w="2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Indefinite-lived intangible assets:</w:t>
            </w:r>
          </w:p>
        </w:tc>
        <w:tc>
          <w:tcPr>
            <w:tcW w:w="260" w:type="dxa"/>
            <w:vAlign w:val="bottom"/>
            <w:shd w:val="clear" w:color="auto" w:fill="DBDBDB"/>
          </w:tcPr>
          <w:p>
            <w:pPr>
              <w:spacing w:after="0"/>
              <w:rPr>
                <w:sz w:val="21"/>
                <w:szCs w:val="21"/>
                <w:color w:val="auto"/>
              </w:rPr>
            </w:pPr>
          </w:p>
        </w:tc>
        <w:tc>
          <w:tcPr>
            <w:tcW w:w="24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24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2380" w:type="dxa"/>
            <w:vAlign w:val="bottom"/>
            <w:shd w:val="clear" w:color="auto" w:fill="DBDBDB"/>
          </w:tcPr>
          <w:p>
            <w:pPr>
              <w:spacing w:after="0"/>
              <w:rPr>
                <w:sz w:val="21"/>
                <w:szCs w:val="21"/>
                <w:color w:val="auto"/>
              </w:rPr>
            </w:pPr>
          </w:p>
        </w:tc>
      </w:tr>
      <w:tr>
        <w:trPr>
          <w:trHeight w:val="235"/>
        </w:trPr>
        <w:tc>
          <w:tcPr>
            <w:tcW w:w="2960" w:type="dxa"/>
            <w:vAlign w:val="bottom"/>
          </w:tcPr>
          <w:p>
            <w:pPr>
              <w:ind w:left="140"/>
              <w:spacing w:after="0"/>
              <w:rPr>
                <w:sz w:val="20"/>
                <w:szCs w:val="20"/>
                <w:color w:val="auto"/>
              </w:rPr>
            </w:pPr>
            <w:r>
              <w:rPr>
                <w:rFonts w:ascii="Arial" w:cs="Arial" w:eastAsia="Arial" w:hAnsi="Arial"/>
                <w:sz w:val="16"/>
                <w:szCs w:val="16"/>
                <w:color w:val="auto"/>
              </w:rPr>
              <w:t>Trade names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400" w:type="dxa"/>
            <w:vAlign w:val="bottom"/>
          </w:tcPr>
          <w:p>
            <w:pPr>
              <w:jc w:val="right"/>
              <w:spacing w:after="0"/>
              <w:rPr>
                <w:sz w:val="20"/>
                <w:szCs w:val="20"/>
                <w:color w:val="auto"/>
              </w:rPr>
            </w:pPr>
            <w:r>
              <w:rPr>
                <w:rFonts w:ascii="Arial" w:cs="Arial" w:eastAsia="Arial" w:hAnsi="Arial"/>
                <w:sz w:val="16"/>
                <w:szCs w:val="16"/>
                <w:color w:val="auto"/>
              </w:rPr>
              <w:t>223,925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580" w:type="dxa"/>
            <w:vAlign w:val="bottom"/>
            <w:gridSpan w:val="2"/>
          </w:tcPr>
          <w:p>
            <w:pPr>
              <w:ind w:left="22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380" w:type="dxa"/>
            <w:vAlign w:val="bottom"/>
          </w:tcPr>
          <w:p>
            <w:pPr>
              <w:jc w:val="right"/>
              <w:spacing w:after="0"/>
              <w:rPr>
                <w:sz w:val="20"/>
                <w:szCs w:val="20"/>
                <w:color w:val="auto"/>
              </w:rPr>
            </w:pPr>
            <w:r>
              <w:rPr>
                <w:rFonts w:ascii="Arial" w:cs="Arial" w:eastAsia="Arial" w:hAnsi="Arial"/>
                <w:sz w:val="16"/>
                <w:szCs w:val="16"/>
                <w:color w:val="auto"/>
              </w:rPr>
              <w:t>223,925</w:t>
            </w:r>
          </w:p>
        </w:tc>
      </w:tr>
      <w:tr>
        <w:trPr>
          <w:trHeight w:val="251"/>
        </w:trPr>
        <w:tc>
          <w:tcPr>
            <w:tcW w:w="29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Intangibles subject to amortization:</w:t>
            </w:r>
          </w:p>
        </w:tc>
        <w:tc>
          <w:tcPr>
            <w:tcW w:w="260" w:type="dxa"/>
            <w:vAlign w:val="bottom"/>
            <w:shd w:val="clear" w:color="auto" w:fill="DBDBDB"/>
          </w:tcPr>
          <w:p>
            <w:pPr>
              <w:spacing w:after="0"/>
              <w:rPr>
                <w:sz w:val="21"/>
                <w:szCs w:val="21"/>
                <w:color w:val="auto"/>
              </w:rPr>
            </w:pPr>
          </w:p>
        </w:tc>
        <w:tc>
          <w:tcPr>
            <w:tcW w:w="24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24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2380" w:type="dxa"/>
            <w:vAlign w:val="bottom"/>
            <w:shd w:val="clear" w:color="auto" w:fill="DBDBDB"/>
          </w:tcPr>
          <w:p>
            <w:pPr>
              <w:spacing w:after="0"/>
              <w:rPr>
                <w:sz w:val="21"/>
                <w:szCs w:val="21"/>
                <w:color w:val="auto"/>
              </w:rPr>
            </w:pPr>
          </w:p>
        </w:tc>
      </w:tr>
      <w:tr>
        <w:trPr>
          <w:trHeight w:val="235"/>
        </w:trPr>
        <w:tc>
          <w:tcPr>
            <w:tcW w:w="2960" w:type="dxa"/>
            <w:vAlign w:val="bottom"/>
          </w:tcPr>
          <w:p>
            <w:pPr>
              <w:ind w:left="120"/>
              <w:spacing w:after="0"/>
              <w:rPr>
                <w:sz w:val="20"/>
                <w:szCs w:val="20"/>
                <w:color w:val="auto"/>
              </w:rPr>
            </w:pPr>
            <w:r>
              <w:rPr>
                <w:rFonts w:ascii="Arial" w:cs="Arial" w:eastAsia="Arial" w:hAnsi="Arial"/>
                <w:sz w:val="16"/>
                <w:szCs w:val="16"/>
                <w:color w:val="auto"/>
              </w:rPr>
              <w:t>Recipes</w:t>
            </w:r>
          </w:p>
        </w:tc>
        <w:tc>
          <w:tcPr>
            <w:tcW w:w="26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6"/>
                <w:szCs w:val="16"/>
                <w:color w:val="auto"/>
              </w:rPr>
              <w:t>56,117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tcPr>
          <w:p>
            <w:pPr>
              <w:jc w:val="right"/>
              <w:spacing w:after="0"/>
              <w:rPr>
                <w:sz w:val="20"/>
                <w:szCs w:val="20"/>
                <w:color w:val="auto"/>
              </w:rPr>
            </w:pPr>
            <w:r>
              <w:rPr>
                <w:rFonts w:ascii="Arial" w:cs="Arial" w:eastAsia="Arial" w:hAnsi="Arial"/>
                <w:sz w:val="16"/>
                <w:szCs w:val="16"/>
                <w:color w:val="auto"/>
              </w:rPr>
              <w:t>(21,427)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34,690</w:t>
            </w:r>
          </w:p>
        </w:tc>
      </w:tr>
      <w:tr>
        <w:trPr>
          <w:trHeight w:val="251"/>
        </w:trPr>
        <w:tc>
          <w:tcPr>
            <w:tcW w:w="296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Covenants not-to-compete</w:t>
            </w:r>
          </w:p>
        </w:tc>
        <w:tc>
          <w:tcPr>
            <w:tcW w:w="260" w:type="dxa"/>
            <w:vAlign w:val="bottom"/>
            <w:shd w:val="clear" w:color="auto" w:fill="DBDBDB"/>
          </w:tcPr>
          <w:p>
            <w:pPr>
              <w:spacing w:after="0"/>
              <w:rPr>
                <w:sz w:val="21"/>
                <w:szCs w:val="21"/>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2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2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960" w:type="dxa"/>
            <w:vAlign w:val="bottom"/>
            <w:tcBorders>
              <w:bottom w:val="single" w:sz="8" w:color="DBDBDB"/>
            </w:tcBorders>
          </w:tcPr>
          <w:p>
            <w:pPr>
              <w:ind w:left="120"/>
              <w:spacing w:after="0"/>
              <w:rPr>
                <w:sz w:val="20"/>
                <w:szCs w:val="20"/>
                <w:color w:val="auto"/>
              </w:rPr>
            </w:pPr>
            <w:r>
              <w:rPr>
                <w:rFonts w:ascii="Arial" w:cs="Arial" w:eastAsia="Arial" w:hAnsi="Arial"/>
                <w:sz w:val="16"/>
                <w:szCs w:val="16"/>
                <w:color w:val="auto"/>
              </w:rPr>
              <w:t>Favorable rental contracts</w:t>
            </w:r>
          </w:p>
        </w:tc>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c>
          <w:tcPr>
            <w:tcW w:w="12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DBDBDB"/>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1,142</w:t>
            </w:r>
          </w:p>
        </w:tc>
      </w:tr>
      <w:tr>
        <w:trPr>
          <w:trHeight w:val="262"/>
        </w:trPr>
        <w:tc>
          <w:tcPr>
            <w:tcW w:w="296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323,832</w:t>
            </w:r>
          </w:p>
        </w:tc>
        <w:tc>
          <w:tcPr>
            <w:tcW w:w="120" w:type="dxa"/>
            <w:vAlign w:val="bottom"/>
            <w:tcBorders>
              <w:bottom w:val="single" w:sz="8" w:color="DBDBDB"/>
            </w:tcBorders>
            <w:shd w:val="clear" w:color="auto" w:fill="DBDBDB"/>
          </w:tcPr>
          <w:p>
            <w:pPr>
              <w:spacing w:after="0"/>
              <w:rPr>
                <w:sz w:val="22"/>
                <w:szCs w:val="22"/>
                <w:color w:val="auto"/>
              </w:rPr>
            </w:pPr>
          </w:p>
        </w:tc>
        <w:tc>
          <w:tcPr>
            <w:tcW w:w="20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2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(64,075)</w:t>
            </w:r>
          </w:p>
        </w:tc>
        <w:tc>
          <w:tcPr>
            <w:tcW w:w="100" w:type="dxa"/>
            <w:vAlign w:val="bottom"/>
            <w:tcBorders>
              <w:bottom w:val="single" w:sz="8" w:color="DBDBDB"/>
            </w:tcBorders>
            <w:shd w:val="clear" w:color="auto" w:fill="DBDBDB"/>
          </w:tcPr>
          <w:p>
            <w:pPr>
              <w:spacing w:after="0"/>
              <w:rPr>
                <w:sz w:val="22"/>
                <w:szCs w:val="22"/>
                <w:color w:val="auto"/>
              </w:rPr>
            </w:pP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2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259,757</w:t>
            </w:r>
          </w:p>
        </w:tc>
      </w:tr>
      <w:tr>
        <w:trPr>
          <w:trHeight w:val="20"/>
        </w:trPr>
        <w:tc>
          <w:tcPr>
            <w:tcW w:w="29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2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238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Approximately $1.1 million of net favorable rental contract intangible assets were reclassified to operating lease assets in the consolidated balance sheet in accordance with ASC 842 upon transition at December 27, 2021.</w:t>
      </w:r>
    </w:p>
    <w:p>
      <w:pPr>
        <w:spacing w:after="0" w:line="180"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Amortization expense was $2.9 million, $6.4 million, and $8.8 million for the years ended December 25, 2022, December 26, 2021 and December 27, 2020 respectively, and was included in depreciation and amortization in the consolidated statements of operations.</w:t>
      </w:r>
    </w:p>
    <w:p>
      <w:pPr>
        <w:spacing w:after="0" w:line="180"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The estimated aggregate amortization expense related to intangible assets held at December 25, 2022 for the next five years and thereafter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5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Estimated Amortization</w:t>
            </w:r>
          </w:p>
        </w:tc>
      </w:tr>
      <w:tr>
        <w:trPr>
          <w:trHeight w:val="240"/>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28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2,889</w:t>
            </w:r>
          </w:p>
        </w:tc>
      </w:tr>
      <w:tr>
        <w:trPr>
          <w:trHeight w:val="235"/>
        </w:trPr>
        <w:tc>
          <w:tcPr>
            <w:tcW w:w="8520" w:type="dxa"/>
            <w:vAlign w:val="bottom"/>
          </w:tcPr>
          <w:p>
            <w:pPr>
              <w:ind w:left="20"/>
              <w:spacing w:after="0"/>
              <w:rPr>
                <w:sz w:val="20"/>
                <w:szCs w:val="20"/>
                <w:color w:val="auto"/>
              </w:rPr>
            </w:pPr>
            <w:r>
              <w:rPr>
                <w:rFonts w:ascii="Arial" w:cs="Arial" w:eastAsia="Arial" w:hAnsi="Arial"/>
                <w:sz w:val="16"/>
                <w:szCs w:val="16"/>
                <w:color w:val="auto"/>
              </w:rPr>
              <w:t>2024</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2,813</w:t>
            </w:r>
          </w:p>
        </w:tc>
      </w:tr>
      <w:tr>
        <w:trPr>
          <w:trHeight w:val="251"/>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280" w:type="dxa"/>
            <w:vAlign w:val="bottom"/>
            <w:shd w:val="clear" w:color="auto" w:fill="DBDBDB"/>
          </w:tcPr>
          <w:p>
            <w:pPr>
              <w:spacing w:after="0"/>
              <w:rPr>
                <w:sz w:val="21"/>
                <w:szCs w:val="21"/>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2,707</w:t>
            </w:r>
          </w:p>
        </w:tc>
      </w:tr>
      <w:tr>
        <w:trPr>
          <w:trHeight w:val="235"/>
        </w:trPr>
        <w:tc>
          <w:tcPr>
            <w:tcW w:w="8520" w:type="dxa"/>
            <w:vAlign w:val="bottom"/>
          </w:tcPr>
          <w:p>
            <w:pPr>
              <w:ind w:left="20"/>
              <w:spacing w:after="0"/>
              <w:rPr>
                <w:sz w:val="20"/>
                <w:szCs w:val="20"/>
                <w:color w:val="auto"/>
              </w:rPr>
            </w:pPr>
            <w:r>
              <w:rPr>
                <w:rFonts w:ascii="Arial" w:cs="Arial" w:eastAsia="Arial" w:hAnsi="Arial"/>
                <w:sz w:val="16"/>
                <w:szCs w:val="16"/>
                <w:color w:val="auto"/>
              </w:rPr>
              <w:t>2026</w:t>
            </w:r>
          </w:p>
        </w:tc>
        <w:tc>
          <w:tcPr>
            <w:tcW w:w="280" w:type="dxa"/>
            <w:vAlign w:val="bottom"/>
          </w:tcPr>
          <w:p>
            <w:pPr>
              <w:spacing w:after="0"/>
              <w:rPr>
                <w:sz w:val="20"/>
                <w:szCs w:val="20"/>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2,707</w:t>
            </w:r>
          </w:p>
        </w:tc>
      </w:tr>
      <w:tr>
        <w:trPr>
          <w:trHeight w:val="251"/>
        </w:trPr>
        <w:tc>
          <w:tcPr>
            <w:tcW w:w="8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280" w:type="dxa"/>
            <w:vAlign w:val="bottom"/>
            <w:shd w:val="clear" w:color="auto" w:fill="DBDBDB"/>
          </w:tcPr>
          <w:p>
            <w:pPr>
              <w:spacing w:after="0"/>
              <w:rPr>
                <w:sz w:val="21"/>
                <w:szCs w:val="21"/>
                <w:color w:val="auto"/>
              </w:rPr>
            </w:pPr>
          </w:p>
        </w:tc>
        <w:tc>
          <w:tcPr>
            <w:tcW w:w="2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2,707</w:t>
            </w:r>
          </w:p>
        </w:tc>
      </w:tr>
      <w:tr>
        <w:trPr>
          <w:trHeight w:val="237"/>
        </w:trPr>
        <w:tc>
          <w:tcPr>
            <w:tcW w:w="85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2028 and thereafter</w:t>
            </w:r>
          </w:p>
        </w:tc>
        <w:tc>
          <w:tcPr>
            <w:tcW w:w="2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17,977</w:t>
            </w:r>
          </w:p>
        </w:tc>
      </w:tr>
      <w:tr>
        <w:trPr>
          <w:trHeight w:val="261"/>
        </w:trPr>
        <w:tc>
          <w:tcPr>
            <w:tcW w:w="852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31,800</w:t>
            </w:r>
          </w:p>
        </w:tc>
      </w:tr>
      <w:tr>
        <w:trPr>
          <w:trHeight w:val="20"/>
        </w:trPr>
        <w:tc>
          <w:tcPr>
            <w:tcW w:w="85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4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tab/>
        <w:t>FAIR VALUE OF FINANCIAL INSTRUMENTS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6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carrying value of the Company's cash and cash equivalents and restricted cash, accounts receivable, accounts payable and all other current assets and liabilities approximate fair values due to the short-term nature of these financial instruments.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deferred compensation plan with related assets held in a rabbi trust.</w:t>
      </w:r>
    </w:p>
    <w:p>
      <w:pPr>
        <w:spacing w:after="0" w:line="25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color w:val="414042"/>
        </w:rPr>
        <w:t xml:space="preserve">Deferred Compensation Plan - </w:t>
      </w:r>
      <w:r>
        <w:rPr>
          <w:rFonts w:ascii="Arial" w:cs="Arial" w:eastAsia="Arial" w:hAnsi="Arial"/>
          <w:sz w:val="18"/>
          <w:szCs w:val="18"/>
          <w:color w:val="000000"/>
        </w:rPr>
        <w:t>The Company maintains a rabbi trust to fund obligations under a deferred compensation plan. Amounts in</w:t>
      </w:r>
      <w:r>
        <w:rPr>
          <w:rFonts w:ascii="Arial" w:cs="Arial" w:eastAsia="Arial" w:hAnsi="Arial"/>
          <w:sz w:val="18"/>
          <w:szCs w:val="18"/>
          <w:b w:val="1"/>
          <w:bCs w:val="1"/>
          <w:color w:val="414042"/>
        </w:rPr>
        <w:t xml:space="preserve"> </w:t>
      </w:r>
      <w:r>
        <w:rPr>
          <w:rFonts w:ascii="Arial" w:cs="Arial" w:eastAsia="Arial" w:hAnsi="Arial"/>
          <w:sz w:val="18"/>
          <w:szCs w:val="18"/>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w:t>
      </w:r>
    </w:p>
    <w:p>
      <w:pPr>
        <w:spacing w:after="0" w:line="198" w:lineRule="exact"/>
        <w:rPr>
          <w:sz w:val="20"/>
          <w:szCs w:val="20"/>
          <w:color w:val="auto"/>
        </w:rPr>
      </w:pPr>
    </w:p>
    <w:p>
      <w:pPr>
        <w:ind w:right="420"/>
        <w:spacing w:after="0" w:line="284" w:lineRule="auto"/>
        <w:rPr>
          <w:sz w:val="20"/>
          <w:szCs w:val="20"/>
          <w:color w:val="auto"/>
        </w:rPr>
      </w:pPr>
      <w:r>
        <w:rPr>
          <w:rFonts w:ascii="Arial" w:cs="Arial" w:eastAsia="Arial" w:hAnsi="Arial"/>
          <w:sz w:val="18"/>
          <w:szCs w:val="18"/>
          <w:color w:val="auto"/>
        </w:rPr>
        <w:t>As of December 25, 2022 and December 26, 2021, the fair value of the mutual fund investments and deferred compensation obligations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December 25, 2022</w:t>
            </w: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6460" w:type="dxa"/>
            <w:vAlign w:val="bottom"/>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spacing w:after="0"/>
              <w:rPr>
                <w:sz w:val="20"/>
                <w:szCs w:val="20"/>
                <w:color w:val="auto"/>
              </w:rPr>
            </w:pPr>
          </w:p>
        </w:tc>
        <w:tc>
          <w:tcPr>
            <w:tcW w:w="2480" w:type="dxa"/>
            <w:vAlign w:val="bottom"/>
            <w:tcBorders>
              <w:bottom w:val="single" w:sz="8" w:color="auto"/>
            </w:tcBorders>
            <w:gridSpan w:val="3"/>
            <w:shd w:val="clear" w:color="auto" w:fill="DBDBDB"/>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2000" w:type="dxa"/>
            <w:vAlign w:val="bottom"/>
            <w:tcBorders>
              <w:bottom w:val="single" w:sz="8" w:color="auto"/>
            </w:tcBorders>
            <w:shd w:val="clear" w:color="auto" w:fill="DBDBDB"/>
          </w:tcPr>
          <w:p>
            <w:pPr>
              <w:spacing w:after="0"/>
              <w:rPr>
                <w:sz w:val="20"/>
                <w:szCs w:val="20"/>
                <w:color w:val="auto"/>
              </w:rPr>
            </w:pPr>
          </w:p>
        </w:tc>
      </w:tr>
      <w:tr>
        <w:trPr>
          <w:trHeight w:val="196"/>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 xml:space="preserve">Assets </w:t>
            </w:r>
            <w:r>
              <w:rPr>
                <w:rFonts w:ascii="Arial" w:cs="Arial" w:eastAsia="Arial" w:hAnsi="Arial"/>
                <w:sz w:val="16"/>
                <w:szCs w:val="16"/>
                <w:color w:val="auto"/>
              </w:rPr>
              <w:t>- Investments designated for deferred compensation plan</w:t>
            </w:r>
          </w:p>
        </w:tc>
        <w:tc>
          <w:tcPr>
            <w:tcW w:w="2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43"/>
        </w:trPr>
        <w:tc>
          <w:tcPr>
            <w:tcW w:w="64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Cash/money accounts</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1,482</w:t>
            </w:r>
          </w:p>
        </w:tc>
      </w:tr>
      <w:tr>
        <w:trPr>
          <w:trHeight w:val="237"/>
        </w:trPr>
        <w:tc>
          <w:tcPr>
            <w:tcW w:w="64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Mutual Funds</w:t>
            </w: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Borders>
              <w:bottom w:val="single" w:sz="8" w:color="DBDBDB"/>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w:t>
            </w:r>
          </w:p>
        </w:tc>
      </w:tr>
      <w:tr>
        <w:trPr>
          <w:trHeight w:val="268"/>
        </w:trPr>
        <w:tc>
          <w:tcPr>
            <w:tcW w:w="646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3,711</w:t>
            </w:r>
          </w:p>
        </w:tc>
        <w:tc>
          <w:tcPr>
            <w:tcW w:w="10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4,667</w:t>
            </w:r>
          </w:p>
        </w:tc>
      </w:tr>
      <w:tr>
        <w:trPr>
          <w:trHeight w:val="20"/>
        </w:trPr>
        <w:tc>
          <w:tcPr>
            <w:tcW w:w="64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25, 2022 and December 26, 2021 we had no Level 2 or Level 3 assets.</w:t>
      </w:r>
    </w:p>
    <w:p>
      <w:pPr>
        <w:spacing w:after="0" w:line="15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deferred compensation investments and obligations are included in other assets, accrued expenses and other long-term liabilities in the consolidated balance sheets. Changes in the fair value of securities held in the rabbi trust are recognized as trading gains and losses and included in other income in the consolidated statements of operations and offsetting increases or decreases in the deferred compensation obligation are recorded in other long-term liabilities in the consolidated balance sheets.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Debt for additional information relating to the fair value of the Company's outstanding debt instruments.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Non-Recurring Basis</w:t>
      </w:r>
    </w:p>
    <w:p>
      <w:pPr>
        <w:spacing w:after="0" w:line="26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Assets and liabilities that are measured at fair value on a non-recurring basis include property and equipment, net, operating lease assets, equity-method investment, goodwill and indefinite-lived intangible assets. These assets are measured at fair value whenever events or changes in circumstances indicate that the carrying amount of an asset may not be recoverable. There were no impairment charges recognized during the years ended December 25, 2022, December 26, 2021 and December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8.</w:t>
        <w:tab/>
        <w:t>SUPPLEMENTAL BALANCE SHEET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4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25, 2022</w:t>
            </w:r>
          </w:p>
        </w:tc>
        <w:tc>
          <w:tcPr>
            <w:tcW w:w="280" w:type="dxa"/>
            <w:vAlign w:val="bottom"/>
          </w:tcPr>
          <w:p>
            <w:pPr>
              <w:spacing w:after="0"/>
              <w:rPr>
                <w:sz w:val="19"/>
                <w:szCs w:val="19"/>
                <w:color w:val="auto"/>
              </w:rPr>
            </w:pP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6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Prepaid insurance</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1,969</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2,869</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Prepaid occupancy</w:t>
            </w:r>
          </w:p>
        </w:tc>
        <w:tc>
          <w:tcPr>
            <w:tcW w:w="2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494</w:t>
            </w:r>
          </w:p>
        </w:tc>
      </w:tr>
      <w:tr>
        <w:trPr>
          <w:trHeight w:val="244"/>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 prepaid expenses</w:t>
            </w:r>
          </w:p>
        </w:tc>
        <w:tc>
          <w:tcPr>
            <w:tcW w:w="28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2,449</w:t>
            </w:r>
          </w:p>
        </w:tc>
        <w:tc>
          <w:tcPr>
            <w:tcW w:w="100" w:type="dxa"/>
            <w:vAlign w:val="bottom"/>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2,473</w:t>
            </w:r>
          </w:p>
        </w:tc>
      </w:tr>
      <w:tr>
        <w:trPr>
          <w:trHeight w:val="237"/>
        </w:trPr>
        <w:tc>
          <w:tcPr>
            <w:tcW w:w="646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5,836</w:t>
            </w:r>
          </w:p>
        </w:tc>
      </w:tr>
      <w:tr>
        <w:trPr>
          <w:trHeight w:val="27"/>
        </w:trPr>
        <w:tc>
          <w:tcPr>
            <w:tcW w:w="6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25, 2022</w:t>
            </w:r>
          </w:p>
        </w:tc>
        <w:tc>
          <w:tcPr>
            <w:tcW w:w="280" w:type="dxa"/>
            <w:vAlign w:val="bottom"/>
          </w:tcPr>
          <w:p>
            <w:pPr>
              <w:spacing w:after="0"/>
              <w:rPr>
                <w:sz w:val="19"/>
                <w:szCs w:val="19"/>
                <w:color w:val="auto"/>
              </w:rPr>
            </w:pP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6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Salaries, wages, and other compensation</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16,699</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18,065</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Rent and real estate taxes</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5,738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5,111</w:t>
            </w:r>
          </w:p>
        </w:tc>
      </w:tr>
      <w:tr>
        <w:trPr>
          <w:trHeight w:val="251"/>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Insurance</w:t>
            </w: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2,866</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2,572</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Interest</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2,262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1,597</w:t>
            </w:r>
          </w:p>
        </w:tc>
      </w:tr>
      <w:tr>
        <w:trPr>
          <w:trHeight w:val="251"/>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Sales tax</w:t>
            </w: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1,956</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1,970</w:t>
            </w:r>
          </w:p>
        </w:tc>
      </w:tr>
      <w:tr>
        <w:trPr>
          <w:trHeight w:val="237"/>
        </w:trPr>
        <w:tc>
          <w:tcPr>
            <w:tcW w:w="64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accrued expenses</w:t>
            </w: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DBDBDB"/>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62"/>
        </w:trPr>
        <w:tc>
          <w:tcPr>
            <w:tcW w:w="646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29,915</w:t>
            </w:r>
          </w:p>
        </w:tc>
        <w:tc>
          <w:tcPr>
            <w:tcW w:w="100" w:type="dxa"/>
            <w:vAlign w:val="bottom"/>
            <w:tcBorders>
              <w:bottom w:val="single" w:sz="8" w:color="DBDBDB"/>
            </w:tcBorders>
            <w:shd w:val="clear" w:color="auto" w:fill="DBDBDB"/>
          </w:tcPr>
          <w:p>
            <w:pPr>
              <w:spacing w:after="0"/>
              <w:rPr>
                <w:sz w:val="22"/>
                <w:szCs w:val="22"/>
                <w:color w:val="auto"/>
              </w:rPr>
            </w:pPr>
          </w:p>
        </w:tc>
        <w:tc>
          <w:tcPr>
            <w:tcW w:w="28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29,472</w:t>
            </w:r>
          </w:p>
        </w:tc>
      </w:tr>
      <w:tr>
        <w:trPr>
          <w:trHeight w:val="20"/>
        </w:trPr>
        <w:tc>
          <w:tcPr>
            <w:tcW w:w="64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9.</w:t>
        <w:tab/>
        <w:t>DEBT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25, 2022</w:t>
            </w:r>
          </w:p>
        </w:tc>
        <w:tc>
          <w:tcPr>
            <w:tcW w:w="280" w:type="dxa"/>
            <w:vAlign w:val="bottom"/>
          </w:tcPr>
          <w:p>
            <w:pPr>
              <w:spacing w:after="0"/>
              <w:rPr>
                <w:sz w:val="19"/>
                <w:szCs w:val="19"/>
                <w:color w:val="auto"/>
              </w:rPr>
            </w:pPr>
          </w:p>
        </w:tc>
        <w:tc>
          <w:tcPr>
            <w:tcW w:w="2060" w:type="dxa"/>
            <w:vAlign w:val="bottom"/>
          </w:tcPr>
          <w:p>
            <w:pPr>
              <w:jc w:val="right"/>
              <w:ind w:right="35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6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First Lien Term B-3 Loans</w:t>
            </w:r>
          </w:p>
        </w:tc>
        <w:tc>
          <w:tcPr>
            <w:tcW w:w="280" w:type="dxa"/>
            <w:vAlign w:val="bottom"/>
            <w:tcBorders>
              <w:top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322,428</w:t>
            </w:r>
          </w:p>
        </w:tc>
        <w:tc>
          <w:tcPr>
            <w:tcW w:w="100" w:type="dxa"/>
            <w:vAlign w:val="bottom"/>
            <w:tcBorders>
              <w:top w:val="single" w:sz="8" w:color="DBDBDB"/>
            </w:tcBorders>
            <w:shd w:val="clear" w:color="auto" w:fill="DBDBDB"/>
          </w:tcPr>
          <w:p>
            <w:pPr>
              <w:spacing w:after="0"/>
              <w:rPr>
                <w:sz w:val="20"/>
                <w:szCs w:val="20"/>
                <w:color w:val="auto"/>
              </w:rPr>
            </w:pPr>
          </w:p>
        </w:tc>
        <w:tc>
          <w:tcPr>
            <w:tcW w:w="280" w:type="dxa"/>
            <w:vAlign w:val="bottom"/>
            <w:tcBorders>
              <w:top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325,752</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Revolving Loans</w:t>
            </w:r>
          </w:p>
        </w:tc>
        <w:tc>
          <w:tcPr>
            <w:tcW w:w="28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Unamortized discount and debt issuance costs</w:t>
            </w:r>
          </w:p>
        </w:tc>
        <w:tc>
          <w:tcPr>
            <w:tcW w:w="280" w:type="dxa"/>
            <w:vAlign w:val="bottom"/>
            <w:tcBorders>
              <w:bottom w:val="single" w:sz="8" w:color="auto"/>
            </w:tcBorders>
            <w:shd w:val="clear" w:color="auto" w:fill="DBDBDB"/>
          </w:tcPr>
          <w:p>
            <w:pPr>
              <w:spacing w:after="0"/>
              <w:rPr>
                <w:sz w:val="21"/>
                <w:szCs w:val="21"/>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(3,848)</w:t>
            </w:r>
          </w:p>
        </w:tc>
        <w:tc>
          <w:tcPr>
            <w:tcW w:w="100" w:type="dxa"/>
            <w:vAlign w:val="bottom"/>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(6,599)</w:t>
            </w:r>
          </w:p>
        </w:tc>
      </w:tr>
      <w:tr>
        <w:trPr>
          <w:trHeight w:val="235"/>
        </w:trPr>
        <w:tc>
          <w:tcPr>
            <w:tcW w:w="646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318,580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319,153</w:t>
            </w:r>
          </w:p>
        </w:tc>
      </w:tr>
      <w:tr>
        <w:trPr>
          <w:trHeight w:val="244"/>
        </w:trPr>
        <w:tc>
          <w:tcPr>
            <w:tcW w:w="64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shd w:val="clear" w:color="auto" w:fill="DBDBDB"/>
          </w:tcPr>
          <w:p>
            <w:pPr>
              <w:spacing w:after="0"/>
              <w:rPr>
                <w:sz w:val="21"/>
                <w:szCs w:val="21"/>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(4,155)</w:t>
            </w:r>
          </w:p>
        </w:tc>
        <w:tc>
          <w:tcPr>
            <w:tcW w:w="100" w:type="dxa"/>
            <w:vAlign w:val="bottom"/>
            <w:tcBorders>
              <w:bottom w:val="single" w:sz="8" w:color="auto"/>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(3,324)</w:t>
            </w:r>
          </w:p>
        </w:tc>
      </w:tr>
      <w:tr>
        <w:trPr>
          <w:trHeight w:val="243"/>
        </w:trPr>
        <w:tc>
          <w:tcPr>
            <w:tcW w:w="646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314,425</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315,829</w:t>
            </w:r>
          </w:p>
        </w:tc>
      </w:tr>
      <w:tr>
        <w:trPr>
          <w:trHeight w:val="20"/>
        </w:trPr>
        <w:tc>
          <w:tcPr>
            <w:tcW w:w="6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First Lien</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through its wholly-owned subsidiaries, PHD Intermediate LLC (“Holdings”), Portillo’s Holdings LLC (the “Borrower”) and certain other subsidiaries entered into the First Lien Credit Agreement ("First Lien Credit Agreement"), dated as of August 1, 2014 and as amended October 25, 2016, May 18, 2018 and December 6, 2019, with UBS AG, Stamford Branch, as the administrative agent and collateral agent, and other lenders from time to time party thereto (the “First Lien Lenders”). The First Lien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“Revolving Facility” and the loans thereunder, the “Revolving Loans”).</w:t>
      </w:r>
    </w:p>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6, 2019, the Borrower entered a third amendment to the First Lien Credit Agreement (the “Third Amendment to First Lien Credit Agreement”) whereby the aggregate principal amount of the term loans as of the effective date of the Third Amendment to First Lien Credit Agreement was $332.4 million (the “First Lien Term B-3 Loans”), and the Revolving Facility was increased by $50 million. The maturity date with respect to the First Lien Term B-3 Loans was extended to September 6, 2024 and the maturity date with respect to the Revolving Loans date was extended to June 6, 2024.</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Third Amendment to First Lien Credit Agreement, the interest rates spread for the First Lien Term B-3 Loans increased by 100 basis points to 5.50% for the adjusted London interbank offered rate ("Eurocurrency Rate") loans. As of December 25, 2022, December 26, 2021, and December 27, 2020 the interest rate on the First Lien Term B-3 Loans was 9.57%, 6.50%, and 6.50%, respectively. Beginning with December 31, 2019, the Company is required to pay on the last business day of each calendar quarter, March 31, June 30, September 30, and December 31, an aggregate principal amount of $0.8 million.</w:t>
      </w:r>
    </w:p>
    <w:p>
      <w:pPr>
        <w:spacing w:after="0" w:line="20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December 25, 2022 and December 26, 2021, the Company had no borrowings under the Revolving Facility. As of December 25, 2022, December 26, 2021 and December 27, 2020, the interest rate on the Revolving Facility was 3.25%, subject to change based on a consolidated first lien net leverage ratio as defined in the First Lien Credit Agreement. As of December 25, 2022, December 26, 2021 and December 27, 2020, the commitment fees, pursuant to the First Lien, to maintain the Revolving Facility were 0.250%. Also pursuant to the First Lien Credit Agreement, as of December 25, 2022, December 26, 2021 and December 27, 2020, letter of credit fronting fees were</w:t>
      </w:r>
    </w:p>
    <w:p>
      <w:pPr>
        <w:spacing w:after="0" w:line="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0.125%, respectively. Commitment fees and letter of credit fronting fees were recorded as interest expense in the consolidated statements of operations.</w:t>
      </w:r>
    </w:p>
    <w:p>
      <w:pPr>
        <w:spacing w:after="0" w:line="19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As of December 25, 2022, December 26, 2021, and December 27, 2020, the effective interest rate was 10.39%, 7.63%, and 7.38%, respectively.</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Company had $4.2 million of letters of credit issued against the Revolving Facility as of December 25, 2022 and December 26, 2021. As of December 25, 2022, the Company had $45.8 million of availability under the Revolving Facility.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 Lien</w:t>
      </w:r>
    </w:p>
    <w:p>
      <w:pPr>
        <w:spacing w:after="0" w:line="26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Holdings, the Borrower and certain of its subsidiaries entered into the Second Lien Credit Agreement (the “Second Lien Credit Agreement”) dated as of August 1, 2014 and as amended on October 25, 2016 and December 6, 2019 with UBS AG, Stamford Branch, as administrative agent and collateral agent, and other lenders from time to time party thereto (the “Second Lien Lenders”). The Second Lien Lenders extended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credit in the form of initial second lien term loans in an initial aggregate principal amount of $80.0 million.</w:t>
      </w:r>
    </w:p>
    <w:p>
      <w:pPr>
        <w:spacing w:after="0" w:line="2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6, 2019, the Borrower entered into second amendment to the Second Lien Credit Agreement (the “Second Amendment to Second Lien Credit Agreement”) whereby the aggregate principal amount of the term loans as of the effective date of the Second Amendment to the Second Lien Credit Agreement was $155.0 million (the “Second Lien Term B-3 Loans”). The maturity date of the Second Lien Term B-3 Loans was extended to December 6, 2024. In addition to the increased principal amount, the interest rates spread for the Second Lien Term B-3 Loans increased by 150 basis points to 9.50% for Eurocurrency Rate loans. The Borrower determined interest on the Second Lien at the Eurocurrency Rate, plus 9.50%.</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connection with the IPO, the Company received aggregate net proceeds of approximately $ 430.0 million after deducting underwriting discounts and commissions and offering expenses. Net proceeds of $158.1 million were used to repay the Second Lien Term B-3 Loans in full, including a $3.1 million prepayment penalty, which was recorded as a loss on debt extinguishment during the year ended December 26, 2021 in the consolidated statement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Maturities of long-term debt</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Principal payments on long-term debt (excluding the Revolving Facility) outstanding at December 25, 2022 for each year through maturity are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80" w:type="dxa"/>
            <w:vAlign w:val="bottom"/>
            <w:shd w:val="clear" w:color="auto" w:fill="DBDBDB"/>
          </w:tcPr>
          <w:p>
            <w:pPr>
              <w:jc w:val="right"/>
              <w:ind w:right="8419"/>
              <w:spacing w:after="0"/>
              <w:rPr>
                <w:sz w:val="20"/>
                <w:szCs w:val="20"/>
                <w:color w:val="auto"/>
              </w:rPr>
            </w:pPr>
            <w:r>
              <w:rPr>
                <w:rFonts w:ascii="Arial" w:cs="Arial" w:eastAsia="Arial" w:hAnsi="Arial"/>
                <w:sz w:val="16"/>
                <w:szCs w:val="16"/>
                <w:color w:val="auto"/>
              </w:rPr>
              <w:t>2023</w:t>
            </w:r>
          </w:p>
        </w:tc>
        <w:tc>
          <w:tcPr>
            <w:tcW w:w="860" w:type="dxa"/>
            <w:vAlign w:val="bottom"/>
            <w:shd w:val="clear" w:color="auto" w:fill="DBDBDB"/>
          </w:tcPr>
          <w:p>
            <w:pPr>
              <w:jc w:val="right"/>
              <w:ind w:right="6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4,155</w:t>
            </w:r>
          </w:p>
        </w:tc>
      </w:tr>
      <w:tr>
        <w:trPr>
          <w:trHeight w:val="236"/>
        </w:trPr>
        <w:tc>
          <w:tcPr>
            <w:tcW w:w="8880" w:type="dxa"/>
            <w:vAlign w:val="bottom"/>
            <w:tcBorders>
              <w:bottom w:val="single" w:sz="8" w:color="DBDBDB"/>
            </w:tcBorders>
          </w:tcPr>
          <w:p>
            <w:pPr>
              <w:jc w:val="right"/>
              <w:ind w:right="8419"/>
              <w:spacing w:after="0"/>
              <w:rPr>
                <w:sz w:val="20"/>
                <w:szCs w:val="20"/>
                <w:color w:val="auto"/>
              </w:rPr>
            </w:pPr>
            <w:r>
              <w:rPr>
                <w:rFonts w:ascii="Arial" w:cs="Arial" w:eastAsia="Arial" w:hAnsi="Arial"/>
                <w:sz w:val="16"/>
                <w:szCs w:val="16"/>
                <w:color w:val="auto"/>
              </w:rPr>
              <w:t>2024</w:t>
            </w:r>
          </w:p>
        </w:tc>
        <w:tc>
          <w:tcPr>
            <w:tcW w:w="8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318,273</w:t>
            </w:r>
          </w:p>
        </w:tc>
      </w:tr>
      <w:tr>
        <w:trPr>
          <w:trHeight w:val="262"/>
        </w:trPr>
        <w:tc>
          <w:tcPr>
            <w:tcW w:w="8880" w:type="dxa"/>
            <w:vAlign w:val="bottom"/>
            <w:tcBorders>
              <w:bottom w:val="single" w:sz="8" w:color="DBDBDB"/>
            </w:tcBorders>
            <w:shd w:val="clear" w:color="auto" w:fill="DBDBDB"/>
          </w:tcPr>
          <w:p>
            <w:pPr>
              <w:spacing w:after="0"/>
              <w:rPr>
                <w:sz w:val="22"/>
                <w:szCs w:val="22"/>
                <w:color w:val="auto"/>
              </w:rPr>
            </w:pPr>
          </w:p>
        </w:tc>
        <w:tc>
          <w:tcPr>
            <w:tcW w:w="860" w:type="dxa"/>
            <w:vAlign w:val="bottom"/>
            <w:tcBorders>
              <w:bottom w:val="single" w:sz="8" w:color="auto"/>
            </w:tcBorders>
            <w:shd w:val="clear" w:color="auto" w:fill="DBDBDB"/>
          </w:tcPr>
          <w:p>
            <w:pPr>
              <w:jc w:val="right"/>
              <w:ind w:right="6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322,428</w:t>
            </w:r>
          </w:p>
        </w:tc>
      </w:tr>
      <w:tr>
        <w:trPr>
          <w:trHeight w:val="20"/>
        </w:trPr>
        <w:tc>
          <w:tcPr>
            <w:tcW w:w="88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and Debt Issuance Costs</w:t>
      </w:r>
    </w:p>
    <w:p>
      <w:pPr>
        <w:spacing w:after="0" w:line="24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connection with entering into the Third Amendment to First Lien Credit Agreement and the Second Amendment to Second Lien Credit Agreement, in each case, dated as of December 6, 2019, the Borrower paid debt issuance costs of $14.5 million, of which $13.3 million were capitalized and are being amortized over the term of the related debt agreements, and $1.2 million were expensed as incurred.</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connection with the repayment of the Second Lien Term B-3 Loans as described above, deferred financing costs and original issuance discount of $ 4.2 million were recorded as a loss on debt extinguishment during the year ended December 26, 2021 in the consolidated statement of operations.</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amortized $2.0 million, $2.1 million and $2.2 million of deferred financing costs, respectively, during each of the years ended December 25, 2022, December 26, 2021 and December 27, 2020, which was included in interest expense in the consolidated statements of operations. In addition, the Company also amortized $0.8 million, $1.5 million and $1.6 million in original issue discount related to the long-term debt, respectively, during each of the years ended December 25, 2022, December 26, 2021 and December 27, 2020 which was included in interest expense in the consolidated statements of operations.</w:t>
      </w:r>
    </w:p>
    <w:p>
      <w:pPr>
        <w:spacing w:after="0" w:line="206"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Total interest costs incurred were $27.6 million, $39.7 million and $45.0 million for the years ended December 25, 2022, December 26, 2021 and December 27, 2020, respectively. Total loss on debt extinguishment was $7.3 million for the year ended December 26, 2021. There was no such loss for the years ended December 25, 2022 and December 27, 2020.</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December 25, 2022 and December 26, 2021,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pacing w:after="0" w:line="198"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Borrowings under the First Lien Credit Agreement are guaranteed by Holdings,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Borrower is subject to certain financial and reporting covenants pursuant to the terms of the First Lien Credit Agreement. These covenants are customary for these types of debt agreements. As of December 25, 2022, the Company was in compliance with all covenants.</w:t>
      </w:r>
    </w:p>
    <w:p>
      <w:pPr>
        <w:spacing w:after="0" w:line="18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See Note 18. Subsequent Events for a description of a new credit agreement and the repayment of borrowings under the First Lien Credit Agreement.</w:t>
      </w:r>
    </w:p>
    <w:p>
      <w:pPr>
        <w:spacing w:after="0" w:line="174"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tab/>
        <w:t>LEASES</w:t>
      </w:r>
    </w:p>
    <w:p>
      <w:pPr>
        <w:spacing w:after="0" w:line="258"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On December 27, 2021, the Company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along with related clarifications and improvements, using a modified retrospective approach. Results for reporting periods beginning on or after December 27, 2021 are presented under ASC 842. Prior period amounts were not revised and continue to be reported in accordance with ASC 840, the accounting standard then in effect.</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Upon transition, on December 27, 2021, we recorded the following increases (decreases) to the respective line items on the consolidated balance sheet, including a net increase to opening stockholders' equity, due to the cumulative impact of adopting ASC 842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ind w:right="259"/>
              <w:spacing w:after="0"/>
              <w:rPr>
                <w:sz w:val="20"/>
                <w:szCs w:val="20"/>
                <w:color w:val="auto"/>
              </w:rPr>
            </w:pPr>
            <w:r>
              <w:rPr>
                <w:rFonts w:ascii="Arial" w:cs="Arial" w:eastAsia="Arial" w:hAnsi="Arial"/>
                <w:sz w:val="16"/>
                <w:szCs w:val="16"/>
                <w:b w:val="1"/>
                <w:bCs w:val="1"/>
                <w:color w:val="auto"/>
              </w:rPr>
              <w:t>Adjustment as of</w:t>
            </w:r>
          </w:p>
        </w:tc>
      </w:tr>
      <w:tr>
        <w:trPr>
          <w:trHeight w:val="226"/>
        </w:trPr>
        <w:tc>
          <w:tcPr>
            <w:tcW w:w="924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27, 2021</w:t>
            </w:r>
          </w:p>
        </w:tc>
      </w:tr>
      <w:tr>
        <w:trPr>
          <w:trHeight w:val="240"/>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162,810</w:t>
            </w:r>
          </w:p>
        </w:tc>
      </w:tr>
      <w:tr>
        <w:trPr>
          <w:trHeight w:val="235"/>
        </w:trPr>
        <w:tc>
          <w:tcPr>
            <w:tcW w:w="92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(1,142)</w:t>
            </w:r>
          </w:p>
        </w:tc>
      </w:tr>
      <w:tr>
        <w:trPr>
          <w:trHeight w:val="251"/>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Short-term operating lease liability</w:t>
            </w: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4,405</w:t>
            </w:r>
          </w:p>
        </w:tc>
      </w:tr>
      <w:tr>
        <w:trPr>
          <w:trHeight w:val="235"/>
        </w:trPr>
        <w:tc>
          <w:tcPr>
            <w:tcW w:w="9240" w:type="dxa"/>
            <w:vAlign w:val="bottom"/>
          </w:tcPr>
          <w:p>
            <w:pPr>
              <w:ind w:left="20"/>
              <w:spacing w:after="0"/>
              <w:rPr>
                <w:sz w:val="20"/>
                <w:szCs w:val="20"/>
                <w:color w:val="auto"/>
              </w:rPr>
            </w:pPr>
            <w:r>
              <w:rPr>
                <w:rFonts w:ascii="Arial" w:cs="Arial" w:eastAsia="Arial" w:hAnsi="Arial"/>
                <w:sz w:val="16"/>
                <w:szCs w:val="16"/>
                <w:color w:val="auto"/>
              </w:rPr>
              <w:t>Deferred rent</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(32,174)</w:t>
            </w:r>
          </w:p>
        </w:tc>
      </w:tr>
      <w:tr>
        <w:trPr>
          <w:trHeight w:val="251"/>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Long-term operating lease liability</w:t>
            </w: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189,682</w:t>
            </w:r>
          </w:p>
        </w:tc>
      </w:tr>
      <w:tr>
        <w:trPr>
          <w:trHeight w:val="235"/>
        </w:trPr>
        <w:tc>
          <w:tcPr>
            <w:tcW w:w="92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(461)</w:t>
            </w:r>
          </w:p>
        </w:tc>
      </w:tr>
      <w:tr>
        <w:trPr>
          <w:trHeight w:val="251"/>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Stockholders' equity</w:t>
            </w:r>
            <w:r>
              <w:rPr>
                <w:rFonts w:ascii="Arial" w:cs="Arial" w:eastAsia="Arial" w:hAnsi="Arial"/>
                <w:sz w:val="21"/>
                <w:szCs w:val="21"/>
                <w:color w:val="auto"/>
                <w:vertAlign w:val="superscript"/>
              </w:rPr>
              <w:t>1</w:t>
            </w: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461</w:t>
            </w:r>
          </w:p>
        </w:tc>
      </w:tr>
    </w:tbl>
    <w:p>
      <w:pPr>
        <w:spacing w:after="0" w:line="80" w:lineRule="exact"/>
        <w:rPr>
          <w:sz w:val="20"/>
          <w:szCs w:val="20"/>
          <w:color w:val="auto"/>
        </w:rPr>
      </w:pPr>
    </w:p>
    <w:p>
      <w:pPr>
        <w:ind w:right="20" w:firstLine="8"/>
        <w:spacing w:after="0" w:line="215" w:lineRule="auto"/>
        <w:tabs>
          <w:tab w:leader="none" w:pos="97"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The unamortized balance of a deferred gain associated with sale leaseback transactions totaling approximately $0.5 million was written-off to stockholders' equity on the date of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lease right-of-use assets and liabilities is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2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auto"/>
              </w:rPr>
              <w:t>Operating leases</w:t>
            </w:r>
          </w:p>
        </w:tc>
        <w:tc>
          <w:tcPr>
            <w:tcW w:w="7120" w:type="dxa"/>
            <w:vAlign w:val="bottom"/>
            <w:tcBorders>
              <w:bottom w:val="single" w:sz="8" w:color="DBDBDB"/>
            </w:tcBorders>
          </w:tcPr>
          <w:p>
            <w:pPr>
              <w:ind w:left="140"/>
              <w:spacing w:after="0"/>
              <w:rPr>
                <w:sz w:val="20"/>
                <w:szCs w:val="20"/>
                <w:color w:val="auto"/>
              </w:rPr>
            </w:pPr>
            <w:r>
              <w:rPr>
                <w:rFonts w:ascii="Arial" w:cs="Arial" w:eastAsia="Arial" w:hAnsi="Arial"/>
                <w:sz w:val="16"/>
                <w:szCs w:val="16"/>
                <w:b w:val="1"/>
                <w:bCs w:val="1"/>
                <w:color w:val="auto"/>
              </w:rPr>
              <w:t>Classification</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25, 2022</w:t>
            </w:r>
          </w:p>
        </w:tc>
      </w:tr>
      <w:tr>
        <w:trPr>
          <w:trHeight w:val="234"/>
        </w:trPr>
        <w:tc>
          <w:tcPr>
            <w:tcW w:w="2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Right-of-use assets</w:t>
            </w:r>
          </w:p>
        </w:tc>
        <w:tc>
          <w:tcPr>
            <w:tcW w:w="71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Operating lease assets</w:t>
            </w: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166,808</w:t>
            </w:r>
          </w:p>
        </w:tc>
      </w:tr>
      <w:tr>
        <w:trPr>
          <w:trHeight w:val="237"/>
        </w:trPr>
        <w:tc>
          <w:tcPr>
            <w:tcW w:w="21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166,808</w:t>
            </w:r>
          </w:p>
        </w:tc>
      </w:tr>
      <w:tr>
        <w:trPr>
          <w:trHeight w:val="20"/>
        </w:trPr>
        <w:tc>
          <w:tcPr>
            <w:tcW w:w="2120" w:type="dxa"/>
            <w:vAlign w:val="bottom"/>
            <w:tcBorders>
              <w:bottom w:val="single" w:sz="8" w:color="DBDBDB"/>
            </w:tcBorders>
          </w:tcPr>
          <w:p>
            <w:pPr>
              <w:spacing w:after="0" w:line="20" w:lineRule="exact"/>
              <w:rPr>
                <w:sz w:val="1"/>
                <w:szCs w:val="1"/>
                <w:color w:val="auto"/>
              </w:rPr>
            </w:pPr>
          </w:p>
        </w:tc>
        <w:tc>
          <w:tcPr>
            <w:tcW w:w="712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3"/>
        </w:trPr>
        <w:tc>
          <w:tcPr>
            <w:tcW w:w="2120" w:type="dxa"/>
            <w:vAlign w:val="bottom"/>
            <w:shd w:val="clear" w:color="auto" w:fill="DBDBDB"/>
          </w:tcPr>
          <w:p>
            <w:pPr>
              <w:spacing w:after="0"/>
              <w:rPr>
                <w:sz w:val="21"/>
                <w:szCs w:val="21"/>
                <w:color w:val="auto"/>
              </w:rPr>
            </w:pPr>
          </w:p>
        </w:tc>
        <w:tc>
          <w:tcPr>
            <w:tcW w:w="712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r>
      <w:tr>
        <w:trPr>
          <w:trHeight w:val="235"/>
        </w:trPr>
        <w:tc>
          <w:tcPr>
            <w:tcW w:w="212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7120" w:type="dxa"/>
            <w:vAlign w:val="bottom"/>
          </w:tcPr>
          <w:p>
            <w:pPr>
              <w:ind w:left="140"/>
              <w:spacing w:after="0"/>
              <w:rPr>
                <w:sz w:val="20"/>
                <w:szCs w:val="20"/>
                <w:color w:val="auto"/>
              </w:rPr>
            </w:pPr>
            <w:r>
              <w:rPr>
                <w:rFonts w:ascii="Arial" w:cs="Arial" w:eastAsia="Arial" w:hAnsi="Arial"/>
                <w:sz w:val="16"/>
                <w:szCs w:val="16"/>
                <w:color w:val="auto"/>
              </w:rPr>
              <w:t>Short-term operating lease liability</w:t>
            </w: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4,849</w:t>
            </w:r>
          </w:p>
        </w:tc>
      </w:tr>
      <w:tr>
        <w:trPr>
          <w:trHeight w:val="244"/>
        </w:trPr>
        <w:tc>
          <w:tcPr>
            <w:tcW w:w="21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Non-current lease liabilities</w:t>
            </w:r>
          </w:p>
        </w:tc>
        <w:tc>
          <w:tcPr>
            <w:tcW w:w="71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Long-term operating lease liability</w:t>
            </w:r>
          </w:p>
        </w:tc>
        <w:tc>
          <w:tcPr>
            <w:tcW w:w="200" w:type="dxa"/>
            <w:vAlign w:val="bottom"/>
            <w:tcBorders>
              <w:bottom w:val="single" w:sz="8" w:color="auto"/>
            </w:tcBorders>
            <w:shd w:val="clear" w:color="auto" w:fill="DBDBDB"/>
          </w:tcPr>
          <w:p>
            <w:pPr>
              <w:spacing w:after="0"/>
              <w:rPr>
                <w:sz w:val="21"/>
                <w:szCs w:val="21"/>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200,166</w:t>
            </w:r>
          </w:p>
        </w:tc>
      </w:tr>
      <w:tr>
        <w:trPr>
          <w:trHeight w:val="237"/>
        </w:trPr>
        <w:tc>
          <w:tcPr>
            <w:tcW w:w="21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205,015</w:t>
            </w:r>
          </w:p>
        </w:tc>
      </w:tr>
      <w:tr>
        <w:trPr>
          <w:trHeight w:val="27"/>
        </w:trPr>
        <w:tc>
          <w:tcPr>
            <w:tcW w:w="21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760" w:type="dxa"/>
            <w:vAlign w:val="bottom"/>
          </w:tcPr>
          <w:p>
            <w:pPr>
              <w:spacing w:after="0"/>
              <w:rPr>
                <w:sz w:val="20"/>
                <w:szCs w:val="20"/>
                <w:color w:val="auto"/>
              </w:rPr>
            </w:pPr>
            <w:r>
              <w:rPr>
                <w:rFonts w:ascii="Arial" w:cs="Arial" w:eastAsia="Arial" w:hAnsi="Arial"/>
                <w:sz w:val="16"/>
                <w:szCs w:val="16"/>
                <w:b w:val="1"/>
                <w:bCs w:val="1"/>
                <w:color w:val="auto"/>
              </w:rPr>
              <w:t>Operating leases</w:t>
            </w:r>
          </w:p>
        </w:tc>
        <w:tc>
          <w:tcPr>
            <w:tcW w:w="3180" w:type="dxa"/>
            <w:vAlign w:val="bottom"/>
          </w:tcPr>
          <w:p>
            <w:pPr>
              <w:ind w:left="520"/>
              <w:spacing w:after="0"/>
              <w:rPr>
                <w:sz w:val="20"/>
                <w:szCs w:val="20"/>
                <w:color w:val="auto"/>
              </w:rPr>
            </w:pPr>
            <w:r>
              <w:rPr>
                <w:rFonts w:ascii="Arial" w:cs="Arial" w:eastAsia="Arial" w:hAnsi="Arial"/>
                <w:sz w:val="16"/>
                <w:szCs w:val="16"/>
                <w:b w:val="1"/>
                <w:bCs w:val="1"/>
                <w:color w:val="auto"/>
              </w:rPr>
              <w:t>Classification</w:t>
            </w:r>
          </w:p>
        </w:tc>
      </w:tr>
      <w:tr>
        <w:trPr>
          <w:trHeight w:val="209"/>
        </w:trPr>
        <w:tc>
          <w:tcPr>
            <w:tcW w:w="276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6"/>
                <w:szCs w:val="16"/>
                <w:color w:val="auto"/>
              </w:rPr>
              <w:t>Occupancy</w:t>
            </w:r>
          </w:p>
        </w:tc>
      </w:tr>
      <w:tr>
        <w:trPr>
          <w:trHeight w:val="189"/>
        </w:trPr>
        <w:tc>
          <w:tcPr>
            <w:tcW w:w="2760" w:type="dxa"/>
            <w:vAlign w:val="bottom"/>
          </w:tcPr>
          <w:p>
            <w:pPr>
              <w:spacing w:after="0"/>
              <w:rPr>
                <w:sz w:val="16"/>
                <w:szCs w:val="16"/>
                <w:color w:val="auto"/>
              </w:rPr>
            </w:pPr>
          </w:p>
        </w:tc>
        <w:tc>
          <w:tcPr>
            <w:tcW w:w="3180" w:type="dxa"/>
            <w:vAlign w:val="bottom"/>
          </w:tcPr>
          <w:p>
            <w:pPr>
              <w:ind w:left="520"/>
              <w:spacing w:after="0"/>
              <w:rPr>
                <w:sz w:val="20"/>
                <w:szCs w:val="20"/>
                <w:color w:val="auto"/>
              </w:rPr>
            </w:pPr>
            <w:r>
              <w:rPr>
                <w:rFonts w:ascii="Arial" w:cs="Arial" w:eastAsia="Arial" w:hAnsi="Arial"/>
                <w:sz w:val="16"/>
                <w:szCs w:val="16"/>
                <w:color w:val="auto"/>
              </w:rPr>
              <w:t>Other operating expenses</w:t>
            </w:r>
          </w:p>
        </w:tc>
      </w:tr>
      <w:tr>
        <w:trPr>
          <w:trHeight w:val="203"/>
        </w:trPr>
        <w:tc>
          <w:tcPr>
            <w:tcW w:w="2760" w:type="dxa"/>
            <w:vAlign w:val="bottom"/>
          </w:tcPr>
          <w:p>
            <w:pPr>
              <w:spacing w:after="0"/>
              <w:rPr>
                <w:sz w:val="17"/>
                <w:szCs w:val="17"/>
                <w:color w:val="auto"/>
              </w:rPr>
            </w:pPr>
          </w:p>
        </w:tc>
        <w:tc>
          <w:tcPr>
            <w:tcW w:w="3180" w:type="dxa"/>
            <w:vAlign w:val="bottom"/>
          </w:tcPr>
          <w:p>
            <w:pPr>
              <w:ind w:left="520"/>
              <w:spacing w:after="0"/>
              <w:rPr>
                <w:sz w:val="20"/>
                <w:szCs w:val="20"/>
                <w:color w:val="auto"/>
              </w:rPr>
            </w:pPr>
            <w:r>
              <w:rPr>
                <w:rFonts w:ascii="Arial" w:cs="Arial" w:eastAsia="Arial" w:hAnsi="Arial"/>
                <w:sz w:val="16"/>
                <w:szCs w:val="16"/>
                <w:color w:val="auto"/>
                <w:w w:val="99"/>
              </w:rPr>
              <w:t>General and administrative expenses</w:t>
            </w:r>
          </w:p>
        </w:tc>
      </w:tr>
      <w:tr>
        <w:trPr>
          <w:trHeight w:val="228"/>
        </w:trPr>
        <w:tc>
          <w:tcPr>
            <w:tcW w:w="2760" w:type="dxa"/>
            <w:vAlign w:val="bottom"/>
          </w:tcPr>
          <w:p>
            <w:pPr>
              <w:spacing w:after="0"/>
              <w:rPr>
                <w:sz w:val="20"/>
                <w:szCs w:val="20"/>
                <w:color w:val="auto"/>
              </w:rPr>
            </w:pPr>
            <w:r>
              <w:rPr>
                <w:rFonts w:ascii="Arial" w:cs="Arial" w:eastAsia="Arial" w:hAnsi="Arial"/>
                <w:sz w:val="16"/>
                <w:szCs w:val="16"/>
                <w:color w:val="auto"/>
              </w:rPr>
              <w:t>Operating lease cost</w:t>
            </w:r>
          </w:p>
        </w:tc>
        <w:tc>
          <w:tcPr>
            <w:tcW w:w="3180" w:type="dxa"/>
            <w:vAlign w:val="bottom"/>
          </w:tcPr>
          <w:p>
            <w:pPr>
              <w:ind w:left="520"/>
              <w:spacing w:after="0"/>
              <w:rPr>
                <w:sz w:val="20"/>
                <w:szCs w:val="20"/>
                <w:color w:val="auto"/>
              </w:rPr>
            </w:pPr>
            <w:r>
              <w:rPr>
                <w:rFonts w:ascii="Arial" w:cs="Arial" w:eastAsia="Arial" w:hAnsi="Arial"/>
                <w:sz w:val="16"/>
                <w:szCs w:val="16"/>
                <w:color w:val="auto"/>
              </w:rPr>
              <w:t>Pre-opening expenses</w:t>
            </w:r>
          </w:p>
        </w:tc>
      </w:tr>
      <w:tr>
        <w:trPr>
          <w:trHeight w:val="217"/>
        </w:trPr>
        <w:tc>
          <w:tcPr>
            <w:tcW w:w="276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6"/>
                <w:szCs w:val="16"/>
                <w:color w:val="auto"/>
              </w:rPr>
              <w:t>Occupancy</w:t>
            </w:r>
          </w:p>
        </w:tc>
      </w:tr>
      <w:tr>
        <w:trPr>
          <w:trHeight w:val="228"/>
        </w:trPr>
        <w:tc>
          <w:tcPr>
            <w:tcW w:w="2760" w:type="dxa"/>
            <w:vAlign w:val="bottom"/>
          </w:tcPr>
          <w:p>
            <w:pPr>
              <w:spacing w:after="0"/>
              <w:rPr>
                <w:sz w:val="20"/>
                <w:szCs w:val="20"/>
                <w:color w:val="auto"/>
              </w:rPr>
            </w:pPr>
            <w:r>
              <w:rPr>
                <w:rFonts w:ascii="Arial" w:cs="Arial" w:eastAsia="Arial" w:hAnsi="Arial"/>
                <w:sz w:val="16"/>
                <w:szCs w:val="16"/>
                <w:color w:val="auto"/>
              </w:rPr>
              <w:t>Short-term operating lease cost</w:t>
            </w:r>
          </w:p>
        </w:tc>
        <w:tc>
          <w:tcPr>
            <w:tcW w:w="3180" w:type="dxa"/>
            <w:vAlign w:val="bottom"/>
          </w:tcPr>
          <w:p>
            <w:pPr>
              <w:ind w:left="520"/>
              <w:spacing w:after="0"/>
              <w:rPr>
                <w:sz w:val="20"/>
                <w:szCs w:val="20"/>
                <w:color w:val="auto"/>
              </w:rPr>
            </w:pPr>
            <w:r>
              <w:rPr>
                <w:rFonts w:ascii="Arial" w:cs="Arial" w:eastAsia="Arial" w:hAnsi="Arial"/>
                <w:sz w:val="16"/>
                <w:szCs w:val="16"/>
                <w:color w:val="auto"/>
              </w:rPr>
              <w:t>Other operating expenses</w:t>
            </w:r>
          </w:p>
        </w:tc>
      </w:tr>
      <w:tr>
        <w:trPr>
          <w:trHeight w:val="217"/>
        </w:trPr>
        <w:tc>
          <w:tcPr>
            <w:tcW w:w="2760" w:type="dxa"/>
            <w:vAlign w:val="bottom"/>
          </w:tcPr>
          <w:p>
            <w:pPr>
              <w:spacing w:after="0"/>
              <w:rPr>
                <w:sz w:val="18"/>
                <w:szCs w:val="18"/>
                <w:color w:val="auto"/>
              </w:rPr>
            </w:pPr>
          </w:p>
        </w:tc>
        <w:tc>
          <w:tcPr>
            <w:tcW w:w="3180" w:type="dxa"/>
            <w:vAlign w:val="bottom"/>
          </w:tcPr>
          <w:p>
            <w:pPr>
              <w:ind w:left="520"/>
              <w:spacing w:after="0"/>
              <w:rPr>
                <w:sz w:val="20"/>
                <w:szCs w:val="20"/>
                <w:color w:val="auto"/>
              </w:rPr>
            </w:pPr>
            <w:r>
              <w:rPr>
                <w:rFonts w:ascii="Arial" w:cs="Arial" w:eastAsia="Arial" w:hAnsi="Arial"/>
                <w:sz w:val="16"/>
                <w:szCs w:val="16"/>
                <w:color w:val="auto"/>
              </w:rPr>
              <w:t>Occupancy</w:t>
            </w:r>
          </w:p>
        </w:tc>
      </w:tr>
      <w:tr>
        <w:trPr>
          <w:trHeight w:val="189"/>
        </w:trPr>
        <w:tc>
          <w:tcPr>
            <w:tcW w:w="2760" w:type="dxa"/>
            <w:vAlign w:val="bottom"/>
          </w:tcPr>
          <w:p>
            <w:pPr>
              <w:spacing w:after="0"/>
              <w:rPr>
                <w:sz w:val="16"/>
                <w:szCs w:val="16"/>
                <w:color w:val="auto"/>
              </w:rPr>
            </w:pPr>
          </w:p>
        </w:tc>
        <w:tc>
          <w:tcPr>
            <w:tcW w:w="3180" w:type="dxa"/>
            <w:vAlign w:val="bottom"/>
          </w:tcPr>
          <w:p>
            <w:pPr>
              <w:ind w:left="520"/>
              <w:spacing w:after="0"/>
              <w:rPr>
                <w:sz w:val="20"/>
                <w:szCs w:val="20"/>
                <w:color w:val="auto"/>
              </w:rPr>
            </w:pPr>
            <w:r>
              <w:rPr>
                <w:rFonts w:ascii="Arial" w:cs="Arial" w:eastAsia="Arial" w:hAnsi="Arial"/>
                <w:sz w:val="16"/>
                <w:szCs w:val="16"/>
                <w:color w:val="auto"/>
              </w:rPr>
              <w:t>Other operating expenses</w:t>
            </w:r>
          </w:p>
        </w:tc>
      </w:tr>
      <w:tr>
        <w:trPr>
          <w:trHeight w:val="228"/>
        </w:trPr>
        <w:tc>
          <w:tcPr>
            <w:tcW w:w="2760" w:type="dxa"/>
            <w:vAlign w:val="bottom"/>
          </w:tcPr>
          <w:p>
            <w:pPr>
              <w:spacing w:after="0"/>
              <w:rPr>
                <w:sz w:val="20"/>
                <w:szCs w:val="20"/>
                <w:color w:val="auto"/>
              </w:rPr>
            </w:pPr>
            <w:r>
              <w:rPr>
                <w:rFonts w:ascii="Arial" w:cs="Arial" w:eastAsia="Arial" w:hAnsi="Arial"/>
                <w:sz w:val="16"/>
                <w:szCs w:val="16"/>
                <w:color w:val="auto"/>
              </w:rPr>
              <w:t>Variable lease cost</w:t>
            </w:r>
          </w:p>
        </w:tc>
        <w:tc>
          <w:tcPr>
            <w:tcW w:w="3180" w:type="dxa"/>
            <w:vAlign w:val="bottom"/>
          </w:tcPr>
          <w:p>
            <w:pPr>
              <w:ind w:left="520"/>
              <w:spacing w:after="0"/>
              <w:rPr>
                <w:sz w:val="20"/>
                <w:szCs w:val="20"/>
                <w:color w:val="auto"/>
              </w:rPr>
            </w:pPr>
            <w:r>
              <w:rPr>
                <w:rFonts w:ascii="Arial" w:cs="Arial" w:eastAsia="Arial" w:hAnsi="Arial"/>
                <w:sz w:val="16"/>
                <w:szCs w:val="16"/>
                <w:color w:val="auto"/>
                <w:w w:val="99"/>
              </w:rPr>
              <w:t>General and administrative expenses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132320" cy="403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-1207135</wp:posOffset>
            </wp:positionV>
            <wp:extent cx="7132320" cy="531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lease terms and discount rates for operating leases is as follows:</w:t>
      </w:r>
    </w:p>
    <w:p>
      <w:pPr>
        <w:spacing w:after="0" w:line="3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remaining lease term (years):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discount rate: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Fiscal Year Ended</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December 25, 2022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20" w:hanging="1420"/>
        <w:spacing w:after="0"/>
        <w:tabs>
          <w:tab w:leader="none" w:pos="1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25,735</w:t>
      </w:r>
    </w:p>
    <w:p>
      <w:pPr>
        <w:spacing w:after="0" w:line="261" w:lineRule="exact"/>
        <w:rPr>
          <w:rFonts w:ascii="Arial" w:cs="Arial" w:eastAsia="Arial" w:hAnsi="Arial"/>
          <w:sz w:val="16"/>
          <w:szCs w:val="16"/>
          <w:color w:val="auto"/>
        </w:rPr>
      </w:pPr>
    </w:p>
    <w:p>
      <w:pPr>
        <w:ind w:left="1640"/>
        <w:spacing w:after="0"/>
        <w:rPr>
          <w:rFonts w:ascii="Arial" w:cs="Arial" w:eastAsia="Arial" w:hAnsi="Arial"/>
          <w:sz w:val="16"/>
          <w:szCs w:val="16"/>
          <w:color w:val="auto"/>
        </w:rPr>
      </w:pPr>
      <w:r>
        <w:rPr>
          <w:rFonts w:ascii="Arial" w:cs="Arial" w:eastAsia="Arial" w:hAnsi="Arial"/>
          <w:sz w:val="16"/>
          <w:szCs w:val="16"/>
          <w:color w:val="auto"/>
        </w:rPr>
        <w:t>698</w:t>
      </w:r>
    </w:p>
    <w:p>
      <w:pPr>
        <w:spacing w:after="0" w:line="200" w:lineRule="exact"/>
        <w:rPr>
          <w:sz w:val="20"/>
          <w:szCs w:val="20"/>
          <w:color w:val="auto"/>
        </w:rPr>
      </w:pPr>
    </w:p>
    <w:p>
      <w:pPr>
        <w:spacing w:after="0" w:line="25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3,604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2687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53" w:lineRule="exact"/>
        <w:rPr>
          <w:sz w:val="20"/>
          <w:szCs w:val="20"/>
          <w:color w:val="auto"/>
        </w:rPr>
      </w:pPr>
    </w:p>
    <w:p>
      <w:pPr>
        <w:ind w:left="1420" w:hanging="1420"/>
        <w:spacing w:after="0"/>
        <w:tabs>
          <w:tab w:leader="none" w:pos="14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30,037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2687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687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55245</wp:posOffset>
            </wp:positionV>
            <wp:extent cx="12687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December 25, 2022</w:t>
      </w:r>
    </w:p>
    <w:p>
      <w:pPr>
        <w:spacing w:after="0" w:line="86"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25.0</w:t>
      </w:r>
    </w:p>
    <w:p>
      <w:pPr>
        <w:spacing w:after="0" w:line="5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9.8 %</w:t>
      </w:r>
    </w:p>
    <w:p>
      <w:pPr>
        <w:spacing w:after="0" w:line="200" w:lineRule="exact"/>
        <w:rPr>
          <w:sz w:val="20"/>
          <w:szCs w:val="20"/>
          <w:color w:val="auto"/>
        </w:rPr>
      </w:pPr>
    </w:p>
    <w:p>
      <w:pPr>
        <w:sectPr>
          <w:pgSz w:w="11900" w:h="16838" w:orient="portrait"/>
          <w:cols w:equalWidth="0" w:num="2">
            <w:col w:w="8540" w:space="720"/>
            <w:col w:w="1980"/>
          </w:cols>
          <w:pgMar w:left="320" w:top="11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 Year Ended</w:t>
            </w:r>
          </w:p>
        </w:tc>
      </w:tr>
      <w:tr>
        <w:trPr>
          <w:trHeight w:val="247"/>
        </w:trPr>
        <w:tc>
          <w:tcPr>
            <w:tcW w:w="9240" w:type="dxa"/>
            <w:vAlign w:val="bottom"/>
            <w:tcBorders>
              <w:bottom w:val="single" w:sz="8" w:color="DBDBDB"/>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25, 2022</w:t>
            </w:r>
          </w:p>
        </w:tc>
      </w:tr>
      <w:tr>
        <w:trPr>
          <w:trHeight w:val="227"/>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00" w:type="dxa"/>
            <w:vAlign w:val="bottom"/>
            <w:shd w:val="clear" w:color="auto" w:fill="DBDBDB"/>
          </w:tcPr>
          <w:p>
            <w:pPr>
              <w:spacing w:after="0"/>
              <w:rPr>
                <w:sz w:val="19"/>
                <w:szCs w:val="19"/>
                <w:color w:val="auto"/>
              </w:rPr>
            </w:pPr>
          </w:p>
        </w:tc>
        <w:tc>
          <w:tcPr>
            <w:tcW w:w="1800" w:type="dxa"/>
            <w:vAlign w:val="bottom"/>
            <w:shd w:val="clear" w:color="auto" w:fill="DBDBDB"/>
          </w:tcPr>
          <w:p>
            <w:pPr>
              <w:spacing w:after="0"/>
              <w:rPr>
                <w:sz w:val="19"/>
                <w:szCs w:val="19"/>
                <w:color w:val="auto"/>
              </w:rPr>
            </w:pPr>
          </w:p>
        </w:tc>
      </w:tr>
      <w:tr>
        <w:trPr>
          <w:trHeight w:val="235"/>
        </w:trPr>
        <w:tc>
          <w:tcPr>
            <w:tcW w:w="9240" w:type="dxa"/>
            <w:vAlign w:val="bottom"/>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21,476</w:t>
            </w:r>
          </w:p>
        </w:tc>
      </w:tr>
      <w:tr>
        <w:trPr>
          <w:trHeight w:val="251"/>
        </w:trPr>
        <w:tc>
          <w:tcPr>
            <w:tcW w:w="9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Operating lease assets obtained in exchange for lease liabilities:</w:t>
            </w:r>
          </w:p>
        </w:tc>
        <w:tc>
          <w:tcPr>
            <w:tcW w:w="20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r>
      <w:tr>
        <w:trPr>
          <w:trHeight w:val="227"/>
        </w:trPr>
        <w:tc>
          <w:tcPr>
            <w:tcW w:w="9240" w:type="dxa"/>
            <w:vAlign w:val="bottom"/>
          </w:tcPr>
          <w:p>
            <w:pPr>
              <w:ind w:left="140"/>
              <w:spacing w:after="0"/>
              <w:rPr>
                <w:sz w:val="20"/>
                <w:szCs w:val="20"/>
                <w:color w:val="auto"/>
              </w:rPr>
            </w:pPr>
            <w:r>
              <w:rPr>
                <w:rFonts w:ascii="Arial" w:cs="Arial" w:eastAsia="Arial" w:hAnsi="Arial"/>
                <w:sz w:val="16"/>
                <w:szCs w:val="16"/>
                <w:color w:val="auto"/>
              </w:rPr>
              <w:t>Operating leases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10,682</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25, 2022, the maturity analysis of the lease liabilities consisted of the following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20" w:type="dxa"/>
            <w:vAlign w:val="bottom"/>
            <w:gridSpan w:val="2"/>
          </w:tcPr>
          <w:p>
            <w:pPr>
              <w:spacing w:after="0"/>
              <w:rPr>
                <w:sz w:val="20"/>
                <w:szCs w:val="20"/>
                <w:color w:val="auto"/>
              </w:rPr>
            </w:pPr>
            <w:r>
              <w:rPr>
                <w:rFonts w:ascii="Arial" w:cs="Arial" w:eastAsia="Arial" w:hAnsi="Arial"/>
                <w:sz w:val="16"/>
                <w:szCs w:val="16"/>
                <w:b w:val="1"/>
                <w:bCs w:val="1"/>
                <w:color w:val="auto"/>
              </w:rPr>
              <w:t>Year Ending</w:t>
            </w:r>
          </w:p>
        </w:tc>
        <w:tc>
          <w:tcPr>
            <w:tcW w:w="220" w:type="dxa"/>
            <w:vAlign w:val="bottom"/>
          </w:tcPr>
          <w:p>
            <w:pPr>
              <w:spacing w:after="0"/>
              <w:rPr>
                <w:sz w:val="16"/>
                <w:szCs w:val="16"/>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rPr>
              <w:t>Operating Leases</w:t>
            </w:r>
          </w:p>
        </w:tc>
      </w:tr>
      <w:tr>
        <w:trPr>
          <w:trHeight w:val="34"/>
        </w:trPr>
        <w:tc>
          <w:tcPr>
            <w:tcW w:w="20" w:type="dxa"/>
            <w:vAlign w:val="bottom"/>
            <w:tcBorders>
              <w:bottom w:val="single" w:sz="8" w:color="DBDBDB"/>
            </w:tcBorders>
          </w:tcPr>
          <w:p>
            <w:pPr>
              <w:spacing w:after="0"/>
              <w:rPr>
                <w:sz w:val="2"/>
                <w:szCs w:val="2"/>
                <w:color w:val="auto"/>
              </w:rPr>
            </w:pPr>
          </w:p>
        </w:tc>
        <w:tc>
          <w:tcPr>
            <w:tcW w:w="940" w:type="dxa"/>
            <w:vAlign w:val="bottom"/>
            <w:tcBorders>
              <w:top w:val="single" w:sz="8" w:color="auto"/>
              <w:bottom w:val="single" w:sz="8" w:color="DBDBDB"/>
            </w:tcBorders>
          </w:tcPr>
          <w:p>
            <w:pPr>
              <w:spacing w:after="0"/>
              <w:rPr>
                <w:sz w:val="2"/>
                <w:szCs w:val="2"/>
                <w:color w:val="auto"/>
              </w:rPr>
            </w:pPr>
          </w:p>
        </w:tc>
        <w:tc>
          <w:tcPr>
            <w:tcW w:w="82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2023</w:t>
            </w:r>
          </w:p>
        </w:tc>
        <w:tc>
          <w:tcPr>
            <w:tcW w:w="8280" w:type="dxa"/>
            <w:vAlign w:val="bottom"/>
            <w:shd w:val="clear" w:color="auto" w:fill="DBDBDB"/>
          </w:tcPr>
          <w:p>
            <w:pPr>
              <w:spacing w:after="0"/>
              <w:rPr>
                <w:sz w:val="20"/>
                <w:szCs w:val="20"/>
                <w:color w:val="auto"/>
              </w:rPr>
            </w:pPr>
          </w:p>
        </w:tc>
        <w:tc>
          <w:tcPr>
            <w:tcW w:w="22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22,914</w:t>
            </w:r>
          </w:p>
        </w:tc>
      </w:tr>
      <w:tr>
        <w:trPr>
          <w:trHeight w:val="235"/>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2024</w:t>
            </w:r>
          </w:p>
        </w:tc>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22,837</w:t>
            </w:r>
          </w:p>
        </w:tc>
      </w:tr>
      <w:tr>
        <w:trPr>
          <w:trHeight w:val="251"/>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2025</w:t>
            </w:r>
          </w:p>
        </w:tc>
        <w:tc>
          <w:tcPr>
            <w:tcW w:w="82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22,893</w:t>
            </w:r>
          </w:p>
        </w:tc>
      </w:tr>
      <w:tr>
        <w:trPr>
          <w:trHeight w:val="235"/>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2026</w:t>
            </w:r>
          </w:p>
        </w:tc>
        <w:tc>
          <w:tcPr>
            <w:tcW w:w="8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22,971</w:t>
            </w:r>
          </w:p>
        </w:tc>
      </w:tr>
      <w:tr>
        <w:trPr>
          <w:trHeight w:val="251"/>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2027</w:t>
            </w:r>
          </w:p>
        </w:tc>
        <w:tc>
          <w:tcPr>
            <w:tcW w:w="828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22,222</w:t>
            </w:r>
          </w:p>
        </w:tc>
      </w:tr>
      <w:tr>
        <w:trPr>
          <w:trHeight w:val="237"/>
        </w:trPr>
        <w:tc>
          <w:tcPr>
            <w:tcW w:w="20" w:type="dxa"/>
            <w:vAlign w:val="bottom"/>
            <w:tcBorders>
              <w:bottom w:val="single" w:sz="8" w:color="DBDBDB"/>
            </w:tcBorders>
          </w:tcPr>
          <w:p>
            <w:pPr>
              <w:spacing w:after="0"/>
              <w:rPr>
                <w:sz w:val="20"/>
                <w:szCs w:val="20"/>
                <w:color w:val="auto"/>
              </w:rPr>
            </w:pPr>
          </w:p>
        </w:tc>
        <w:tc>
          <w:tcPr>
            <w:tcW w:w="922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516,959</w:t>
            </w:r>
          </w:p>
        </w:tc>
      </w:tr>
      <w:tr>
        <w:trPr>
          <w:trHeight w:val="243"/>
        </w:trPr>
        <w:tc>
          <w:tcPr>
            <w:tcW w:w="20" w:type="dxa"/>
            <w:vAlign w:val="bottom"/>
            <w:shd w:val="clear" w:color="auto" w:fill="DBDBDB"/>
          </w:tcPr>
          <w:p>
            <w:pPr>
              <w:spacing w:after="0"/>
              <w:rPr>
                <w:sz w:val="21"/>
                <w:szCs w:val="21"/>
                <w:color w:val="auto"/>
              </w:rPr>
            </w:pPr>
          </w:p>
        </w:tc>
        <w:tc>
          <w:tcPr>
            <w:tcW w:w="9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Total lease payments</w:t>
            </w:r>
          </w:p>
        </w:tc>
        <w:tc>
          <w:tcPr>
            <w:tcW w:w="220" w:type="dxa"/>
            <w:vAlign w:val="bottom"/>
            <w:shd w:val="clear" w:color="auto" w:fill="DBDBDB"/>
          </w:tcPr>
          <w:p>
            <w:pPr>
              <w:spacing w:after="0"/>
              <w:rPr>
                <w:sz w:val="21"/>
                <w:szCs w:val="21"/>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630,796</w:t>
            </w:r>
          </w:p>
        </w:tc>
      </w:tr>
      <w:tr>
        <w:trPr>
          <w:trHeight w:val="236"/>
        </w:trPr>
        <w:tc>
          <w:tcPr>
            <w:tcW w:w="20" w:type="dxa"/>
            <w:vAlign w:val="bottom"/>
            <w:tcBorders>
              <w:bottom w:val="single" w:sz="8" w:color="DBDBDB"/>
            </w:tcBorders>
          </w:tcPr>
          <w:p>
            <w:pPr>
              <w:spacing w:after="0"/>
              <w:rPr>
                <w:sz w:val="20"/>
                <w:szCs w:val="20"/>
                <w:color w:val="auto"/>
              </w:rPr>
            </w:pPr>
          </w:p>
        </w:tc>
        <w:tc>
          <w:tcPr>
            <w:tcW w:w="922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color w:val="auto"/>
              </w:rPr>
              <w:t>Less: imputed interest</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(425,781)</w:t>
            </w:r>
          </w:p>
        </w:tc>
      </w:tr>
      <w:tr>
        <w:trPr>
          <w:trHeight w:val="237"/>
        </w:trPr>
        <w:tc>
          <w:tcPr>
            <w:tcW w:w="20" w:type="dxa"/>
            <w:vAlign w:val="bottom"/>
            <w:shd w:val="clear" w:color="auto" w:fill="DBDBDB"/>
          </w:tcPr>
          <w:p>
            <w:pPr>
              <w:spacing w:after="0"/>
              <w:rPr>
                <w:sz w:val="20"/>
                <w:szCs w:val="20"/>
                <w:color w:val="auto"/>
              </w:rPr>
            </w:pPr>
          </w:p>
        </w:tc>
        <w:tc>
          <w:tcPr>
            <w:tcW w:w="922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Borders>
              <w:bottom w:val="single" w:sz="8" w:color="auto"/>
            </w:tcBorders>
            <w:shd w:val="clear" w:color="auto" w:fill="DBDBDB"/>
          </w:tcPr>
          <w:p>
            <w:pPr>
              <w:jc w:val="right"/>
              <w:ind w:right="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205,015</w:t>
            </w:r>
          </w:p>
        </w:tc>
      </w:tr>
    </w:tbl>
    <w:p>
      <w:pPr>
        <w:spacing w:after="0" w:line="30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As of December 25, 2022, operating lease payments include $347.9 million related to options to extend lease terms that are reasonably certain of being exercised and exclude $11.8 million of legally binding minimum payments for leases signed but not yet commenced.</w:t>
      </w:r>
    </w:p>
    <w:p>
      <w:pPr>
        <w:spacing w:after="0" w:line="18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Below are disclosures in accordance with the prior guidance, ASC 840, disclosed previously in our Annual Report on Form 10-K for the fiscal years ended December 26, 2021 and December 27,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rent expense under ASC 840 for operating lease agreements were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360" w:type="dxa"/>
            <w:vAlign w:val="bottom"/>
            <w:gridSpan w:val="4"/>
          </w:tcPr>
          <w:p>
            <w:pPr>
              <w:jc w:val="right"/>
              <w:ind w:right="147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6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26, 2021</w:t>
            </w:r>
          </w:p>
        </w:tc>
        <w:tc>
          <w:tcPr>
            <w:tcW w:w="240" w:type="dxa"/>
            <w:vAlign w:val="bottom"/>
          </w:tcPr>
          <w:p>
            <w:pPr>
              <w:spacing w:after="0"/>
              <w:rPr>
                <w:sz w:val="21"/>
                <w:szCs w:val="21"/>
                <w:color w:val="auto"/>
              </w:rPr>
            </w:pP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27, 2020</w:t>
            </w:r>
          </w:p>
        </w:tc>
      </w:tr>
      <w:tr>
        <w:trPr>
          <w:trHeight w:val="240"/>
        </w:trPr>
        <w:tc>
          <w:tcPr>
            <w:tcW w:w="66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Minimum rentals</w:t>
            </w: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22,363</w:t>
            </w:r>
          </w:p>
        </w:tc>
        <w:tc>
          <w:tcPr>
            <w:tcW w:w="100" w:type="dxa"/>
            <w:vAlign w:val="bottom"/>
            <w:tcBorders>
              <w:top w:val="single" w:sz="8" w:color="DBDBDB"/>
            </w:tcBorders>
            <w:shd w:val="clear" w:color="auto" w:fill="DBDBDB"/>
          </w:tcPr>
          <w:p>
            <w:pPr>
              <w:spacing w:after="0"/>
              <w:rPr>
                <w:sz w:val="20"/>
                <w:szCs w:val="20"/>
                <w:color w:val="auto"/>
              </w:rPr>
            </w:pPr>
          </w:p>
        </w:tc>
        <w:tc>
          <w:tcPr>
            <w:tcW w:w="24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19,787</w:t>
            </w:r>
          </w:p>
        </w:tc>
      </w:tr>
      <w:tr>
        <w:trPr>
          <w:trHeight w:val="237"/>
        </w:trPr>
        <w:tc>
          <w:tcPr>
            <w:tcW w:w="66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Contingent rentals</w:t>
            </w: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DBDBDB"/>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268"/>
        </w:trPr>
        <w:tc>
          <w:tcPr>
            <w:tcW w:w="6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rental expense</w:t>
            </w: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23,042</w:t>
            </w:r>
          </w:p>
        </w:tc>
        <w:tc>
          <w:tcPr>
            <w:tcW w:w="100" w:type="dxa"/>
            <w:vAlign w:val="bottom"/>
            <w:tcBorders>
              <w:bottom w:val="single" w:sz="8" w:color="DBDBDB"/>
            </w:tcBorders>
            <w:shd w:val="clear" w:color="auto" w:fill="DBDBDB"/>
          </w:tcPr>
          <w:p>
            <w:pPr>
              <w:spacing w:after="0"/>
              <w:rPr>
                <w:sz w:val="22"/>
                <w:szCs w:val="22"/>
                <w:color w:val="auto"/>
              </w:rPr>
            </w:pP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20,273</w:t>
            </w:r>
          </w:p>
        </w:tc>
      </w:tr>
      <w:tr>
        <w:trPr>
          <w:trHeight w:val="20"/>
        </w:trPr>
        <w:tc>
          <w:tcPr>
            <w:tcW w:w="66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payments for our operating leases under ASC 840 for each of the next five years and in total were as follows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26, 2021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220" w:type="dxa"/>
            <w:vAlign w:val="bottom"/>
            <w:gridSpan w:val="2"/>
          </w:tcPr>
          <w:p>
            <w:pPr>
              <w:spacing w:after="0"/>
              <w:rPr>
                <w:sz w:val="20"/>
                <w:szCs w:val="20"/>
                <w:color w:val="auto"/>
              </w:rPr>
            </w:pPr>
            <w:r>
              <w:rPr>
                <w:rFonts w:ascii="Arial" w:cs="Arial" w:eastAsia="Arial" w:hAnsi="Arial"/>
                <w:sz w:val="16"/>
                <w:szCs w:val="16"/>
                <w:b w:val="1"/>
                <w:bCs w:val="1"/>
                <w:color w:val="auto"/>
              </w:rPr>
              <w:t>Year Ending</w:t>
            </w:r>
          </w:p>
        </w:tc>
        <w:tc>
          <w:tcPr>
            <w:tcW w:w="320" w:type="dxa"/>
            <w:vAlign w:val="bottom"/>
          </w:tcPr>
          <w:p>
            <w:pPr>
              <w:spacing w:after="0"/>
              <w:rPr>
                <w:sz w:val="16"/>
                <w:szCs w:val="16"/>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9"/>
              </w:rPr>
              <w:t>Minimum Amount</w:t>
            </w:r>
          </w:p>
        </w:tc>
      </w:tr>
      <w:tr>
        <w:trPr>
          <w:trHeight w:val="34"/>
        </w:trPr>
        <w:tc>
          <w:tcPr>
            <w:tcW w:w="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2022</w:t>
            </w:r>
          </w:p>
        </w:tc>
        <w:tc>
          <w:tcPr>
            <w:tcW w:w="8280" w:type="dxa"/>
            <w:vAlign w:val="bottom"/>
            <w:shd w:val="clear" w:color="auto" w:fill="DBDBDB"/>
          </w:tcPr>
          <w:p>
            <w:pPr>
              <w:spacing w:after="0"/>
              <w:rPr>
                <w:sz w:val="21"/>
                <w:szCs w:val="21"/>
                <w:color w:val="auto"/>
              </w:rPr>
            </w:pP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20,298</w:t>
            </w:r>
          </w:p>
        </w:tc>
      </w:tr>
      <w:tr>
        <w:trPr>
          <w:trHeight w:val="235"/>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2023</w:t>
            </w:r>
          </w:p>
        </w:tc>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20,784</w:t>
            </w:r>
          </w:p>
        </w:tc>
      </w:tr>
      <w:tr>
        <w:trPr>
          <w:trHeight w:val="251"/>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2024</w:t>
            </w:r>
          </w:p>
        </w:tc>
        <w:tc>
          <w:tcPr>
            <w:tcW w:w="82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6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21,099</w:t>
            </w:r>
          </w:p>
        </w:tc>
      </w:tr>
      <w:tr>
        <w:trPr>
          <w:trHeight w:val="235"/>
        </w:trPr>
        <w:tc>
          <w:tcPr>
            <w:tcW w:w="960" w:type="dxa"/>
            <w:vAlign w:val="bottom"/>
            <w:gridSpan w:val="2"/>
          </w:tcPr>
          <w:p>
            <w:pPr>
              <w:ind w:left="20"/>
              <w:spacing w:after="0"/>
              <w:rPr>
                <w:sz w:val="20"/>
                <w:szCs w:val="20"/>
                <w:color w:val="auto"/>
              </w:rPr>
            </w:pPr>
            <w:r>
              <w:rPr>
                <w:rFonts w:ascii="Arial" w:cs="Arial" w:eastAsia="Arial" w:hAnsi="Arial"/>
                <w:sz w:val="16"/>
                <w:szCs w:val="16"/>
                <w:color w:val="auto"/>
              </w:rPr>
              <w:t>2025</w:t>
            </w:r>
          </w:p>
        </w:tc>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20,969</w:t>
            </w:r>
          </w:p>
        </w:tc>
      </w:tr>
      <w:tr>
        <w:trPr>
          <w:trHeight w:val="251"/>
        </w:trPr>
        <w:tc>
          <w:tcPr>
            <w:tcW w:w="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2026</w:t>
            </w:r>
          </w:p>
        </w:tc>
        <w:tc>
          <w:tcPr>
            <w:tcW w:w="828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680" w:type="dxa"/>
            <w:vAlign w:val="bottom"/>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21,254</w:t>
            </w:r>
          </w:p>
        </w:tc>
      </w:tr>
      <w:tr>
        <w:trPr>
          <w:trHeight w:val="236"/>
        </w:trPr>
        <w:tc>
          <w:tcPr>
            <w:tcW w:w="20" w:type="dxa"/>
            <w:vAlign w:val="bottom"/>
            <w:tcBorders>
              <w:bottom w:val="single" w:sz="8" w:color="DBDBDB"/>
            </w:tcBorders>
          </w:tcPr>
          <w:p>
            <w:pPr>
              <w:spacing w:after="0"/>
              <w:rPr>
                <w:sz w:val="20"/>
                <w:szCs w:val="20"/>
                <w:color w:val="auto"/>
              </w:rPr>
            </w:pPr>
          </w:p>
        </w:tc>
        <w:tc>
          <w:tcPr>
            <w:tcW w:w="9220" w:type="dxa"/>
            <w:vAlign w:val="bottom"/>
            <w:tcBorders>
              <w:bottom w:val="single" w:sz="8" w:color="DBDBDB"/>
            </w:tcBorders>
            <w:gridSpan w:val="2"/>
          </w:tcPr>
          <w:p>
            <w:pPr>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508,217</w:t>
            </w:r>
          </w:p>
        </w:tc>
      </w:tr>
      <w:tr>
        <w:trPr>
          <w:trHeight w:val="268"/>
        </w:trPr>
        <w:tc>
          <w:tcPr>
            <w:tcW w:w="20" w:type="dxa"/>
            <w:vAlign w:val="bottom"/>
            <w:tcBorders>
              <w:bottom w:val="single" w:sz="8" w:color="DBDBDB"/>
            </w:tcBorders>
            <w:shd w:val="clear" w:color="auto" w:fill="DBDBDB"/>
          </w:tcPr>
          <w:p>
            <w:pPr>
              <w:spacing w:after="0"/>
              <w:rPr>
                <w:sz w:val="22"/>
                <w:szCs w:val="22"/>
                <w:color w:val="auto"/>
              </w:rPr>
            </w:pPr>
          </w:p>
        </w:tc>
        <w:tc>
          <w:tcPr>
            <w:tcW w:w="922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6"/>
                <w:szCs w:val="16"/>
                <w:color w:val="auto"/>
              </w:rPr>
              <w:t>Total minimum rental payments</w:t>
            </w:r>
          </w:p>
        </w:tc>
        <w:tc>
          <w:tcPr>
            <w:tcW w:w="32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6"/>
                <w:szCs w:val="16"/>
                <w:color w:val="auto"/>
              </w:rPr>
              <w:t>612,621</w:t>
            </w: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tcBorders>
          </w:tcPr>
          <w:p>
            <w:pPr>
              <w:spacing w:after="0" w:line="20" w:lineRule="exact"/>
              <w:rPr>
                <w:sz w:val="1"/>
                <w:szCs w:val="1"/>
                <w:color w:val="auto"/>
              </w:rPr>
            </w:pPr>
          </w:p>
        </w:tc>
        <w:tc>
          <w:tcPr>
            <w:tcW w:w="82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above future minimum rental amounts exclude the amortization of deferred lease incentives, renewal options that are not reasonably assured of renewal, and contingent rent. The Company generally has escalating rents over the term of the leases and records rent expense on a straight-line basis.</w:t>
      </w:r>
    </w:p>
    <w:p>
      <w:pPr>
        <w:spacing w:after="0" w:line="192" w:lineRule="exact"/>
        <w:rPr>
          <w:sz w:val="20"/>
          <w:szCs w:val="20"/>
          <w:color w:val="auto"/>
        </w:rPr>
      </w:pPr>
    </w:p>
    <w:p>
      <w:pPr>
        <w:spacing w:after="0"/>
        <w:tabs>
          <w:tab w:leader="none" w:pos="1440" w:val="left"/>
        </w:tabs>
        <w:rPr>
          <w:sz w:val="20"/>
          <w:szCs w:val="20"/>
          <w:color w:val="auto"/>
        </w:rPr>
      </w:pPr>
      <w:r>
        <w:rPr>
          <w:rFonts w:ascii="Arial" w:cs="Arial" w:eastAsia="Arial" w:hAnsi="Arial"/>
          <w:sz w:val="25"/>
          <w:szCs w:val="25"/>
          <w:b w:val="1"/>
          <w:bCs w:val="1"/>
          <w:color w:val="414042"/>
        </w:rPr>
        <w:t>NOTE 11.</w:t>
        <w:tab/>
        <w:t>STOCKHOLDER'S EQUITY</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Amended and Restated Certificate of Incorporation</w:t>
      </w:r>
    </w:p>
    <w:p>
      <w:pPr>
        <w:spacing w:after="0" w:line="26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connection with the IPO, we amended and restated our certificate of incorporation to, among other things, provide for the (i) authorization of 380,000,000 shares of Class A common stock, par value $0.01 per share; (ii) authorization of 50,000,000 shares of Class B common stock, par value $0.00001; (iii) authorization of 10,000,000 shares of preferred stock, par value $0.01 per share; and (iv) provides that our Board will be elected annually to serve until the next annual meeting of shareholders or until their successors are duly elected and qualified.</w:t>
      </w:r>
    </w:p>
    <w:p>
      <w:pPr>
        <w:spacing w:after="0" w:line="20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shareholders are entitled to vote generally, including the election or removal of directors. Holders of shares of our Class A common stock are entitled to receive dividends when and if declared by our Board out of funds legally available therefor, subject to any statutory or contractual restrictions on the payment of dividends and to any restrictions on the payment of dividends imposed by the terms of any outstanding preferred stock.</w:t>
      </w:r>
    </w:p>
    <w:p>
      <w:pPr>
        <w:spacing w:after="0" w:line="20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Each share of Class B common stock will entitle its holder to one vote per share on all matters submitted to a vote of our shareholders. The Class B common stock is not entitled to economic interests in Portillo’s Inc. Holders of our Class B common stock do not have any right to receive dividends.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Amended and Restated LLC Agreement</w:t>
      </w:r>
    </w:p>
    <w:p>
      <w:pPr>
        <w:spacing w:after="0" w:line="26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described in Note 1. Description Of Business, we amended and restated the LLC agreement of Portillo’s OpCo to, among other things, convert all outstanding equity interests into LLC Units.</w:t>
      </w:r>
    </w:p>
    <w:p>
      <w:pPr>
        <w:spacing w:after="0" w:line="1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LLC Agreement also provides that holders of LLC Units may, from time to time, redeem all or a portion of their LLC Units for newly-issued shares of Class A common stock on a one-for-one basis. Upon receipt of a redemption request, we may, instead, elect to effect a direct exchange of LLC Units directly with the holder. In connection with any redemption or exchange, we will receive a corresponding number of LLC Units, increasing our total ownership interest. Additionally, an equivalent number of shares of Class B common stock will be surrendered and canceled.</w:t>
      </w:r>
    </w:p>
    <w:p>
      <w:pPr>
        <w:spacing w:after="0" w:line="20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LLC Agreement also requires that Portillo's OpCo, at all times, maintain (i) a one-to-one ratio between the number of outstanding shares of Class A common stock and the number of LLC Units owned by us and (ii) a one-to-one ratio between the number of shares of Class B common stock owned by the pre-IPO LLC Members and the number of LLC Units owned by the pre-IPO LLC Members.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Initial Public Offering</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As described in Note 1. Description Of Business, on October 25, 2021, we completed an IPO of 23,310,810 shares of the Company's Class A common stock (including 3,040,540 shares sold to the underwriters pursuant to their overallotment option) at an offering price of $20.00 per share. The Company received aggregate net proceeds of approximately $430.0 million after deducting underwriting discounts and commissions of $29.1 million and other offering expenses of approximately $7.1 million.</w:t>
      </w:r>
    </w:p>
    <w:p>
      <w:pPr>
        <w:spacing w:after="0" w:line="20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connection with our IPO, we issued 12,496,361 shares of Class A common stock to pre-IPO LLC Members and 35,673,321 shares of Class B common stock to pre-IPO LLC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Redemption of LLC Units in connection with Secondary Offerings</w:t>
      </w:r>
    </w:p>
    <w:p>
      <w:pPr>
        <w:spacing w:after="0" w:line="2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described in Note 1. Description Of Business, in the third quarter of 2022, the Company completed the Q3 Secondary Offering of 8,066,458 shares of the Company's Class A common stock at an offering price of $23.75 per share. We used all of the net proceeds from the Q3 Secondary Offering to purchase LLC Units and corresponding shares of Class B common stock from certain pre-IPO LLC Members and to repurchase shares of Class A common stock from the shareholders of the Blocker Companies at a price per LLC Unit or share of Class A common stock, as applicable, equal to the public offering price per share of Class A common stock, less the underwriting discounts and commissions. The proceeds from the Q3 Secondary Offering were used to (i) purchase 2,123,899 existing shares of Class A common stock from the shareholders of the Blocker Companies and (ii) redeem 5,942,559 LLC Units held certain pre-IPO LLC Members. In connection with the redemption, 5,942,559 shares of Class B common stock were surrendered by the pre-IPO LLC Members and canceled and the Company received 5,942,559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fourth quarter of 2022, the Company completed the Q4 Secondary Offering of 8,000,000 shares of the Company's Class A common stock at an offering price of $22.69 per share ("Q4 Secondary Offering"). We used all of the net proceeds from the Q4 Secondary Offering to purchase LLC Units and corresponding shares of Class B common stock from certain pre-IPO LLC Members and to repurchase shares of Class A common stock from the shareholders of the Blocker Companies at a price per LLC Unit or share of Class A common stock, as applicable. The proceeds from the Q4 Secondary Offering were used to (i) purchase 2,106,400 existing shares of Class A common stock from the shareholders of the Blocker Companies and (ii) redeem 5,893,000 LLC Units held by the pre-IPO LLC Members. In connection with the redemption, 5,893,000 shares of Class B common stock were surrendered by the pre-IPO LLC Members and canceled and the Company received 5,893,000 newly-issued LLC Units, increasing the Company's total ownership interest in Portillo's OpCo. As a result, Portillo's did not receive any proceeds from the offering, and the total number of shares of Class A common stock and Class B common stock did not change; however, the number of outstanding shares of Class A common stock increased by the same number of the canceled shares of Class B common stock.</w:t>
      </w:r>
    </w:p>
    <w:p>
      <w:pPr>
        <w:spacing w:after="0" w:line="20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December 25, 2022, the Company owned 67.0% of Portillo's OpCo and the pre-IPO LLC Members owned the remaining 33.0% of Portillo's OpCo. As of December 25, 2022, shareholders of the Blocker Companies and pre-IPO LLC Members owned 8,266,062 shares of Class A common stock and 23,837,162 shares of Class B common stock,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Equity-Based Compensation Plan Activity</w:t>
      </w:r>
    </w:p>
    <w:p>
      <w:pPr>
        <w:spacing w:after="0" w:line="24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received an aggregate of 777,393 LLC Units in connection with the activity under our equity-based compensation plans during December 25, 2022, related to the exercise of stock options, vested restricted stock awards and restricted stock units, and employee stock purchase plan purchases. See Note 13. Equity-Based Compensation.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tab/>
        <w:t>NON-CONTROLLING INTERESTS</w:t>
      </w:r>
    </w:p>
    <w:p>
      <w:pPr>
        <w:spacing w:after="0" w:line="2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Transactions described in Note 1. Description Of Business we are the sole managing member of Portillo's OpCo, and as a result, consolidated the financial results of Portillo's OpCo. We report a non-controlling interest representing the LLC Units in Portillo's OpCo held by pre-IPO LLC Members. Changes in our ownership interest in Portillo's OpCo while we retain our controlling interest in Portillo's OpCo will be accounted for as equity transactions. As such, future redemptions or direct exchanges of LLC Units in Portillo's OpCo by the pre-IPO LLC members will result in a change in ownership and reduce the amount recorded as non-controlling interest and increase additional paid-in capital.</w:t>
      </w:r>
    </w:p>
    <w:p>
      <w:pPr>
        <w:spacing w:after="0" w:line="20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the third and fourth quarters of 2022, in connection with the secondary offerings described in Note 1. Description Of Business, 5,942,559 and 5,893,000 LLC Units, respectively, were redeemed by the pre-IPO LLC Members for newly-issued shares of Class A common stock and we received 5,942,559 and 5,893,000, respectively, newly-issued LLC Units, increasing our total ownership interest in Portillo's OpCo.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LLC interest ownership by Portillo's Inc. and pre-IPO LLC members: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0" w:type="dxa"/>
            <w:vAlign w:val="bottom"/>
          </w:tcPr>
          <w:p>
            <w:pPr>
              <w:spacing w:after="0"/>
              <w:rPr>
                <w:sz w:val="19"/>
                <w:szCs w:val="19"/>
                <w:color w:val="auto"/>
              </w:rPr>
            </w:pPr>
          </w:p>
        </w:tc>
        <w:tc>
          <w:tcPr>
            <w:tcW w:w="33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December 25, 2022</w:t>
            </w:r>
          </w:p>
        </w:tc>
        <w:tc>
          <w:tcPr>
            <w:tcW w:w="80" w:type="dxa"/>
            <w:vAlign w:val="bottom"/>
          </w:tcPr>
          <w:p>
            <w:pPr>
              <w:spacing w:after="0"/>
              <w:rPr>
                <w:sz w:val="19"/>
                <w:szCs w:val="19"/>
                <w:color w:val="auto"/>
              </w:rPr>
            </w:pPr>
          </w:p>
        </w:tc>
        <w:tc>
          <w:tcPr>
            <w:tcW w:w="338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6"/>
                <w:szCs w:val="16"/>
                <w:b w:val="1"/>
                <w:bCs w:val="1"/>
                <w:color w:val="auto"/>
              </w:rPr>
              <w:t>December 26, 2021</w:t>
            </w:r>
          </w:p>
        </w:tc>
      </w:tr>
      <w:tr>
        <w:trPr>
          <w:trHeight w:val="237"/>
        </w:trPr>
        <w:tc>
          <w:tcPr>
            <w:tcW w:w="4400" w:type="dxa"/>
            <w:vAlign w:val="bottom"/>
          </w:tcPr>
          <w:p>
            <w:pPr>
              <w:spacing w:after="0"/>
              <w:rPr>
                <w:sz w:val="20"/>
                <w:szCs w:val="20"/>
                <w:color w:val="auto"/>
              </w:rPr>
            </w:pP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LLC Units</w:t>
            </w:r>
          </w:p>
        </w:tc>
        <w:tc>
          <w:tcPr>
            <w:tcW w:w="1800" w:type="dxa"/>
            <w:vAlign w:val="bottom"/>
            <w:gridSpan w:val="2"/>
          </w:tcPr>
          <w:p>
            <w:pPr>
              <w:ind w:left="340"/>
              <w:spacing w:after="0"/>
              <w:rPr>
                <w:sz w:val="20"/>
                <w:szCs w:val="20"/>
                <w:color w:val="auto"/>
              </w:rPr>
            </w:pPr>
            <w:r>
              <w:rPr>
                <w:rFonts w:ascii="Arial" w:cs="Arial" w:eastAsia="Arial" w:hAnsi="Arial"/>
                <w:sz w:val="16"/>
                <w:szCs w:val="16"/>
                <w:b w:val="1"/>
                <w:bCs w:val="1"/>
                <w:color w:val="auto"/>
              </w:rPr>
              <w:t>Ownership %</w:t>
            </w: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LLC Units</w:t>
            </w:r>
          </w:p>
        </w:tc>
        <w:tc>
          <w:tcPr>
            <w:tcW w:w="1720" w:type="dxa"/>
            <w:vAlign w:val="bottom"/>
          </w:tcPr>
          <w:p>
            <w:pPr>
              <w:jc w:val="right"/>
              <w:ind w:right="259"/>
              <w:spacing w:after="0"/>
              <w:rPr>
                <w:sz w:val="20"/>
                <w:szCs w:val="20"/>
                <w:color w:val="auto"/>
              </w:rPr>
            </w:pPr>
            <w:r>
              <w:rPr>
                <w:rFonts w:ascii="Arial" w:cs="Arial" w:eastAsia="Arial" w:hAnsi="Arial"/>
                <w:sz w:val="16"/>
                <w:szCs w:val="16"/>
                <w:b w:val="1"/>
                <w:bCs w:val="1"/>
                <w:color w:val="auto"/>
              </w:rPr>
              <w:t>Ownership %</w:t>
            </w:r>
          </w:p>
        </w:tc>
      </w:tr>
      <w:tr>
        <w:trPr>
          <w:trHeight w:val="240"/>
        </w:trPr>
        <w:tc>
          <w:tcPr>
            <w:tcW w:w="4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Portillo's Inc.</w:t>
            </w: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48,420,723</w:t>
            </w:r>
          </w:p>
        </w:tc>
        <w:tc>
          <w:tcPr>
            <w:tcW w:w="80" w:type="dxa"/>
            <w:vAlign w:val="bottom"/>
            <w:tcBorders>
              <w:top w:val="single" w:sz="8" w:color="DBDBDB"/>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67.0 %</w:t>
            </w:r>
          </w:p>
        </w:tc>
        <w:tc>
          <w:tcPr>
            <w:tcW w:w="80" w:type="dxa"/>
            <w:vAlign w:val="bottom"/>
            <w:tcBorders>
              <w:top w:val="single" w:sz="8" w:color="DBDBDB"/>
            </w:tcBorders>
            <w:shd w:val="clear" w:color="auto" w:fill="DBDBDB"/>
          </w:tcPr>
          <w:p>
            <w:pPr>
              <w:spacing w:after="0"/>
              <w:rPr>
                <w:sz w:val="20"/>
                <w:szCs w:val="20"/>
                <w:color w:val="auto"/>
              </w:rPr>
            </w:pPr>
          </w:p>
        </w:tc>
        <w:tc>
          <w:tcPr>
            <w:tcW w:w="1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35,807,171</w:t>
            </w:r>
          </w:p>
        </w:tc>
        <w:tc>
          <w:tcPr>
            <w:tcW w:w="80" w:type="dxa"/>
            <w:vAlign w:val="bottom"/>
            <w:tcBorders>
              <w:top w:val="single" w:sz="8" w:color="DBDBDB"/>
            </w:tcBorders>
            <w:shd w:val="clear" w:color="auto" w:fill="DBDBDB"/>
          </w:tcPr>
          <w:p>
            <w:pPr>
              <w:spacing w:after="0"/>
              <w:rPr>
                <w:sz w:val="20"/>
                <w:szCs w:val="20"/>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50.1 %</w:t>
            </w:r>
          </w:p>
        </w:tc>
      </w:tr>
      <w:tr>
        <w:trPr>
          <w:trHeight w:val="237"/>
        </w:trPr>
        <w:tc>
          <w:tcPr>
            <w:tcW w:w="44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pre-IPO LLC Members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23,837,162</w:t>
            </w:r>
          </w:p>
        </w:tc>
        <w:tc>
          <w:tcPr>
            <w:tcW w:w="80" w:type="dxa"/>
            <w:vAlign w:val="bottom"/>
            <w:tcBorders>
              <w:bottom w:val="single" w:sz="8" w:color="DBDBDB"/>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33.0 %</w:t>
            </w:r>
          </w:p>
        </w:tc>
        <w:tc>
          <w:tcPr>
            <w:tcW w:w="80" w:type="dxa"/>
            <w:vAlign w:val="bottom"/>
            <w:tcBorders>
              <w:bottom w:val="single" w:sz="8" w:color="DBDBDB"/>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35,673,321</w:t>
            </w:r>
          </w:p>
        </w:tc>
        <w:tc>
          <w:tcPr>
            <w:tcW w:w="80" w:type="dxa"/>
            <w:vAlign w:val="bottom"/>
            <w:tcBorders>
              <w:bottom w:val="single" w:sz="8" w:color="DBDBDB"/>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49.9 %</w:t>
            </w:r>
          </w:p>
        </w:tc>
      </w:tr>
      <w:tr>
        <w:trPr>
          <w:trHeight w:val="268"/>
        </w:trPr>
        <w:tc>
          <w:tcPr>
            <w:tcW w:w="44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72,257,885</w:t>
            </w:r>
          </w:p>
        </w:tc>
        <w:tc>
          <w:tcPr>
            <w:tcW w:w="80" w:type="dxa"/>
            <w:vAlign w:val="bottom"/>
            <w:tcBorders>
              <w:bottom w:val="single" w:sz="8" w:color="DBDBDB"/>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bottom w:val="single" w:sz="8" w:color="DBDBDB"/>
            </w:tcBorders>
            <w:shd w:val="clear" w:color="auto" w:fill="DBDBDB"/>
          </w:tcPr>
          <w:p>
            <w:pPr>
              <w:spacing w:after="0"/>
              <w:rPr>
                <w:sz w:val="22"/>
                <w:szCs w:val="22"/>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71,480,492</w:t>
            </w:r>
          </w:p>
        </w:tc>
        <w:tc>
          <w:tcPr>
            <w:tcW w:w="80" w:type="dxa"/>
            <w:vAlign w:val="bottom"/>
            <w:tcBorders>
              <w:bottom w:val="single" w:sz="8" w:color="DBDBDB"/>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4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to Portillo's Inc. and the pre-IPO LLC Members. The pre-IPO LLC Members' weighted average ownership percentage for the fiscal year ended December 25, 2022 was 45.8%.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effects of changes in ownership in Portillo's OpCo on the Company’s equity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rPr>
              <w:t>Fiscal Year Ended</w:t>
            </w:r>
          </w:p>
        </w:tc>
      </w:tr>
      <w:tr>
        <w:trPr>
          <w:trHeight w:val="247"/>
        </w:trPr>
        <w:tc>
          <w:tcPr>
            <w:tcW w:w="9020" w:type="dxa"/>
            <w:vAlign w:val="bottom"/>
            <w:tcBorders>
              <w:bottom w:val="single" w:sz="8" w:color="DBDBDB"/>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912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Net income attributable to Portillo's Inc.</w:t>
            </w:r>
          </w:p>
        </w:tc>
        <w:tc>
          <w:tcPr>
            <w:tcW w:w="220" w:type="dxa"/>
            <w:vAlign w:val="bottom"/>
            <w:shd w:val="clear" w:color="auto" w:fill="DBDBDB"/>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10,851</w:t>
            </w:r>
          </w:p>
        </w:tc>
      </w:tr>
      <w:tr>
        <w:trPr>
          <w:trHeight w:val="235"/>
        </w:trPr>
        <w:tc>
          <w:tcPr>
            <w:tcW w:w="9120" w:type="dxa"/>
            <w:vAlign w:val="bottom"/>
            <w:gridSpan w:val="2"/>
          </w:tcPr>
          <w:p>
            <w:pPr>
              <w:ind w:left="140"/>
              <w:spacing w:after="0"/>
              <w:rPr>
                <w:sz w:val="20"/>
                <w:szCs w:val="20"/>
                <w:color w:val="auto"/>
              </w:rPr>
            </w:pPr>
            <w:r>
              <w:rPr>
                <w:rFonts w:ascii="Arial" w:cs="Arial" w:eastAsia="Arial" w:hAnsi="Arial"/>
                <w:sz w:val="16"/>
                <w:szCs w:val="16"/>
                <w:color w:val="auto"/>
              </w:rPr>
              <w:t>Activity under equity-based compensation plans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51"/>
        </w:trPr>
        <w:tc>
          <w:tcPr>
            <w:tcW w:w="91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Non-controlling interest adjustments, including the secondary offerings</w:t>
            </w:r>
          </w:p>
        </w:tc>
        <w:tc>
          <w:tcPr>
            <w:tcW w:w="220" w:type="dxa"/>
            <w:vAlign w:val="bottom"/>
            <w:shd w:val="clear" w:color="auto" w:fill="DBDBDB"/>
          </w:tcPr>
          <w:p>
            <w:pPr>
              <w:spacing w:after="0"/>
              <w:rPr>
                <w:sz w:val="21"/>
                <w:szCs w:val="21"/>
                <w:color w:val="auto"/>
              </w:rPr>
            </w:pP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89,374</w:t>
            </w:r>
          </w:p>
        </w:tc>
      </w:tr>
      <w:tr>
        <w:trPr>
          <w:trHeight w:val="235"/>
        </w:trPr>
        <w:tc>
          <w:tcPr>
            <w:tcW w:w="9120" w:type="dxa"/>
            <w:vAlign w:val="bottom"/>
            <w:gridSpan w:val="2"/>
          </w:tcPr>
          <w:p>
            <w:pPr>
              <w:ind w:left="140"/>
              <w:spacing w:after="0"/>
              <w:rPr>
                <w:sz w:val="20"/>
                <w:szCs w:val="20"/>
                <w:color w:val="auto"/>
              </w:rPr>
            </w:pPr>
            <w:r>
              <w:rPr>
                <w:rFonts w:ascii="Arial" w:cs="Arial" w:eastAsia="Arial" w:hAnsi="Arial"/>
                <w:sz w:val="16"/>
                <w:szCs w:val="16"/>
                <w:color w:val="auto"/>
              </w:rPr>
              <w:t>Redemption of LLC Units in connection with the secondary offerings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0"/>
        </w:trPr>
        <w:tc>
          <w:tcPr>
            <w:tcW w:w="91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Establishment of liabilities under tax receivable agreement and related changes to deferred tax assets associated with</w:t>
            </w:r>
          </w:p>
        </w:tc>
        <w:tc>
          <w:tcPr>
            <w:tcW w:w="220" w:type="dxa"/>
            <w:vAlign w:val="bottom"/>
            <w:shd w:val="clear" w:color="auto" w:fill="DBDBDB"/>
          </w:tcPr>
          <w:p>
            <w:pPr>
              <w:spacing w:after="0"/>
              <w:rPr>
                <w:sz w:val="18"/>
                <w:szCs w:val="18"/>
                <w:color w:val="auto"/>
              </w:rPr>
            </w:pPr>
          </w:p>
        </w:tc>
        <w:tc>
          <w:tcPr>
            <w:tcW w:w="1900" w:type="dxa"/>
            <w:vAlign w:val="bottom"/>
            <w:shd w:val="clear" w:color="auto" w:fill="DBDBDB"/>
          </w:tcPr>
          <w:p>
            <w:pPr>
              <w:spacing w:after="0"/>
              <w:rPr>
                <w:sz w:val="18"/>
                <w:szCs w:val="18"/>
                <w:color w:val="auto"/>
              </w:rPr>
            </w:pPr>
          </w:p>
        </w:tc>
      </w:tr>
      <w:tr>
        <w:trPr>
          <w:trHeight w:val="237"/>
        </w:trPr>
        <w:tc>
          <w:tcPr>
            <w:tcW w:w="9120" w:type="dxa"/>
            <w:vAlign w:val="bottom"/>
            <w:gridSpan w:val="2"/>
            <w:shd w:val="clear" w:color="auto" w:fill="DBDBDB"/>
          </w:tcPr>
          <w:p>
            <w:pPr>
              <w:ind w:left="140"/>
              <w:spacing w:after="0"/>
              <w:rPr>
                <w:sz w:val="20"/>
                <w:szCs w:val="20"/>
                <w:color w:val="auto"/>
              </w:rPr>
            </w:pPr>
            <w:r>
              <w:rPr>
                <w:rFonts w:ascii="Arial" w:cs="Arial" w:eastAsia="Arial" w:hAnsi="Arial"/>
                <w:sz w:val="16"/>
                <w:szCs w:val="16"/>
                <w:color w:val="auto"/>
              </w:rPr>
              <w:t>increases in tax basis</w:t>
            </w:r>
          </w:p>
        </w:tc>
        <w:tc>
          <w:tcPr>
            <w:tcW w:w="220" w:type="dxa"/>
            <w:vAlign w:val="bottom"/>
            <w:tcBorders>
              <w:bottom w:val="single" w:sz="8" w:color="auto"/>
            </w:tcBorders>
            <w:shd w:val="clear" w:color="auto" w:fill="DBDBDB"/>
          </w:tcPr>
          <w:p>
            <w:pPr>
              <w:spacing w:after="0"/>
              <w:rPr>
                <w:sz w:val="20"/>
                <w:szCs w:val="20"/>
                <w:color w:val="auto"/>
              </w:rPr>
            </w:pPr>
          </w:p>
        </w:tc>
        <w:tc>
          <w:tcPr>
            <w:tcW w:w="1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(23,662)</w:t>
            </w: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6"/>
                <w:szCs w:val="16"/>
                <w:color w:val="auto"/>
              </w:rPr>
              <w:t>Total effect of changes in ownership interest on equity attributable to Portillo's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75,839</w:t>
            </w:r>
          </w:p>
        </w:tc>
      </w:tr>
      <w:tr>
        <w:trPr>
          <w:trHeight w:val="20"/>
        </w:trPr>
        <w:tc>
          <w:tcPr>
            <w:tcW w:w="9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13.</w:t>
      </w:r>
      <w:r>
        <w:rPr>
          <w:sz w:val="20"/>
          <w:szCs w:val="20"/>
          <w:color w:val="auto"/>
        </w:rPr>
        <w:tab/>
      </w:r>
      <w:r>
        <w:rPr>
          <w:rFonts w:ascii="Arial" w:cs="Arial" w:eastAsia="Arial" w:hAnsi="Arial"/>
          <w:sz w:val="24"/>
          <w:szCs w:val="24"/>
          <w:b w:val="1"/>
          <w:bCs w:val="1"/>
          <w:color w:val="414042"/>
        </w:rPr>
        <w:t>EQUITY-BASED COMPENSATION</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2021 Equity Incentive Plan</w:t>
      </w:r>
    </w:p>
    <w:p>
      <w:pPr>
        <w:spacing w:after="0" w:line="2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IPO, the Company adopted the 2021 Equity Incentive Plan (the "2021 Plan"). The 2021 Plan is administered and interpreted by the Company's Board, including the authority to select persons to participate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types of awards available under the 2021 Plan include stock options (both incentive and non-qualified), stock appreciation rights ("SARs"), restricted stock awards ("RSAs"), restricted stock units ("RSUs"), and stock-based awards. Employees, officers, non-employee directors or any natural person who is a consultant or other personal service provider to the Company or any of its subsidiaries or affiliates are eligible to participate in the 2021 Plan. All awards granted to participants under the 2021 Plan will be represented by an award agreement. Approximately 7.1 million shares of Class A common stock are available for awards.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Restricted Stock Units</w:t>
      </w:r>
    </w:p>
    <w:p>
      <w:pPr>
        <w:spacing w:after="0" w:line="2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An RSU granted under the 2021 Plan will give the participant a right to receive, upon vesting and settlement of the RSUs, one share per vested unit or an amount per vested unit equal to the fair market value of one share as of the date of determination. Outstanding time-based RSUs generally vest equally over periods ranging from one to three years on each of the anniversaries of the date of grant subject to continued service on such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Activity for the Company's RSUs was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Restricted Stock Units</w:t>
            </w:r>
          </w:p>
        </w:tc>
        <w:tc>
          <w:tcPr>
            <w:tcW w:w="2260" w:type="dxa"/>
            <w:vAlign w:val="bottom"/>
            <w:gridSpan w:val="2"/>
          </w:tcPr>
          <w:p>
            <w:pPr>
              <w:ind w:left="20"/>
              <w:spacing w:after="0"/>
              <w:rPr>
                <w:sz w:val="20"/>
                <w:szCs w:val="20"/>
                <w:color w:val="auto"/>
              </w:rPr>
            </w:pPr>
            <w:r>
              <w:rPr>
                <w:rFonts w:ascii="Arial" w:cs="Arial" w:eastAsia="Arial" w:hAnsi="Arial"/>
                <w:sz w:val="16"/>
                <w:szCs w:val="16"/>
                <w:b w:val="1"/>
                <w:bCs w:val="1"/>
                <w:color w:val="auto"/>
              </w:rPr>
              <w:t>Weighted-average grant date</w:t>
            </w:r>
          </w:p>
        </w:tc>
      </w:tr>
      <w:tr>
        <w:trPr>
          <w:trHeight w:val="226"/>
        </w:trPr>
        <w:tc>
          <w:tcPr>
            <w:tcW w:w="6620" w:type="dxa"/>
            <w:vAlign w:val="bottom"/>
          </w:tcPr>
          <w:p>
            <w:pPr>
              <w:spacing w:after="0"/>
              <w:rPr>
                <w:sz w:val="19"/>
                <w:szCs w:val="19"/>
                <w:color w:val="auto"/>
              </w:rPr>
            </w:pPr>
          </w:p>
        </w:tc>
        <w:tc>
          <w:tcPr>
            <w:tcW w:w="236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2020" w:type="dxa"/>
            <w:vAlign w:val="bottom"/>
          </w:tcPr>
          <w:p>
            <w:pPr>
              <w:jc w:val="right"/>
              <w:ind w:right="319"/>
              <w:spacing w:after="0"/>
              <w:rPr>
                <w:sz w:val="20"/>
                <w:szCs w:val="20"/>
                <w:color w:val="auto"/>
              </w:rPr>
            </w:pPr>
            <w:r>
              <w:rPr>
                <w:rFonts w:ascii="Arial" w:cs="Arial" w:eastAsia="Arial" w:hAnsi="Arial"/>
                <w:sz w:val="16"/>
                <w:szCs w:val="16"/>
                <w:b w:val="1"/>
                <w:bCs w:val="1"/>
                <w:color w:val="auto"/>
              </w:rPr>
              <w:t>fair value per share</w:t>
            </w:r>
          </w:p>
        </w:tc>
      </w:tr>
      <w:tr>
        <w:trPr>
          <w:trHeight w:val="240"/>
        </w:trPr>
        <w:tc>
          <w:tcPr>
            <w:tcW w:w="66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Non-vested, December 26, 2021</w:t>
            </w:r>
          </w:p>
        </w:tc>
        <w:tc>
          <w:tcPr>
            <w:tcW w:w="2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883</w:t>
            </w:r>
          </w:p>
        </w:tc>
        <w:tc>
          <w:tcPr>
            <w:tcW w:w="100" w:type="dxa"/>
            <w:vAlign w:val="bottom"/>
            <w:tcBorders>
              <w:top w:val="single" w:sz="8" w:color="DBDBDB"/>
            </w:tcBorders>
            <w:shd w:val="clear" w:color="auto" w:fill="DBDBDB"/>
          </w:tcPr>
          <w:p>
            <w:pPr>
              <w:spacing w:after="0"/>
              <w:rPr>
                <w:sz w:val="20"/>
                <w:szCs w:val="20"/>
                <w:color w:val="auto"/>
              </w:rPr>
            </w:pPr>
          </w:p>
        </w:tc>
        <w:tc>
          <w:tcPr>
            <w:tcW w:w="24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20.00</w:t>
            </w:r>
          </w:p>
        </w:tc>
      </w:tr>
      <w:tr>
        <w:trPr>
          <w:trHeight w:val="235"/>
        </w:trPr>
        <w:tc>
          <w:tcPr>
            <w:tcW w:w="6620" w:type="dxa"/>
            <w:vAlign w:val="bottom"/>
          </w:tcPr>
          <w:p>
            <w:pPr>
              <w:ind w:left="140"/>
              <w:spacing w:after="0"/>
              <w:rPr>
                <w:sz w:val="20"/>
                <w:szCs w:val="20"/>
                <w:color w:val="auto"/>
              </w:rPr>
            </w:pPr>
            <w:r>
              <w:rPr>
                <w:rFonts w:ascii="Arial" w:cs="Arial" w:eastAsia="Arial" w:hAnsi="Arial"/>
                <w:sz w:val="16"/>
                <w:szCs w:val="16"/>
                <w:color w:val="auto"/>
              </w:rPr>
              <w:t>Granted</w:t>
            </w:r>
          </w:p>
        </w:tc>
        <w:tc>
          <w:tcPr>
            <w:tcW w:w="22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24.08</w:t>
            </w:r>
          </w:p>
        </w:tc>
      </w:tr>
      <w:tr>
        <w:trPr>
          <w:trHeight w:val="251"/>
        </w:trPr>
        <w:tc>
          <w:tcPr>
            <w:tcW w:w="6620" w:type="dxa"/>
            <w:vAlign w:val="bottom"/>
            <w:shd w:val="clear" w:color="auto" w:fill="DBDBDB"/>
          </w:tcPr>
          <w:p>
            <w:pPr>
              <w:ind w:left="140"/>
              <w:spacing w:after="0"/>
              <w:rPr>
                <w:sz w:val="20"/>
                <w:szCs w:val="20"/>
                <w:color w:val="auto"/>
              </w:rPr>
            </w:pPr>
            <w:r>
              <w:rPr>
                <w:rFonts w:ascii="Arial" w:cs="Arial" w:eastAsia="Arial" w:hAnsi="Arial"/>
                <w:sz w:val="16"/>
                <w:szCs w:val="16"/>
                <w:color w:val="auto"/>
              </w:rPr>
              <w:t>Vested</w:t>
            </w:r>
          </w:p>
        </w:tc>
        <w:tc>
          <w:tcPr>
            <w:tcW w:w="2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20.04</w:t>
            </w:r>
          </w:p>
        </w:tc>
      </w:tr>
      <w:tr>
        <w:trPr>
          <w:trHeight w:val="236"/>
        </w:trPr>
        <w:tc>
          <w:tcPr>
            <w:tcW w:w="662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Forfeited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DBDBDB"/>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w:t>
            </w:r>
          </w:p>
        </w:tc>
      </w:tr>
      <w:tr>
        <w:trPr>
          <w:trHeight w:val="268"/>
        </w:trPr>
        <w:tc>
          <w:tcPr>
            <w:tcW w:w="6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Non-vested, December 25, 2022</w:t>
            </w:r>
          </w:p>
        </w:tc>
        <w:tc>
          <w:tcPr>
            <w:tcW w:w="2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DBDBDB"/>
            </w:tcBorders>
            <w:shd w:val="clear" w:color="auto" w:fill="DBDBDB"/>
          </w:tcPr>
          <w:p>
            <w:pPr>
              <w:spacing w:after="0"/>
              <w:rPr>
                <w:sz w:val="22"/>
                <w:szCs w:val="22"/>
                <w:color w:val="auto"/>
              </w:rPr>
            </w:pPr>
          </w:p>
        </w:tc>
        <w:tc>
          <w:tcPr>
            <w:tcW w:w="2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20.48</w:t>
            </w:r>
          </w:p>
        </w:tc>
      </w:tr>
      <w:tr>
        <w:trPr>
          <w:trHeight w:val="20"/>
        </w:trPr>
        <w:tc>
          <w:tcPr>
            <w:tcW w:w="6620" w:type="dxa"/>
            <w:vAlign w:val="bottom"/>
            <w:tcBorders>
              <w:top w:val="single" w:sz="8" w:color="DBDBDB"/>
            </w:tcBorders>
          </w:tcPr>
          <w:p>
            <w:pPr>
              <w:spacing w:after="0" w:line="20" w:lineRule="exact"/>
              <w:rPr>
                <w:sz w:val="1"/>
                <w:szCs w:val="1"/>
                <w:color w:val="auto"/>
              </w:rPr>
            </w:pPr>
          </w:p>
        </w:tc>
        <w:tc>
          <w:tcPr>
            <w:tcW w:w="2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December 25, 2022, there was $10.3 million of total unrecognized compensation cost related to unvested restricted stock units, which is expected to vest over a weighted-average period of 1.9 years.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Restricted Stock Awards</w:t>
      </w:r>
    </w:p>
    <w:p>
      <w:pPr>
        <w:spacing w:after="0" w:line="2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December 23, 2022, the Company granted 57,870 restricted stock awards (“RSAs”) to certain of its executive officers in recognition of their work and accomplishments in 2022. The RSAs vested immediately upon grant with certain transfer restrictions. RSAs surrendered to fulfill withholding tax obligations were not subject to any transfer restrictions, and 50% of the balance of the underlying shares were subject to a one-year holding requirement, and the other 50% of the balance of underlying shares was subject to a two-year holding requirement. The fair value of the RSAs surrendered was determined using Portillo's closing stock price on the date of grant, which was $17.19. The fair value of the awards with post-vesting restrictions was determined using the Black-Scholes option pricing model and the weighted average assumptions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840" w:type="dxa"/>
            <w:vAlign w:val="bottom"/>
            <w:tcBorders>
              <w:bottom w:val="single" w:sz="8" w:color="DBDBDB"/>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r>
      <w:tr>
        <w:trPr>
          <w:trHeight w:val="240"/>
        </w:trPr>
        <w:tc>
          <w:tcPr>
            <w:tcW w:w="9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$14.98</w:t>
            </w:r>
          </w:p>
        </w:tc>
      </w:tr>
      <w:tr>
        <w:trPr>
          <w:trHeight w:val="235"/>
        </w:trPr>
        <w:tc>
          <w:tcPr>
            <w:tcW w:w="98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$17.19</w:t>
            </w:r>
          </w:p>
        </w:tc>
      </w:tr>
      <w:tr>
        <w:trPr>
          <w:trHeight w:val="251"/>
        </w:trPr>
        <w:tc>
          <w:tcPr>
            <w:tcW w:w="9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Risk-free interest rate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4.45%</w:t>
            </w:r>
          </w:p>
        </w:tc>
      </w:tr>
      <w:tr>
        <w:trPr>
          <w:trHeight w:val="235"/>
        </w:trPr>
        <w:tc>
          <w:tcPr>
            <w:tcW w:w="984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400" w:type="dxa"/>
            <w:vAlign w:val="bottom"/>
          </w:tcPr>
          <w:p>
            <w:pPr>
              <w:jc w:val="center"/>
              <w:spacing w:after="0"/>
              <w:rPr>
                <w:sz w:val="20"/>
                <w:szCs w:val="20"/>
                <w:color w:val="auto"/>
              </w:rPr>
            </w:pPr>
            <w:r>
              <w:rPr>
                <w:rFonts w:ascii="Arial" w:cs="Arial" w:eastAsia="Arial" w:hAnsi="Arial"/>
                <w:sz w:val="16"/>
                <w:szCs w:val="16"/>
                <w:color w:val="auto"/>
              </w:rPr>
              <w:t>1.5</w:t>
            </w:r>
          </w:p>
        </w:tc>
      </w:tr>
      <w:tr>
        <w:trPr>
          <w:trHeight w:val="251"/>
        </w:trPr>
        <w:tc>
          <w:tcPr>
            <w:tcW w:w="9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Annualized equity volatility</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34.4%</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9"/>
          <w:szCs w:val="19"/>
          <w:b w:val="1"/>
          <w:bCs w:val="1"/>
          <w:color w:val="414042"/>
        </w:rPr>
        <w:t>Performance Stock Options</w:t>
      </w:r>
    </w:p>
    <w:p>
      <w:pPr>
        <w:spacing w:after="0" w:line="24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has granted PSOs to certain executive officers that will be eligible to vest in three (3) tranches based on stock performance conditions (i) one-third (1/3rd) of the PSOs will vest on the third anniversary of the date of grant if the 20-day volume-weighted average price ("VWAP") for a share of common stock is $30.00 per share (1.5 times the IPO price) measured over any twenty (20) consecutive trading day period commencing on the second anniversary of the date of grant and ending on the last trading day immediately preceding the third anniversary of the date of grant; (ii) one-third (1/3rd) of the PSOs will vest on the fourth anniversary of the date of grant if the 20-day VWAP for a share of common stock is $40.00 per share (2 times the IPO price) measured over any twenty (20) consecutive trading day period commencing on the third anniversary of the date of grant and ending on the last trading day immediately preceding the fourth anniversary of the date of grant; and (iii) one-third (1/3rd) of the PSOs will vest on the fifth anniversary of the date of grant if the 20-day VWAP for a share of common stock is $50.00 per share (2.5 times the IPO price) measured over any twenty (20) consecutive trading day period commencing on the fourth anniversary of the date of grant and ending on the last trading day immediately preceding the fifth anniversary of the date of grant. All PSOs are subject to continued service at each tranche date and if any tranches fail to vest, the unvested portion of such PSOs will be forfeited and will not be eligible to vest in subsequent years. The awards granted are exercisable within a 10-year period from the date of grant.</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560"/>
        <w:spacing w:after="0" w:line="284" w:lineRule="auto"/>
        <w:rPr>
          <w:sz w:val="20"/>
          <w:szCs w:val="20"/>
          <w:color w:val="auto"/>
        </w:rPr>
      </w:pPr>
      <w:r>
        <w:rPr>
          <w:rFonts w:ascii="Arial" w:cs="Arial" w:eastAsia="Arial" w:hAnsi="Arial"/>
          <w:sz w:val="18"/>
          <w:szCs w:val="18"/>
          <w:color w:val="auto"/>
        </w:rPr>
        <w:t>The grant date fair value of these awards was determined using a Monte-Carlo simulation model. The fair value and weighted average assumptions used to estimate the fair value of these PSOs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340" w:type="dxa"/>
            <w:vAlign w:val="bottom"/>
            <w:tcBorders>
              <w:bottom w:val="single" w:sz="8" w:color="DBDBDB"/>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DBDBDB"/>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r>
      <w:tr>
        <w:trPr>
          <w:trHeight w:val="240"/>
        </w:trPr>
        <w:tc>
          <w:tcPr>
            <w:tcW w:w="8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$7.93</w:t>
            </w:r>
          </w:p>
        </w:tc>
        <w:tc>
          <w:tcPr>
            <w:tcW w:w="100" w:type="dxa"/>
            <w:vAlign w:val="bottom"/>
            <w:shd w:val="clear" w:color="auto" w:fill="DBDBDB"/>
          </w:tcPr>
          <w:p>
            <w:pPr>
              <w:spacing w:after="0"/>
              <w:rPr>
                <w:sz w:val="20"/>
                <w:szCs w:val="20"/>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$7.58</w:t>
            </w:r>
          </w:p>
        </w:tc>
      </w:tr>
      <w:tr>
        <w:trPr>
          <w:trHeight w:val="235"/>
        </w:trPr>
        <w:tc>
          <w:tcPr>
            <w:tcW w:w="8340" w:type="dxa"/>
            <w:vAlign w:val="bottom"/>
          </w:tcPr>
          <w:p>
            <w:pPr>
              <w:ind w:left="20"/>
              <w:spacing w:after="0"/>
              <w:rPr>
                <w:sz w:val="20"/>
                <w:szCs w:val="20"/>
                <w:color w:val="auto"/>
              </w:rPr>
            </w:pPr>
            <w:r>
              <w:rPr>
                <w:rFonts w:ascii="Arial" w:cs="Arial" w:eastAsia="Arial" w:hAnsi="Arial"/>
                <w:sz w:val="16"/>
                <w:szCs w:val="16"/>
                <w:color w:val="auto"/>
              </w:rPr>
              <w:t>Stock price</w:t>
            </w: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$22.19</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$20.00</w:t>
            </w:r>
          </w:p>
        </w:tc>
      </w:tr>
      <w:tr>
        <w:trPr>
          <w:trHeight w:val="251"/>
        </w:trPr>
        <w:tc>
          <w:tcPr>
            <w:tcW w:w="8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Risk-free interest rate</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DBDBDB"/>
          </w:tcPr>
          <w:p>
            <w:pPr>
              <w:spacing w:after="0"/>
              <w:rPr>
                <w:sz w:val="21"/>
                <w:szCs w:val="21"/>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0.93%</w:t>
            </w:r>
          </w:p>
        </w:tc>
      </w:tr>
      <w:tr>
        <w:trPr>
          <w:trHeight w:val="235"/>
        </w:trPr>
        <w:tc>
          <w:tcPr>
            <w:tcW w:w="834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40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4.0</w:t>
            </w:r>
          </w:p>
        </w:tc>
      </w:tr>
      <w:tr>
        <w:trPr>
          <w:trHeight w:val="251"/>
        </w:trPr>
        <w:tc>
          <w:tcPr>
            <w:tcW w:w="83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Annualized equity volatility</w:t>
            </w: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DBDBDB"/>
          </w:tcPr>
          <w:p>
            <w:pPr>
              <w:spacing w:after="0"/>
              <w:rPr>
                <w:sz w:val="21"/>
                <w:szCs w:val="21"/>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54.4%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Activity for the Company's PSOs was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44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PSOs</w:t>
            </w:r>
          </w:p>
        </w:tc>
        <w:tc>
          <w:tcPr>
            <w:tcW w:w="100" w:type="dxa"/>
            <w:vAlign w:val="bottom"/>
          </w:tcPr>
          <w:p>
            <w:pPr>
              <w:spacing w:after="0"/>
              <w:rPr>
                <w:sz w:val="16"/>
                <w:szCs w:val="16"/>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Weighted Average</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Remaining Term</w:t>
            </w:r>
          </w:p>
        </w:tc>
        <w:tc>
          <w:tcPr>
            <w:tcW w:w="100" w:type="dxa"/>
            <w:vAlign w:val="bottom"/>
          </w:tcPr>
          <w:p>
            <w:pPr>
              <w:spacing w:after="0"/>
              <w:rPr>
                <w:sz w:val="16"/>
                <w:szCs w:val="16"/>
                <w:color w:val="auto"/>
              </w:rPr>
            </w:pPr>
          </w:p>
        </w:tc>
        <w:tc>
          <w:tcPr>
            <w:tcW w:w="1600" w:type="dxa"/>
            <w:vAlign w:val="bottom"/>
          </w:tcPr>
          <w:p>
            <w:pPr>
              <w:jc w:val="center"/>
              <w:ind w:right="19"/>
              <w:spacing w:after="0"/>
              <w:rPr>
                <w:sz w:val="20"/>
                <w:szCs w:val="20"/>
                <w:color w:val="auto"/>
              </w:rPr>
            </w:pPr>
            <w:r>
              <w:rPr>
                <w:rFonts w:ascii="Arial" w:cs="Arial" w:eastAsia="Arial" w:hAnsi="Arial"/>
                <w:sz w:val="16"/>
                <w:szCs w:val="16"/>
                <w:b w:val="1"/>
                <w:bCs w:val="1"/>
                <w:color w:val="auto"/>
              </w:rPr>
              <w:t>Aggregate Intrinsic</w:t>
            </w:r>
          </w:p>
        </w:tc>
      </w:tr>
      <w:tr>
        <w:trPr>
          <w:trHeight w:val="223"/>
        </w:trPr>
        <w:tc>
          <w:tcPr>
            <w:tcW w:w="4440" w:type="dxa"/>
            <w:vAlign w:val="bottom"/>
          </w:tcPr>
          <w:p>
            <w:pPr>
              <w:spacing w:after="0"/>
              <w:rPr>
                <w:sz w:val="19"/>
                <w:szCs w:val="19"/>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9"/>
                <w:szCs w:val="19"/>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Exercise Price</w:t>
            </w:r>
          </w:p>
        </w:tc>
        <w:tc>
          <w:tcPr>
            <w:tcW w:w="1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00" w:type="dxa"/>
            <w:vAlign w:val="bottom"/>
          </w:tcPr>
          <w:p>
            <w:pPr>
              <w:spacing w:after="0"/>
              <w:rPr>
                <w:sz w:val="19"/>
                <w:szCs w:val="19"/>
                <w:color w:val="auto"/>
              </w:rPr>
            </w:pPr>
          </w:p>
        </w:tc>
        <w:tc>
          <w:tcPr>
            <w:tcW w:w="160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Value</w:t>
            </w:r>
          </w:p>
        </w:tc>
      </w:tr>
      <w:tr>
        <w:trPr>
          <w:trHeight w:val="21"/>
        </w:trPr>
        <w:tc>
          <w:tcPr>
            <w:tcW w:w="4440" w:type="dxa"/>
            <w:vAlign w:val="bottom"/>
            <w:tcBorders>
              <w:bottom w:val="single" w:sz="8" w:color="DBDBDB"/>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4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Outstanding-December 26, 2021</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1,794</w:t>
            </w: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w:t>
            </w:r>
          </w:p>
        </w:tc>
        <w:tc>
          <w:tcPr>
            <w:tcW w:w="80" w:type="dxa"/>
            <w:vAlign w:val="bottom"/>
            <w:shd w:val="clear" w:color="auto" w:fill="DBDBDB"/>
          </w:tcPr>
          <w:p>
            <w:pPr>
              <w:spacing w:after="0"/>
              <w:rPr>
                <w:sz w:val="20"/>
                <w:szCs w:val="20"/>
                <w:color w:val="auto"/>
              </w:rPr>
            </w:pPr>
          </w:p>
        </w:tc>
        <w:tc>
          <w:tcPr>
            <w:tcW w:w="17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0" w:type="dxa"/>
            <w:vAlign w:val="bottom"/>
            <w:shd w:val="clear" w:color="auto" w:fill="DBDBDB"/>
          </w:tcPr>
          <w:p>
            <w:pPr>
              <w:spacing w:after="0"/>
              <w:rPr>
                <w:sz w:val="20"/>
                <w:szCs w:val="20"/>
                <w:color w:val="auto"/>
              </w:rPr>
            </w:pPr>
          </w:p>
        </w:tc>
      </w:tr>
      <w:tr>
        <w:trPr>
          <w:trHeight w:val="235"/>
        </w:trPr>
        <w:tc>
          <w:tcPr>
            <w:tcW w:w="444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22.19</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1"/>
        </w:trPr>
        <w:tc>
          <w:tcPr>
            <w:tcW w:w="4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Exercised</w:t>
            </w:r>
          </w:p>
        </w:tc>
        <w:tc>
          <w:tcPr>
            <w:tcW w:w="15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r>
      <w:tr>
        <w:trPr>
          <w:trHeight w:val="235"/>
        </w:trPr>
        <w:tc>
          <w:tcPr>
            <w:tcW w:w="444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4"/>
        </w:trPr>
        <w:tc>
          <w:tcPr>
            <w:tcW w:w="44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Expired</w:t>
            </w:r>
          </w:p>
        </w:tc>
        <w:tc>
          <w:tcPr>
            <w:tcW w:w="15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0" w:type="dxa"/>
            <w:vAlign w:val="bottom"/>
            <w:shd w:val="clear" w:color="auto" w:fill="DBDBDB"/>
          </w:tcPr>
          <w:p>
            <w:pPr>
              <w:spacing w:after="0"/>
              <w:rPr>
                <w:sz w:val="21"/>
                <w:szCs w:val="21"/>
                <w:color w:val="auto"/>
              </w:rPr>
            </w:pPr>
          </w:p>
        </w:tc>
      </w:tr>
      <w:tr>
        <w:trPr>
          <w:trHeight w:val="235"/>
        </w:trPr>
        <w:tc>
          <w:tcPr>
            <w:tcW w:w="4440" w:type="dxa"/>
            <w:vAlign w:val="bottom"/>
          </w:tcPr>
          <w:p>
            <w:pPr>
              <w:ind w:left="20"/>
              <w:spacing w:after="0"/>
              <w:rPr>
                <w:sz w:val="20"/>
                <w:szCs w:val="20"/>
                <w:color w:val="auto"/>
              </w:rPr>
            </w:pPr>
            <w:r>
              <w:rPr>
                <w:rFonts w:ascii="Arial" w:cs="Arial" w:eastAsia="Arial" w:hAnsi="Arial"/>
                <w:sz w:val="16"/>
                <w:szCs w:val="16"/>
                <w:color w:val="auto"/>
              </w:rPr>
              <w:t>Outstanding-December 25, 2022</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80" w:type="dxa"/>
            <w:vAlign w:val="bottom"/>
          </w:tcPr>
          <w:p>
            <w:pPr>
              <w:spacing w:after="0"/>
              <w:rPr>
                <w:sz w:val="20"/>
                <w:szCs w:val="20"/>
                <w:color w:val="auto"/>
              </w:rPr>
            </w:pPr>
          </w:p>
        </w:tc>
        <w:tc>
          <w:tcPr>
            <w:tcW w:w="1720" w:type="dxa"/>
            <w:vAlign w:val="bottom"/>
            <w:tcBorders>
              <w:top w:val="single" w:sz="8" w:color="auto"/>
            </w:tcBorders>
          </w:tcPr>
          <w:p>
            <w:pPr>
              <w:ind w:left="1480"/>
              <w:spacing w:after="0"/>
              <w:rPr>
                <w:sz w:val="20"/>
                <w:szCs w:val="20"/>
                <w:color w:val="auto"/>
              </w:rPr>
            </w:pPr>
            <w:r>
              <w:rPr>
                <w:rFonts w:ascii="Arial" w:cs="Arial" w:eastAsia="Arial" w:hAnsi="Arial"/>
                <w:sz w:val="16"/>
                <w:szCs w:val="16"/>
                <w:color w:val="auto"/>
                <w:w w:val="98"/>
              </w:rPr>
              <w:t>8.9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ind w:left="1360"/>
              <w:spacing w:after="0"/>
              <w:rPr>
                <w:sz w:val="20"/>
                <w:szCs w:val="20"/>
                <w:color w:val="auto"/>
              </w:rPr>
            </w:pPr>
            <w:r>
              <w:rPr>
                <w:rFonts w:ascii="Arial" w:cs="Arial" w:eastAsia="Arial" w:hAnsi="Arial"/>
                <w:sz w:val="16"/>
                <w:szCs w:val="16"/>
                <w:color w:val="auto"/>
              </w:rPr>
              <w:t>—</w:t>
            </w:r>
          </w:p>
        </w:tc>
      </w:tr>
      <w:tr>
        <w:trPr>
          <w:trHeight w:val="271"/>
        </w:trPr>
        <w:tc>
          <w:tcPr>
            <w:tcW w:w="44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Exercisable-December 25, 2022</w:t>
            </w:r>
          </w:p>
        </w:tc>
        <w:tc>
          <w:tcPr>
            <w:tcW w:w="15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3"/>
                <w:szCs w:val="23"/>
                <w:color w:val="auto"/>
              </w:rPr>
            </w:pPr>
          </w:p>
        </w:tc>
        <w:tc>
          <w:tcPr>
            <w:tcW w:w="16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DBDBDB"/>
          </w:tcPr>
          <w:p>
            <w:pPr>
              <w:ind w:left="1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3"/>
                <w:szCs w:val="23"/>
                <w:color w:val="auto"/>
              </w:rPr>
            </w:pPr>
          </w:p>
        </w:tc>
        <w:tc>
          <w:tcPr>
            <w:tcW w:w="1600" w:type="dxa"/>
            <w:vAlign w:val="bottom"/>
            <w:shd w:val="clear" w:color="auto" w:fill="DBDBDB"/>
          </w:tcPr>
          <w:p>
            <w:pPr>
              <w:ind w:left="1360"/>
              <w:spacing w:after="0"/>
              <w:rPr>
                <w:sz w:val="20"/>
                <w:szCs w:val="20"/>
                <w:color w:val="auto"/>
              </w:rPr>
            </w:pPr>
            <w:r>
              <w:rPr>
                <w:rFonts w:ascii="Arial" w:cs="Arial" w:eastAsia="Arial" w:hAnsi="Arial"/>
                <w:sz w:val="16"/>
                <w:szCs w:val="16"/>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6"/>
                <w:szCs w:val="16"/>
                <w:color w:val="auto"/>
              </w:rPr>
              <w:t>Vested and expected to vest-December 25, 2022</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20.08</w:t>
            </w:r>
          </w:p>
        </w:tc>
        <w:tc>
          <w:tcPr>
            <w:tcW w:w="80" w:type="dxa"/>
            <w:vAlign w:val="bottom"/>
          </w:tcPr>
          <w:p>
            <w:pPr>
              <w:spacing w:after="0"/>
              <w:rPr>
                <w:sz w:val="21"/>
                <w:szCs w:val="21"/>
                <w:color w:val="auto"/>
              </w:rPr>
            </w:pPr>
          </w:p>
        </w:tc>
        <w:tc>
          <w:tcPr>
            <w:tcW w:w="1720" w:type="dxa"/>
            <w:vAlign w:val="bottom"/>
            <w:tcBorders>
              <w:top w:val="single" w:sz="8" w:color="auto"/>
              <w:bottom w:val="single" w:sz="8" w:color="auto"/>
            </w:tcBorders>
          </w:tcPr>
          <w:p>
            <w:pPr>
              <w:ind w:left="1480"/>
              <w:spacing w:after="0"/>
              <w:rPr>
                <w:sz w:val="20"/>
                <w:szCs w:val="20"/>
                <w:color w:val="auto"/>
              </w:rPr>
            </w:pPr>
            <w:r>
              <w:rPr>
                <w:rFonts w:ascii="Arial" w:cs="Arial" w:eastAsia="Arial" w:hAnsi="Arial"/>
                <w:sz w:val="16"/>
                <w:szCs w:val="16"/>
                <w:color w:val="auto"/>
                <w:w w:val="98"/>
              </w:rPr>
              <w:t>8.9</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ind w:left="1360"/>
              <w:spacing w:after="0"/>
              <w:rPr>
                <w:sz w:val="20"/>
                <w:szCs w:val="20"/>
                <w:color w:val="auto"/>
              </w:rPr>
            </w:pPr>
            <w:r>
              <w:rPr>
                <w:rFonts w:ascii="Arial" w:cs="Arial" w:eastAsia="Arial" w:hAnsi="Arial"/>
                <w:sz w:val="16"/>
                <w:szCs w:val="16"/>
                <w:color w:val="auto"/>
              </w:rPr>
              <w:t>—</w:t>
            </w:r>
          </w:p>
        </w:tc>
      </w:tr>
      <w:tr>
        <w:trPr>
          <w:trHeight w:val="21"/>
        </w:trPr>
        <w:tc>
          <w:tcPr>
            <w:tcW w:w="4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25, 2022, there was $8.7 million of total unrecognized compensation cost related to unvested PSOs, which is expected to be recognized over a weighted average period of 2.9 years.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2014 Equity Incentive Plan</w:t>
      </w:r>
    </w:p>
    <w:p>
      <w:pPr>
        <w:spacing w:after="0" w:line="2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Prior to the IPO, the Company had granted stock options under its 2014 Equity Incentive Plan, as amended (the “2014 Plan”). The 2014 Plan permitted the granting of awards to employees, officers, directors and consultants of the Company and affiliates in the form of options, unit appreciation rights, Restricted Class A Units, unrestricted Class A Units, Performance Awards and awards convertible into or otherwise based on Class A Units. Prior to the IPO, the 2014 Plan gave broad powers to the Company’s board of managers for its administration and interpretation, including the authority to select the individuals to be granted awards and rights to prescribe the particular form and conditions of each award to be granted. Under the 2014 Plan, the number of shares and exercise price of each option were determined by the board of managers, or a committee designated by the board of managers. The awards granted were generally exercisable within a 10-year period from the date of grant.</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unit option grants were equally divided between (i) options subject to time-based vesting, and (ii) options subject to both time-based and performance-based vesting. The time-based vesting options vest, in general, in equal annual installments over a 5-year period and have a 10-year term from the date of the grant. The options subject to both time-based and performance-based vesting have a ten-year term from the date of the grant and vest, in general, in equal annual installments over a 5-year period from the date of grant, subject to acceleration in the event of a sale transaction, and have a performance condition that is satisfied upon achievement of a specified internal rate of return and a minimum multiple of invested capital. In connection with the IPO, the performance condition was waived and all such options became subject to time-based vesting only. As a result of the waiver and resultant modification in the terms of the performance-vesting awards, we recognized a cash compensation expense of approximately $1.3 million and a non-cash compensation expense of approximately $26.2 million, each at the modification date in the fourth quarter of fiscal 2021</w:t>
      </w:r>
      <w:r>
        <w:rPr>
          <w:rFonts w:ascii="Arial" w:cs="Arial" w:eastAsia="Arial" w:hAnsi="Arial"/>
          <w:sz w:val="18"/>
          <w:szCs w:val="18"/>
          <w:color w:val="231F20"/>
        </w:rPr>
        <w:t>.</w:t>
      </w:r>
    </w:p>
    <w:p>
      <w:pPr>
        <w:spacing w:after="0" w:line="20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connection with the IPO, each option outstanding under the 2014 Plan, whether vested or unvested, was substituted for an option to purchase a number of shares of Class A common stock under the 2021 Plan, and the option holders received a cash payment in respect of their options (whether vested or unvested) in an aggregate amount of approximately $6.6 million, which was recorded in the fourth quarter of 2021. Following the IPO, no further options will be granted under the 2014 Plan.</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Activity under the 2014 Plan for the year ended December 25, 2022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60" w:type="dxa"/>
            <w:vAlign w:val="bottom"/>
          </w:tcPr>
          <w:p>
            <w:pPr>
              <w:spacing w:after="0"/>
              <w:rPr>
                <w:sz w:val="17"/>
                <w:szCs w:val="17"/>
                <w:color w:val="auto"/>
              </w:rPr>
            </w:pP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Options</w:t>
            </w:r>
          </w:p>
        </w:tc>
        <w:tc>
          <w:tcPr>
            <w:tcW w:w="160" w:type="dxa"/>
            <w:vAlign w:val="bottom"/>
          </w:tcPr>
          <w:p>
            <w:pPr>
              <w:spacing w:after="0"/>
              <w:rPr>
                <w:sz w:val="17"/>
                <w:szCs w:val="17"/>
                <w:color w:val="auto"/>
              </w:rPr>
            </w:pPr>
          </w:p>
        </w:tc>
        <w:tc>
          <w:tcPr>
            <w:tcW w:w="18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Weighted Average</w:t>
            </w:r>
          </w:p>
        </w:tc>
        <w:tc>
          <w:tcPr>
            <w:tcW w:w="18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Term</w:t>
            </w: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160" w:type="dxa"/>
            <w:vAlign w:val="bottom"/>
          </w:tcPr>
          <w:p>
            <w:pPr>
              <w:spacing w:after="0"/>
              <w:rPr>
                <w:sz w:val="19"/>
                <w:szCs w:val="19"/>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Exercise Price</w:t>
            </w: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(Years)</w:t>
            </w:r>
          </w:p>
        </w:tc>
        <w:tc>
          <w:tcPr>
            <w:tcW w:w="360" w:type="dxa"/>
            <w:vAlign w:val="bottom"/>
          </w:tcPr>
          <w:p>
            <w:pPr>
              <w:spacing w:after="0"/>
              <w:rPr>
                <w:sz w:val="19"/>
                <w:szCs w:val="19"/>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Outstanding-December 26, 2021</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Granted</w:t>
            </w:r>
          </w:p>
        </w:tc>
        <w:tc>
          <w:tcPr>
            <w:tcW w:w="16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1"/>
                <w:szCs w:val="21"/>
                <w:color w:val="auto"/>
              </w:rPr>
            </w:pPr>
          </w:p>
        </w:tc>
        <w:tc>
          <w:tcPr>
            <w:tcW w:w="18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416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1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Forfeited</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DBDBDB"/>
          </w:tcPr>
          <w:p>
            <w:pPr>
              <w:spacing w:after="0"/>
              <w:rPr>
                <w:sz w:val="21"/>
                <w:szCs w:val="21"/>
                <w:color w:val="auto"/>
              </w:rPr>
            </w:pPr>
          </w:p>
        </w:tc>
        <w:tc>
          <w:tcPr>
            <w:tcW w:w="18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Pr>
          <w:p>
            <w:pPr>
              <w:ind w:left="140"/>
              <w:spacing w:after="0"/>
              <w:rPr>
                <w:sz w:val="20"/>
                <w:szCs w:val="20"/>
                <w:color w:val="auto"/>
              </w:rPr>
            </w:pPr>
            <w:r>
              <w:rPr>
                <w:rFonts w:ascii="Arial" w:cs="Arial" w:eastAsia="Arial" w:hAnsi="Arial"/>
                <w:sz w:val="16"/>
                <w:szCs w:val="16"/>
                <w:color w:val="auto"/>
              </w:rPr>
              <w:t>Expired</w:t>
            </w: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1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Outstanding-December 25, 2022</w:t>
            </w:r>
          </w:p>
        </w:tc>
        <w:tc>
          <w:tcPr>
            <w:tcW w:w="15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Borders>
              <w:top w:val="single" w:sz="8" w:color="DBDBDB"/>
              <w:bottom w:val="single" w:sz="8" w:color="DBDBDB"/>
            </w:tcBorders>
            <w:shd w:val="clear" w:color="auto" w:fill="DBDBDB"/>
          </w:tcPr>
          <w:p>
            <w:pPr>
              <w:spacing w:after="0"/>
              <w:rPr>
                <w:sz w:val="22"/>
                <w:szCs w:val="22"/>
                <w:color w:val="auto"/>
              </w:rPr>
            </w:pPr>
          </w:p>
        </w:tc>
        <w:tc>
          <w:tcPr>
            <w:tcW w:w="18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top w:val="single" w:sz="8" w:color="DBDBDB"/>
              <w:bottom w:val="single" w:sz="8" w:color="DBDBDB"/>
            </w:tcBorders>
            <w:shd w:val="clear" w:color="auto" w:fill="DBDBDB"/>
          </w:tcPr>
          <w:p>
            <w:pPr>
              <w:spacing w:after="0"/>
              <w:rPr>
                <w:sz w:val="22"/>
                <w:szCs w:val="22"/>
                <w:color w:val="auto"/>
              </w:rPr>
            </w:pPr>
          </w:p>
        </w:tc>
        <w:tc>
          <w:tcPr>
            <w:tcW w:w="360" w:type="dxa"/>
            <w:vAlign w:val="bottom"/>
            <w:tcBorders>
              <w:top w:val="single" w:sz="8" w:color="auto"/>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73,416</w:t>
            </w:r>
          </w:p>
        </w:tc>
        <w:tc>
          <w:tcPr>
            <w:tcW w:w="0" w:type="dxa"/>
            <w:vAlign w:val="bottom"/>
          </w:tcPr>
          <w:p>
            <w:pPr>
              <w:spacing w:after="0"/>
              <w:rPr>
                <w:sz w:val="1"/>
                <w:szCs w:val="1"/>
                <w:color w:val="auto"/>
              </w:rPr>
            </w:pP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ind w:left="20"/>
              <w:spacing w:after="0"/>
              <w:rPr>
                <w:sz w:val="20"/>
                <w:szCs w:val="20"/>
                <w:color w:val="auto"/>
              </w:rPr>
            </w:pPr>
            <w:r>
              <w:rPr>
                <w:rFonts w:ascii="Arial" w:cs="Arial" w:eastAsia="Arial" w:hAnsi="Arial"/>
                <w:sz w:val="16"/>
                <w:szCs w:val="16"/>
                <w:color w:val="auto"/>
              </w:rPr>
              <w:t>Vested-December 25,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61,187</w:t>
            </w:r>
          </w:p>
        </w:tc>
        <w:tc>
          <w:tcPr>
            <w:tcW w:w="0" w:type="dxa"/>
            <w:vAlign w:val="bottom"/>
          </w:tcPr>
          <w:p>
            <w:pPr>
              <w:spacing w:after="0"/>
              <w:rPr>
                <w:sz w:val="1"/>
                <w:szCs w:val="1"/>
                <w:color w:val="auto"/>
              </w:rPr>
            </w:pPr>
          </w:p>
        </w:tc>
      </w:tr>
      <w:tr>
        <w:trPr>
          <w:trHeight w:val="20"/>
        </w:trPr>
        <w:tc>
          <w:tcPr>
            <w:tcW w:w="4160" w:type="dxa"/>
            <w:vAlign w:val="bottom"/>
            <w:tcBorders>
              <w:bottom w:val="single" w:sz="8" w:color="DBDBDB"/>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Vested and expected to vest-December 25, 2022</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5,770</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DBDBDB"/>
            </w:tcBorders>
            <w:shd w:val="clear" w:color="auto" w:fill="DBDBDB"/>
          </w:tcPr>
          <w:p>
            <w:pPr>
              <w:spacing w:after="0"/>
              <w:rPr>
                <w:sz w:val="22"/>
                <w:szCs w:val="22"/>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DBDBDB"/>
            </w:tcBorders>
            <w:shd w:val="clear" w:color="auto" w:fill="DBDBDB"/>
          </w:tcPr>
          <w:p>
            <w:pPr>
              <w:spacing w:after="0"/>
              <w:rPr>
                <w:sz w:val="22"/>
                <w:szCs w:val="22"/>
                <w:color w:val="auto"/>
              </w:rPr>
            </w:pPr>
          </w:p>
        </w:tc>
        <w:tc>
          <w:tcPr>
            <w:tcW w:w="36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72,681</w:t>
            </w:r>
          </w:p>
        </w:tc>
        <w:tc>
          <w:tcPr>
            <w:tcW w:w="0" w:type="dxa"/>
            <w:vAlign w:val="bottom"/>
          </w:tcPr>
          <w:p>
            <w:pPr>
              <w:spacing w:after="0"/>
              <w:rPr>
                <w:sz w:val="1"/>
                <w:szCs w:val="1"/>
                <w:color w:val="auto"/>
              </w:rPr>
            </w:pP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estimates the fair value of stock options on the date of grant using the Black-Scholes option-pricing model. The Black-Scholes option-pricing model requires estimates of highly subjective assumptions, which greatly affect the fair value of each stock option. The weighted average assumptions used to estimate the fair value of stock options granted during the years ended December 26, 2021 and December 27, 2020 were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20" w:type="dxa"/>
            <w:vAlign w:val="bottom"/>
            <w:tcBorders>
              <w:bottom w:val="single" w:sz="8" w:color="DBDBDB"/>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DBDBDB"/>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2020</w:t>
            </w:r>
          </w:p>
        </w:tc>
      </w:tr>
      <w:tr>
        <w:trPr>
          <w:trHeight w:val="240"/>
        </w:trPr>
        <w:tc>
          <w:tcPr>
            <w:tcW w:w="8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Fair value of stock option</w:t>
            </w:r>
          </w:p>
        </w:tc>
        <w:tc>
          <w:tcPr>
            <w:tcW w:w="11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$2.16</w:t>
            </w:r>
          </w:p>
        </w:tc>
        <w:tc>
          <w:tcPr>
            <w:tcW w:w="120" w:type="dxa"/>
            <w:vAlign w:val="bottom"/>
            <w:shd w:val="clear" w:color="auto" w:fill="DBDBDB"/>
          </w:tcPr>
          <w:p>
            <w:pPr>
              <w:spacing w:after="0"/>
              <w:rPr>
                <w:sz w:val="20"/>
                <w:szCs w:val="20"/>
                <w:color w:val="auto"/>
              </w:rPr>
            </w:pPr>
          </w:p>
        </w:tc>
        <w:tc>
          <w:tcPr>
            <w:tcW w:w="13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$3.40</w:t>
            </w:r>
          </w:p>
        </w:tc>
      </w:tr>
      <w:tr>
        <w:trPr>
          <w:trHeight w:val="235"/>
        </w:trPr>
        <w:tc>
          <w:tcPr>
            <w:tcW w:w="862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140" w:type="dxa"/>
            <w:vAlign w:val="bottom"/>
          </w:tcPr>
          <w:p>
            <w:pPr>
              <w:jc w:val="center"/>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1.86%</w:t>
            </w:r>
          </w:p>
        </w:tc>
      </w:tr>
      <w:tr>
        <w:trPr>
          <w:trHeight w:val="251"/>
        </w:trPr>
        <w:tc>
          <w:tcPr>
            <w:tcW w:w="8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Expected life (years)</w:t>
            </w:r>
          </w:p>
        </w:tc>
        <w:tc>
          <w:tcPr>
            <w:tcW w:w="114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8"/>
              </w:rPr>
              <w:t>6.5</w:t>
            </w:r>
          </w:p>
        </w:tc>
        <w:tc>
          <w:tcPr>
            <w:tcW w:w="120" w:type="dxa"/>
            <w:vAlign w:val="bottom"/>
            <w:shd w:val="clear" w:color="auto" w:fill="DBDBDB"/>
          </w:tcPr>
          <w:p>
            <w:pPr>
              <w:spacing w:after="0"/>
              <w:rPr>
                <w:sz w:val="21"/>
                <w:szCs w:val="21"/>
                <w:color w:val="auto"/>
              </w:rPr>
            </w:pPr>
          </w:p>
        </w:tc>
        <w:tc>
          <w:tcPr>
            <w:tcW w:w="136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6.5</w:t>
            </w:r>
          </w:p>
        </w:tc>
      </w:tr>
      <w:tr>
        <w:trPr>
          <w:trHeight w:val="228"/>
        </w:trPr>
        <w:tc>
          <w:tcPr>
            <w:tcW w:w="8620" w:type="dxa"/>
            <w:vAlign w:val="bottom"/>
          </w:tcPr>
          <w:p>
            <w:pPr>
              <w:ind w:left="20"/>
              <w:spacing w:after="0"/>
              <w:rPr>
                <w:sz w:val="20"/>
                <w:szCs w:val="20"/>
                <w:color w:val="auto"/>
              </w:rPr>
            </w:pPr>
            <w:r>
              <w:rPr>
                <w:rFonts w:ascii="Arial" w:cs="Arial" w:eastAsia="Arial" w:hAnsi="Arial"/>
                <w:sz w:val="16"/>
                <w:szCs w:val="16"/>
                <w:color w:val="auto"/>
              </w:rPr>
              <w:t>Volatility</w:t>
            </w:r>
          </w:p>
        </w:tc>
        <w:tc>
          <w:tcPr>
            <w:tcW w:w="1140" w:type="dxa"/>
            <w:vAlign w:val="bottom"/>
          </w:tcPr>
          <w:p>
            <w:pPr>
              <w:jc w:val="center"/>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43.8%</w:t>
            </w:r>
          </w:p>
        </w:tc>
      </w:tr>
    </w:tbl>
    <w:p>
      <w:pPr>
        <w:spacing w:after="0" w:line="19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December 25, 2022, there was $6.5 million of total unrecognized compensation cost related to unvested options under the 2014 plan, which is expected to be recognized over a weighted average period of 1.9 years.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Equity-Based Compensation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Equity-based compensation expense included in the Company’s consolidated statements of operations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Fiscal Years Ended</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47"/>
        </w:trPr>
        <w:tc>
          <w:tcPr>
            <w:tcW w:w="4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25, 2022</w:t>
            </w:r>
          </w:p>
        </w:tc>
        <w:tc>
          <w:tcPr>
            <w:tcW w:w="260" w:type="dxa"/>
            <w:vAlign w:val="bottom"/>
          </w:tcPr>
          <w:p>
            <w:pPr>
              <w:spacing w:after="0"/>
              <w:rPr>
                <w:sz w:val="21"/>
                <w:szCs w:val="21"/>
                <w:color w:val="auto"/>
              </w:rPr>
            </w:pPr>
          </w:p>
        </w:tc>
        <w:tc>
          <w:tcPr>
            <w:tcW w:w="208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26, 2021</w:t>
            </w:r>
          </w:p>
        </w:tc>
        <w:tc>
          <w:tcPr>
            <w:tcW w:w="260" w:type="dxa"/>
            <w:vAlign w:val="bottom"/>
          </w:tcPr>
          <w:p>
            <w:pPr>
              <w:spacing w:after="0"/>
              <w:rPr>
                <w:sz w:val="21"/>
                <w:szCs w:val="21"/>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27, 2020</w:t>
            </w:r>
          </w:p>
        </w:tc>
      </w:tr>
      <w:tr>
        <w:trPr>
          <w:trHeight w:val="240"/>
        </w:trPr>
        <w:tc>
          <w:tcPr>
            <w:tcW w:w="43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Labor</w:t>
            </w:r>
          </w:p>
        </w:tc>
        <w:tc>
          <w:tcPr>
            <w:tcW w:w="24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1,448</w:t>
            </w:r>
          </w:p>
        </w:tc>
        <w:tc>
          <w:tcPr>
            <w:tcW w:w="8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561</w:t>
            </w:r>
          </w:p>
        </w:tc>
        <w:tc>
          <w:tcPr>
            <w:tcW w:w="80" w:type="dxa"/>
            <w:vAlign w:val="bottom"/>
            <w:tcBorders>
              <w:top w:val="single" w:sz="8" w:color="DBDBDB"/>
            </w:tcBorders>
            <w:shd w:val="clear" w:color="auto" w:fill="DBDBDB"/>
          </w:tcPr>
          <w:p>
            <w:pPr>
              <w:spacing w:after="0"/>
              <w:rPr>
                <w:sz w:val="20"/>
                <w:szCs w:val="20"/>
                <w:color w:val="auto"/>
              </w:rPr>
            </w:pPr>
          </w:p>
        </w:tc>
        <w:tc>
          <w:tcPr>
            <w:tcW w:w="260" w:type="dxa"/>
            <w:vAlign w:val="bottom"/>
            <w:tcBorders>
              <w:top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43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14,689</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30,147</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w:t>
            </w:r>
          </w:p>
        </w:tc>
      </w:tr>
      <w:tr>
        <w:trPr>
          <w:trHeight w:val="268"/>
        </w:trPr>
        <w:tc>
          <w:tcPr>
            <w:tcW w:w="4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equity-based compensation expense</w:t>
            </w:r>
          </w:p>
        </w:tc>
        <w:tc>
          <w:tcPr>
            <w:tcW w:w="24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16,137</w:t>
            </w: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30,708</w:t>
            </w: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960</w:t>
            </w:r>
          </w:p>
        </w:tc>
      </w:tr>
      <w:tr>
        <w:trPr>
          <w:trHeight w:val="20"/>
        </w:trPr>
        <w:tc>
          <w:tcPr>
            <w:tcW w:w="43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0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Total equity-based compensation expense decreased from prior year primarily because the Company recognized a cash compensation expense of approximately $1.3 million and a non-cash compensation expense of approximately $26.2 million in fiscal year 2021, due to the aforementioned modification of performance-vesting awards.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Employee Stock Purchase Plan</w:t>
      </w:r>
    </w:p>
    <w:p>
      <w:pPr>
        <w:spacing w:after="0" w:line="247"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During the year ended December 25, 2022, the Company issued 6,831 shares under the ESPP. At December 25, 2022, 242,882 shares remained available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r>
      <w:r>
        <w:rPr>
          <w:sz w:val="20"/>
          <w:szCs w:val="20"/>
          <w:color w:val="auto"/>
        </w:rPr>
        <w:tab/>
      </w:r>
      <w:r>
        <w:rPr>
          <w:rFonts w:ascii="Arial" w:cs="Arial" w:eastAsia="Arial" w:hAnsi="Arial"/>
          <w:sz w:val="24"/>
          <w:szCs w:val="24"/>
          <w:b w:val="1"/>
          <w:bCs w:val="1"/>
          <w:color w:val="414042"/>
        </w:rPr>
        <w:t>INCOME TAXES</w:t>
      </w:r>
    </w:p>
    <w:p>
      <w:pPr>
        <w:spacing w:after="0" w:line="2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the IPO and Transactions described in Note 1. Description Of Business we became the sole managing member of Portillo's OpCo, and as a result, began consolidating the financial results of Portillo's OpCo. Portillo's OpCo is treated as a partnership for U.S. federal and most applicable state and local income tax purposes. As a partnership, Portillo's OpCo is not subject to U.S. federal and certain state and local income taxes. Any taxable income or loss generated by Portillo's OpCo is passed through to and included in the taxable income or loss of its members, including us, based upon the respective member's ownership percentage in Portillo's OpCo. Beginning in Fiscal 2021, we are subject to U.S. federal income taxes, in addition to state and local income taxes with respect to our allocable share of any taxable income or loss of Portillo's OpCo subsequent to the IPO and Transactions, as well as any stand-alone income or loss generated by Portillo's Inc.</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Income Tax Expense (Benefit)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2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6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25, 2022</w:t>
            </w:r>
          </w:p>
        </w:tc>
        <w:tc>
          <w:tcPr>
            <w:tcW w:w="260" w:type="dxa"/>
            <w:vAlign w:val="bottom"/>
          </w:tcPr>
          <w:p>
            <w:pPr>
              <w:spacing w:after="0"/>
              <w:rPr>
                <w:sz w:val="21"/>
                <w:szCs w:val="21"/>
                <w:color w:val="auto"/>
              </w:rPr>
            </w:pPr>
          </w:p>
        </w:tc>
        <w:tc>
          <w:tcPr>
            <w:tcW w:w="204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26, 2021</w:t>
            </w:r>
          </w:p>
        </w:tc>
      </w:tr>
      <w:tr>
        <w:trPr>
          <w:trHeight w:val="227"/>
        </w:trPr>
        <w:tc>
          <w:tcPr>
            <w:tcW w:w="6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Current income taxes:</w:t>
            </w:r>
          </w:p>
        </w:tc>
        <w:tc>
          <w:tcPr>
            <w:tcW w:w="260" w:type="dxa"/>
            <w:vAlign w:val="bottom"/>
            <w:tcBorders>
              <w:top w:val="single" w:sz="8" w:color="auto"/>
            </w:tcBorders>
            <w:shd w:val="clear" w:color="auto" w:fill="DBDBDB"/>
          </w:tcPr>
          <w:p>
            <w:pPr>
              <w:spacing w:after="0"/>
              <w:rPr>
                <w:sz w:val="19"/>
                <w:szCs w:val="19"/>
                <w:color w:val="auto"/>
              </w:rPr>
            </w:pPr>
          </w:p>
        </w:tc>
        <w:tc>
          <w:tcPr>
            <w:tcW w:w="204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2040" w:type="dxa"/>
            <w:vAlign w:val="bottom"/>
            <w:tcBorders>
              <w:top w:val="single" w:sz="8" w:color="auto"/>
            </w:tcBorders>
            <w:shd w:val="clear" w:color="auto" w:fill="DBDBDB"/>
          </w:tcPr>
          <w:p>
            <w:pPr>
              <w:spacing w:after="0"/>
              <w:rPr>
                <w:sz w:val="19"/>
                <w:szCs w:val="19"/>
                <w:color w:val="auto"/>
              </w:rPr>
            </w:pP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Federal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4"/>
        </w:trPr>
        <w:tc>
          <w:tcPr>
            <w:tcW w:w="65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State and local</w:t>
            </w: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65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current income taxes</w:t>
            </w: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9"/>
        </w:trPr>
        <w:tc>
          <w:tcPr>
            <w:tcW w:w="65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60" w:type="dxa"/>
            <w:vAlign w:val="bottom"/>
            <w:shd w:val="clear" w:color="auto" w:fill="DBDBDB"/>
          </w:tcPr>
          <w:p>
            <w:pPr>
              <w:spacing w:after="0"/>
              <w:rPr>
                <w:sz w:val="19"/>
                <w:szCs w:val="19"/>
                <w:color w:val="auto"/>
              </w:rPr>
            </w:pPr>
          </w:p>
        </w:tc>
        <w:tc>
          <w:tcPr>
            <w:tcW w:w="20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040" w:type="dxa"/>
            <w:vAlign w:val="bottom"/>
            <w:shd w:val="clear" w:color="auto" w:fill="DBDBDB"/>
          </w:tcPr>
          <w:p>
            <w:pPr>
              <w:spacing w:after="0"/>
              <w:rPr>
                <w:sz w:val="19"/>
                <w:szCs w:val="19"/>
                <w:color w:val="auto"/>
              </w:rPr>
            </w:pP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Federal</w:t>
            </w: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(2,653)</w:t>
            </w:r>
          </w:p>
        </w:tc>
      </w:tr>
      <w:tr>
        <w:trPr>
          <w:trHeight w:val="244"/>
        </w:trPr>
        <w:tc>
          <w:tcPr>
            <w:tcW w:w="6560" w:type="dxa"/>
            <w:vAlign w:val="bottom"/>
            <w:shd w:val="clear" w:color="auto" w:fill="DBDBDB"/>
          </w:tcPr>
          <w:p>
            <w:pPr>
              <w:ind w:left="140"/>
              <w:spacing w:after="0"/>
              <w:rPr>
                <w:sz w:val="20"/>
                <w:szCs w:val="20"/>
                <w:color w:val="auto"/>
              </w:rPr>
            </w:pPr>
            <w:r>
              <w:rPr>
                <w:rFonts w:ascii="Arial" w:cs="Arial" w:eastAsia="Arial" w:hAnsi="Arial"/>
                <w:sz w:val="16"/>
                <w:szCs w:val="16"/>
                <w:color w:val="auto"/>
              </w:rPr>
              <w:t>State and local</w:t>
            </w: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1,998</w:t>
            </w:r>
          </w:p>
        </w:tc>
        <w:tc>
          <w:tcPr>
            <w:tcW w:w="8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(879)</w:t>
            </w:r>
          </w:p>
        </w:tc>
      </w:tr>
      <w:tr>
        <w:trPr>
          <w:trHeight w:val="236"/>
        </w:trPr>
        <w:tc>
          <w:tcPr>
            <w:tcW w:w="6560" w:type="dxa"/>
            <w:vAlign w:val="bottom"/>
            <w:tcBorders>
              <w:bottom w:val="single" w:sz="8" w:color="DBDBDB"/>
            </w:tcBorders>
          </w:tcPr>
          <w:p>
            <w:pPr>
              <w:ind w:left="140"/>
              <w:spacing w:after="0"/>
              <w:rPr>
                <w:sz w:val="20"/>
                <w:szCs w:val="20"/>
                <w:color w:val="auto"/>
              </w:rPr>
            </w:pPr>
            <w:r>
              <w:rPr>
                <w:rFonts w:ascii="Arial" w:cs="Arial" w:eastAsia="Arial" w:hAnsi="Arial"/>
                <w:sz w:val="16"/>
                <w:szCs w:val="16"/>
                <w:color w:val="auto"/>
              </w:rPr>
              <w:t>Total deferred income taxes</w:t>
            </w: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80" w:type="dxa"/>
            <w:vAlign w:val="bottom"/>
            <w:tcBorders>
              <w:bottom w:val="single" w:sz="8" w:color="DBDBDB"/>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w:t>
            </w:r>
          </w:p>
        </w:tc>
      </w:tr>
      <w:tr>
        <w:trPr>
          <w:trHeight w:val="268"/>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1,823</w:t>
            </w:r>
          </w:p>
        </w:tc>
        <w:tc>
          <w:tcPr>
            <w:tcW w:w="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auto"/>
            </w:tcBorders>
            <w:shd w:val="clear" w:color="auto" w:fill="DBDBDB"/>
          </w:tcPr>
          <w:p>
            <w:pPr>
              <w:jc w:val="right"/>
              <w:ind w:right="5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(3,531)</w:t>
            </w:r>
          </w:p>
        </w:tc>
      </w:tr>
      <w:tr>
        <w:trPr>
          <w:trHeight w:val="20"/>
        </w:trPr>
        <w:tc>
          <w:tcPr>
            <w:tcW w:w="65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04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Reconciliations of income tax expense (benefit) computed at the U.S. federal statutory income tax rate to the recognized income tax expense (benefit) and the U.S. statutory income tax rate to our effective tax rates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Fiscal Years Ended</w:t>
            </w:r>
          </w:p>
        </w:tc>
        <w:tc>
          <w:tcPr>
            <w:tcW w:w="940" w:type="dxa"/>
            <w:vAlign w:val="bottom"/>
          </w:tcPr>
          <w:p>
            <w:pPr>
              <w:spacing w:after="0"/>
              <w:rPr>
                <w:sz w:val="19"/>
                <w:szCs w:val="19"/>
                <w:color w:val="auto"/>
              </w:rPr>
            </w:pPr>
          </w:p>
        </w:tc>
      </w:tr>
      <w:tr>
        <w:trPr>
          <w:trHeight w:val="247"/>
        </w:trPr>
        <w:tc>
          <w:tcPr>
            <w:tcW w:w="6240" w:type="dxa"/>
            <w:vAlign w:val="bottom"/>
            <w:tcBorders>
              <w:bottom w:val="single" w:sz="8" w:color="DBDBDB"/>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December 25, 2022</w:t>
            </w:r>
          </w:p>
        </w:tc>
        <w:tc>
          <w:tcPr>
            <w:tcW w:w="28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6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Expected U.S. federal income taxes at statutory rate</w:t>
            </w:r>
          </w:p>
        </w:tc>
        <w:tc>
          <w:tcPr>
            <w:tcW w:w="32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rPr>
              <w:t>3,986</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DBDBDB"/>
          </w:tcPr>
          <w:p>
            <w:pPr>
              <w:spacing w:after="0"/>
              <w:rPr>
                <w:sz w:val="20"/>
                <w:szCs w:val="20"/>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(3,559)</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21.0 %</w:t>
            </w:r>
          </w:p>
        </w:tc>
      </w:tr>
      <w:tr>
        <w:trPr>
          <w:trHeight w:val="235"/>
        </w:trPr>
        <w:tc>
          <w:tcPr>
            <w:tcW w:w="6240" w:type="dxa"/>
            <w:vAlign w:val="bottom"/>
          </w:tcPr>
          <w:p>
            <w:pPr>
              <w:ind w:left="20"/>
              <w:spacing w:after="0"/>
              <w:rPr>
                <w:sz w:val="20"/>
                <w:szCs w:val="20"/>
                <w:color w:val="auto"/>
              </w:rPr>
            </w:pPr>
            <w:r>
              <w:rPr>
                <w:rFonts w:ascii="Arial" w:cs="Arial" w:eastAsia="Arial" w:hAnsi="Arial"/>
                <w:sz w:val="16"/>
                <w:szCs w:val="16"/>
                <w:color w:val="auto"/>
              </w:rPr>
              <w:t>State and local income taxes, net of federal benefit</w:t>
            </w:r>
          </w:p>
        </w:tc>
        <w:tc>
          <w:tcPr>
            <w:tcW w:w="320" w:type="dxa"/>
            <w:vAlign w:val="bottom"/>
          </w:tcPr>
          <w:p>
            <w:pPr>
              <w:spacing w:after="0"/>
              <w:rPr>
                <w:sz w:val="20"/>
                <w:szCs w:val="20"/>
                <w:color w:val="auto"/>
              </w:rPr>
            </w:pPr>
          </w:p>
        </w:tc>
        <w:tc>
          <w:tcPr>
            <w:tcW w:w="1120" w:type="dxa"/>
            <w:vAlign w:val="bottom"/>
          </w:tcPr>
          <w:p>
            <w:pPr>
              <w:jc w:val="right"/>
              <w:ind w:right="279"/>
              <w:spacing w:after="0"/>
              <w:rPr>
                <w:sz w:val="20"/>
                <w:szCs w:val="20"/>
                <w:color w:val="auto"/>
              </w:rPr>
            </w:pPr>
            <w:r>
              <w:rPr>
                <w:rFonts w:ascii="Arial" w:cs="Arial" w:eastAsia="Arial" w:hAnsi="Arial"/>
                <w:sz w:val="16"/>
                <w:szCs w:val="16"/>
                <w:color w:val="auto"/>
              </w:rPr>
              <w:t>3,217</w:t>
            </w:r>
          </w:p>
        </w:tc>
        <w:tc>
          <w:tcPr>
            <w:tcW w:w="1060" w:type="dxa"/>
            <w:vAlign w:val="bottom"/>
          </w:tcPr>
          <w:p>
            <w:pPr>
              <w:jc w:val="right"/>
              <w:spacing w:after="0"/>
              <w:rPr>
                <w:sz w:val="20"/>
                <w:szCs w:val="20"/>
                <w:color w:val="auto"/>
              </w:rPr>
            </w:pPr>
            <w:r>
              <w:rPr>
                <w:rFonts w:ascii="Arial" w:cs="Arial" w:eastAsia="Arial" w:hAnsi="Arial"/>
                <w:sz w:val="16"/>
                <w:szCs w:val="16"/>
                <w:color w:val="auto"/>
              </w:rPr>
              <w:t>16.9 %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(878)</w:t>
            </w:r>
          </w:p>
        </w:tc>
        <w:tc>
          <w:tcPr>
            <w:tcW w:w="94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51"/>
        </w:trPr>
        <w:tc>
          <w:tcPr>
            <w:tcW w:w="6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Non-deductible expenses</w:t>
            </w:r>
          </w:p>
        </w:tc>
        <w:tc>
          <w:tcPr>
            <w:tcW w:w="320" w:type="dxa"/>
            <w:vAlign w:val="bottom"/>
            <w:shd w:val="clear" w:color="auto" w:fill="DBDBDB"/>
          </w:tcPr>
          <w:p>
            <w:pPr>
              <w:spacing w:after="0"/>
              <w:rPr>
                <w:sz w:val="21"/>
                <w:szCs w:val="21"/>
                <w:color w:val="auto"/>
              </w:rPr>
            </w:pPr>
          </w:p>
        </w:tc>
        <w:tc>
          <w:tcPr>
            <w:tcW w:w="112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(369)</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624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32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(1,312)</w:t>
            </w:r>
          </w:p>
        </w:tc>
        <w:tc>
          <w:tcPr>
            <w:tcW w:w="106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4,076</w:t>
            </w:r>
          </w:p>
        </w:tc>
        <w:tc>
          <w:tcPr>
            <w:tcW w:w="94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51"/>
        </w:trPr>
        <w:tc>
          <w:tcPr>
            <w:tcW w:w="6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LLC flow-through structure</w:t>
            </w:r>
          </w:p>
        </w:tc>
        <w:tc>
          <w:tcPr>
            <w:tcW w:w="320" w:type="dxa"/>
            <w:vAlign w:val="bottom"/>
            <w:shd w:val="clear" w:color="auto" w:fill="DBDBDB"/>
          </w:tcPr>
          <w:p>
            <w:pPr>
              <w:spacing w:after="0"/>
              <w:rPr>
                <w:sz w:val="21"/>
                <w:szCs w:val="21"/>
                <w:color w:val="auto"/>
              </w:rPr>
            </w:pPr>
          </w:p>
        </w:tc>
        <w:tc>
          <w:tcPr>
            <w:tcW w:w="1120" w:type="dxa"/>
            <w:vAlign w:val="bottom"/>
            <w:shd w:val="clear" w:color="auto" w:fill="DBDBDB"/>
          </w:tcPr>
          <w:p>
            <w:pPr>
              <w:jc w:val="right"/>
              <w:ind w:right="239"/>
              <w:spacing w:after="0"/>
              <w:rPr>
                <w:sz w:val="20"/>
                <w:szCs w:val="20"/>
                <w:color w:val="auto"/>
              </w:rPr>
            </w:pPr>
            <w:r>
              <w:rPr>
                <w:rFonts w:ascii="Arial" w:cs="Arial" w:eastAsia="Arial" w:hAnsi="Arial"/>
                <w:sz w:val="16"/>
                <w:szCs w:val="16"/>
                <w:color w:val="auto"/>
              </w:rPr>
              <w:t>(2,849)</w:t>
            </w: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18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(4,608)</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27.2 %</w:t>
            </w:r>
          </w:p>
        </w:tc>
      </w:tr>
      <w:tr>
        <w:trPr>
          <w:trHeight w:val="235"/>
        </w:trPr>
        <w:tc>
          <w:tcPr>
            <w:tcW w:w="6240" w:type="dxa"/>
            <w:vAlign w:val="bottom"/>
          </w:tcPr>
          <w:p>
            <w:pPr>
              <w:ind w:left="20"/>
              <w:spacing w:after="0"/>
              <w:rPr>
                <w:sz w:val="20"/>
                <w:szCs w:val="20"/>
                <w:color w:val="auto"/>
              </w:rPr>
            </w:pPr>
            <w:r>
              <w:rPr>
                <w:rFonts w:ascii="Arial" w:cs="Arial" w:eastAsia="Arial" w:hAnsi="Arial"/>
                <w:sz w:val="16"/>
                <w:szCs w:val="16"/>
                <w:color w:val="auto"/>
              </w:rPr>
              <w:t>Change in valuation allowance</w:t>
            </w:r>
          </w:p>
        </w:tc>
        <w:tc>
          <w:tcPr>
            <w:tcW w:w="320" w:type="dxa"/>
            <w:vAlign w:val="bottom"/>
          </w:tcPr>
          <w:p>
            <w:pPr>
              <w:spacing w:after="0"/>
              <w:rPr>
                <w:sz w:val="20"/>
                <w:szCs w:val="20"/>
                <w:color w:val="auto"/>
              </w:rPr>
            </w:pP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(1,923)</w:t>
            </w:r>
          </w:p>
        </w:tc>
        <w:tc>
          <w:tcPr>
            <w:tcW w:w="106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4"/>
        </w:trPr>
        <w:tc>
          <w:tcPr>
            <w:tcW w:w="6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rPr>
              <w:t>1,073</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180" w:type="dxa"/>
            <w:vAlign w:val="bottom"/>
            <w:tcBorders>
              <w:bottom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rPr>
              <w:t>1,438</w:t>
            </w: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(8.5)%</w:t>
            </w:r>
          </w:p>
        </w:tc>
      </w:tr>
      <w:tr>
        <w:trPr>
          <w:trHeight w:val="243"/>
        </w:trPr>
        <w:tc>
          <w:tcPr>
            <w:tcW w:w="62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1,823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9.6 %</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(3,531)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20.9 %</w:t>
            </w:r>
          </w:p>
        </w:tc>
      </w:tr>
      <w:tr>
        <w:trPr>
          <w:trHeight w:val="20"/>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effective income tax rates for the year ended December 25, 2022 and December 26, 2021 were 9.6% and 20.9%, respectively. The change in our effective income tax rate from the year ended December 25, 2022 to the year ended December 26, 2021 was primarily driven by the change in the valuation allowance and the tax benefit from the exercise and vesting of equity-based awards. The Company’s annual effective tax rate for the year ended December 25, 2022 and December 26, 2021 was less than the statutory rate of 21% primarily because the Company is not liable for income taxes on the portion of OpCo’s earnings that are attributable to non-controlling interests and the change in valuation allowance.</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Deferred Tax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25, 2022</w:t>
            </w:r>
          </w:p>
        </w:tc>
        <w:tc>
          <w:tcPr>
            <w:tcW w:w="260" w:type="dxa"/>
            <w:vAlign w:val="bottom"/>
          </w:tcPr>
          <w:p>
            <w:pPr>
              <w:spacing w:after="0"/>
              <w:rPr>
                <w:sz w:val="19"/>
                <w:szCs w:val="19"/>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26, 2021</w:t>
            </w:r>
          </w:p>
        </w:tc>
      </w:tr>
      <w:tr>
        <w:trPr>
          <w:trHeight w:val="227"/>
        </w:trPr>
        <w:tc>
          <w:tcPr>
            <w:tcW w:w="6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40" w:type="dxa"/>
            <w:vAlign w:val="bottom"/>
            <w:tcBorders>
              <w:top w:val="single" w:sz="8" w:color="auto"/>
            </w:tcBorders>
            <w:shd w:val="clear" w:color="auto" w:fill="DBDBDB"/>
          </w:tcPr>
          <w:p>
            <w:pPr>
              <w:spacing w:after="0"/>
              <w:rPr>
                <w:sz w:val="19"/>
                <w:szCs w:val="19"/>
                <w:color w:val="auto"/>
              </w:rPr>
            </w:pPr>
          </w:p>
        </w:tc>
        <w:tc>
          <w:tcPr>
            <w:tcW w:w="20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2000" w:type="dxa"/>
            <w:vAlign w:val="bottom"/>
            <w:tcBorders>
              <w:top w:val="single" w:sz="8" w:color="auto"/>
            </w:tcBorders>
            <w:shd w:val="clear" w:color="auto" w:fill="DBDBDB"/>
          </w:tcPr>
          <w:p>
            <w:pPr>
              <w:spacing w:after="0"/>
              <w:rPr>
                <w:sz w:val="19"/>
                <w:szCs w:val="19"/>
                <w:color w:val="auto"/>
              </w:rPr>
            </w:pPr>
          </w:p>
        </w:tc>
      </w:tr>
      <w:tr>
        <w:trPr>
          <w:trHeight w:val="235"/>
        </w:trPr>
        <w:tc>
          <w:tcPr>
            <w:tcW w:w="6640" w:type="dxa"/>
            <w:vAlign w:val="bottom"/>
          </w:tcPr>
          <w:p>
            <w:pPr>
              <w:ind w:left="140"/>
              <w:spacing w:after="0"/>
              <w:rPr>
                <w:sz w:val="20"/>
                <w:szCs w:val="20"/>
                <w:color w:val="auto"/>
              </w:rPr>
            </w:pPr>
            <w:r>
              <w:rPr>
                <w:rFonts w:ascii="Arial" w:cs="Arial" w:eastAsia="Arial" w:hAnsi="Arial"/>
                <w:sz w:val="16"/>
                <w:szCs w:val="16"/>
                <w:color w:val="auto"/>
              </w:rPr>
              <w:t>Investment in partnership</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79,181</w:t>
            </w:r>
          </w:p>
        </w:tc>
        <w:tc>
          <w:tcPr>
            <w:tcW w:w="8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67,865</w:t>
            </w:r>
          </w:p>
        </w:tc>
      </w:tr>
      <w:tr>
        <w:trPr>
          <w:trHeight w:val="251"/>
        </w:trPr>
        <w:tc>
          <w:tcPr>
            <w:tcW w:w="6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Tax Receivable Agreement</w:t>
            </w:r>
          </w:p>
        </w:tc>
        <w:tc>
          <w:tcPr>
            <w:tcW w:w="240" w:type="dxa"/>
            <w:vAlign w:val="bottom"/>
            <w:shd w:val="clear" w:color="auto" w:fill="DBDBDB"/>
          </w:tcPr>
          <w:p>
            <w:pPr>
              <w:spacing w:after="0"/>
              <w:rPr>
                <w:sz w:val="21"/>
                <w:szCs w:val="21"/>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58,281</w:t>
            </w:r>
          </w:p>
        </w:tc>
        <w:tc>
          <w:tcPr>
            <w:tcW w:w="8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30,910</w:t>
            </w:r>
          </w:p>
        </w:tc>
      </w:tr>
      <w:tr>
        <w:trPr>
          <w:trHeight w:val="235"/>
        </w:trPr>
        <w:tc>
          <w:tcPr>
            <w:tcW w:w="6640" w:type="dxa"/>
            <w:vAlign w:val="bottom"/>
          </w:tcPr>
          <w:p>
            <w:pPr>
              <w:ind w:left="140"/>
              <w:spacing w:after="0"/>
              <w:rPr>
                <w:sz w:val="20"/>
                <w:szCs w:val="20"/>
                <w:color w:val="auto"/>
              </w:rPr>
            </w:pPr>
            <w:r>
              <w:rPr>
                <w:rFonts w:ascii="Arial" w:cs="Arial" w:eastAsia="Arial" w:hAnsi="Arial"/>
                <w:sz w:val="16"/>
                <w:szCs w:val="16"/>
                <w:color w:val="auto"/>
              </w:rPr>
              <w:t>Net operating loss carryforwards</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19,833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12,806</w:t>
            </w:r>
          </w:p>
        </w:tc>
      </w:tr>
      <w:tr>
        <w:trPr>
          <w:trHeight w:val="244"/>
        </w:trPr>
        <w:tc>
          <w:tcPr>
            <w:tcW w:w="6640" w:type="dxa"/>
            <w:vAlign w:val="bottom"/>
            <w:shd w:val="clear" w:color="auto" w:fill="DBDBDB"/>
          </w:tcPr>
          <w:p>
            <w:pPr>
              <w:ind w:left="1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4,551</w:t>
            </w:r>
          </w:p>
        </w:tc>
        <w:tc>
          <w:tcPr>
            <w:tcW w:w="8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1,289</w:t>
            </w:r>
          </w:p>
        </w:tc>
      </w:tr>
      <w:tr>
        <w:trPr>
          <w:trHeight w:val="235"/>
        </w:trPr>
        <w:tc>
          <w:tcPr>
            <w:tcW w:w="6640" w:type="dxa"/>
            <w:vAlign w:val="bottom"/>
          </w:tcPr>
          <w:p>
            <w:pPr>
              <w:ind w:left="140"/>
              <w:spacing w:after="0"/>
              <w:rPr>
                <w:sz w:val="20"/>
                <w:szCs w:val="20"/>
                <w:color w:val="auto"/>
              </w:rPr>
            </w:pPr>
            <w:r>
              <w:rPr>
                <w:rFonts w:ascii="Arial" w:cs="Arial" w:eastAsia="Arial" w:hAnsi="Arial"/>
                <w:sz w:val="16"/>
                <w:szCs w:val="16"/>
                <w:color w:val="auto"/>
              </w:rPr>
              <w:t>Total gross deferred tax assets</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161,846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112,870</w:t>
            </w:r>
          </w:p>
        </w:tc>
      </w:tr>
      <w:tr>
        <w:trPr>
          <w:trHeight w:val="244"/>
        </w:trPr>
        <w:tc>
          <w:tcPr>
            <w:tcW w:w="6640" w:type="dxa"/>
            <w:vAlign w:val="bottom"/>
            <w:shd w:val="clear" w:color="auto" w:fill="DBDBDB"/>
          </w:tcPr>
          <w:p>
            <w:pPr>
              <w:ind w:left="20"/>
              <w:spacing w:after="0"/>
              <w:rPr>
                <w:sz w:val="20"/>
                <w:szCs w:val="20"/>
                <w:color w:val="auto"/>
              </w:rPr>
            </w:pPr>
            <w:r>
              <w:rPr>
                <w:rFonts w:ascii="Arial" w:cs="Arial" w:eastAsia="Arial" w:hAnsi="Arial"/>
                <w:sz w:val="16"/>
                <w:szCs w:val="16"/>
                <w:color w:val="auto"/>
              </w:rPr>
              <w:t>Valuation allowance</w:t>
            </w:r>
          </w:p>
        </w:tc>
        <w:tc>
          <w:tcPr>
            <w:tcW w:w="240" w:type="dxa"/>
            <w:vAlign w:val="bottom"/>
            <w:tcBorders>
              <w:bottom w:val="single" w:sz="8" w:color="auto"/>
            </w:tcBorders>
            <w:shd w:val="clear" w:color="auto" w:fill="DBDBDB"/>
          </w:tcPr>
          <w:p>
            <w:pPr>
              <w:spacing w:after="0"/>
              <w:rPr>
                <w:sz w:val="21"/>
                <w:szCs w:val="21"/>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(11,349)</w:t>
            </w:r>
          </w:p>
        </w:tc>
        <w:tc>
          <w:tcPr>
            <w:tcW w:w="80" w:type="dxa"/>
            <w:vAlign w:val="bottom"/>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spacing w:after="0"/>
              <w:rPr>
                <w:sz w:val="21"/>
                <w:szCs w:val="21"/>
                <w:color w:val="auto"/>
              </w:rPr>
            </w:pPr>
          </w:p>
        </w:tc>
        <w:tc>
          <w:tcPr>
            <w:tcW w:w="2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(38,415)</w:t>
            </w:r>
          </w:p>
        </w:tc>
      </w:tr>
      <w:tr>
        <w:trPr>
          <w:trHeight w:val="243"/>
        </w:trPr>
        <w:tc>
          <w:tcPr>
            <w:tcW w:w="6640" w:type="dxa"/>
            <w:vAlign w:val="bottom"/>
          </w:tcPr>
          <w:p>
            <w:pPr>
              <w:ind w:left="20"/>
              <w:spacing w:after="0"/>
              <w:rPr>
                <w:sz w:val="20"/>
                <w:szCs w:val="20"/>
                <w:color w:val="auto"/>
              </w:rPr>
            </w:pPr>
            <w:r>
              <w:rPr>
                <w:rFonts w:ascii="Arial" w:cs="Arial" w:eastAsia="Arial" w:hAnsi="Arial"/>
                <w:sz w:val="16"/>
                <w:szCs w:val="16"/>
                <w:color w:val="auto"/>
              </w:rPr>
              <w:t>Net deferred tax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150,497</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74,455</w:t>
            </w: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described in Note 1. Description Of Business and Note 11. Stockholder's Equity, we acquired LLC Units in connection with the IPO and Transactions and Secondary Offerings. During the years ended December 25, 2022 and December 26, 2021, we recognized a deferred tax asset in the amount of $79.2 million and $67.9 million, respectively, associated with the basis difference in our investment in Portillo's OpCo from acquiring these LLC Units.</w:t>
      </w:r>
    </w:p>
    <w:p>
      <w:pPr>
        <w:spacing w:after="0" w:line="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years ended December 25, 2022 and December 26, 2021, we also recognized deferred tax assets in the amount of $58.3 million and $30.9 million, respectively, related to additional tax basis increases generated from expected future payments under the TRA and related deductions for imputed interest on such payments.</w:t>
      </w:r>
    </w:p>
    <w:p>
      <w:pPr>
        <w:spacing w:after="0" w:line="1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evaluate the realizability of our deferred tax assets on a quarterly basis and establish valuation allowances when it is more likely than not that all or a portion of a deferred tax asset may not be realized. During the years ended December 25, 2022 and December 26, 2021, the Company recognized deferred tax assets of $79.2 million and $67.9 million, respectively, associated with the basis difference in its investment in Portillo's OpCo from acquiring these LLC Units. However, a portion of the total basis difference will only reverse upon the eventual sale of its interest in Portillo's OpCo, which we expect would result in a capital loss which we do not expect to be able to utilize. As of December 25, 2022 and December 26, 2021, the Company recorded a valuation allowance in the amount of $11.3 million and $38.4 million, respectively, against the deferred tax asset.</w:t>
      </w:r>
    </w:p>
    <w:p>
      <w:pPr>
        <w:spacing w:after="0" w:line="21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As of December 25, 2022 and December 26, 2021, the Company had federal and state net operating loss carry forwards of $ 19.8 million and $12.8 million, respectively, available to reduce future taxable income, if any. Federal losses that arose prior to 2018 will begin to expire in 2034. Federal losses generated after 2017 will be carried forward indefinitely. The majority of state losses will begin to expire in 2034 and future periods.</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Unrecognized Tax Benefits</w:t>
      </w:r>
    </w:p>
    <w:p>
      <w:pPr>
        <w:spacing w:after="0" w:line="11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recorded no unrecognized tax benefits as of December 25, 2022 and December 26, 2021. Portillo's Inc. was formed in June 2021 and did not engage in any operations prior to the IPO and Transactions. Portillo's Inc. filed tax returns for tax year 2021, which is the first tax year subject to examination by taxing authorities for U.S. federal and state income tax purposes. Additionally, although Portillo's OpCo is treated as a partnership for U.S. federal and state income taxes purposes, it is still required to file an annual U.S. Return of Partnership Income, which is subject to examination by the Internal Revenue Service ("IRS"). As of December 25, 2022, there are no ongoing U.S. federal or state income tax return examinations.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12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Pursuant to the Company's election under section 754 of the Internal Revenue Code (the "Code"), the Company expects to obtain an increase in its share of the tax basis in the net assets of Portillo's OpCo when LLC Units are exchanged by other members. The Company intends to treat any exchanges of LLC Units as direct purchases of LLC Units for U.S. federal income tax purposes. These increases in tax basis may reduce the amounts that would otherwise be paid in the future to the U.S. federal and state authorities. They may also decrease gains (or increase losses) on future dispositions of certain assets to the extent tax basis is allocated to those assets.</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25, 2022, we estimate that our obligation for future payments under the TRA totaled $252.8 million. Under the TRA, the Company will be generally required to pay certain of our pre-IPO LLC Members 85% of the amount of cash savings, if any, in U.S. federal, state, or local tax that the Company actually realizes (or is deemed to realize in certain circumstances) as a result of (i) our allocable share of existing tax basis in depreciable or amortizable assets relating to LLC Units acquired in the IPO, (ii) certain favorable tax attributes acquired by the Company from the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(including the repayment of the redeemable preferred units) in connection with the IPO and (y) future exchanges of LLC Units by pre-IPO LLC Members for Class A common stock and (iv) certain other tax benefits related to entering into the TRA, including payments made under the TRA. The Company expects to benefit from the remaining 15% of any tax savings. The Company expects a payment of $0.8 million to be paid within the next 12 months.</w:t>
      </w:r>
    </w:p>
    <w:p>
      <w:pPr>
        <w:spacing w:after="0" w:line="312"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15.</w:t>
        <w:tab/>
        <w:t>EARNINGS (LOSS) PER SHARE</w:t>
      </w:r>
    </w:p>
    <w:p>
      <w:pPr>
        <w:spacing w:after="0" w:line="25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Basic net earnings (loss) per share of Class A Common Stock is computed by dividing net income (loss) attributable to Portillo's Inc. by the weighted-average number of Class A common stock outstanding.</w:t>
      </w:r>
    </w:p>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described in Note 1. Description Of Business, in connection with the IPO, the Portillo's OpCo LLC Agreement was amended and restated to, among other things, (i) to authorize the issuance of two series of common stock and (ii) convert all outstanding equity interests (except for those redeemable preferred units which were redeemed in connection with the IPO) into LLC Units. For purposes of calculating earnings per share, the prior period amounts have been retroactively adjusted to give effect to the above-mentioned amendment and resulting recapitalization. The computations of earnings per share for periods prior to our IPO do not consider the 23,310,810 shares of Class A common stock issued to investors in our IPO.</w:t>
      </w:r>
    </w:p>
    <w:p>
      <w:pPr>
        <w:spacing w:after="0" w:line="20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Diluted earnings (loss) per share is computed by dividing net income (loss) attributable to Portillo's Inc. by the weighted-average number of dilutive securities,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for the years ended December 25, 2022, December 26, 2021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27, 2020 are as follows (in thousands, except per share amounts):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Fiscal Years Ended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9"/>
        </w:trPr>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December 26,</w:t>
            </w:r>
          </w:p>
        </w:tc>
        <w:tc>
          <w:tcPr>
            <w:tcW w:w="1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27,</w:t>
            </w:r>
          </w:p>
        </w:tc>
      </w:tr>
      <w:tr>
        <w:trPr>
          <w:trHeight w:val="223"/>
        </w:trPr>
        <w:tc>
          <w:tcPr>
            <w:tcW w:w="6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
        </w:trPr>
        <w:tc>
          <w:tcPr>
            <w:tcW w:w="66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6"/>
        </w:trPr>
        <w:tc>
          <w:tcPr>
            <w:tcW w:w="6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 attributable to common unit holders</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17,157</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(34,592)</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(8,261)</w:t>
            </w:r>
          </w:p>
        </w:tc>
      </w:tr>
      <w:tr>
        <w:trPr>
          <w:trHeight w:val="237"/>
        </w:trPr>
        <w:tc>
          <w:tcPr>
            <w:tcW w:w="66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6,306</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(19,408)</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 (loss) attributable to Portillo's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10,851</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(15,184)</w:t>
            </w:r>
          </w:p>
        </w:tc>
        <w:tc>
          <w:tcPr>
            <w:tcW w:w="100" w:type="dxa"/>
            <w:vAlign w:val="bottom"/>
            <w:shd w:val="clear" w:color="auto" w:fill="DBDBDB"/>
          </w:tcPr>
          <w:p>
            <w:pPr>
              <w:spacing w:after="0"/>
              <w:rPr>
                <w:sz w:val="22"/>
                <w:szCs w:val="22"/>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(8,261)</w:t>
            </w:r>
          </w:p>
        </w:tc>
      </w:tr>
      <w:tr>
        <w:trPr>
          <w:trHeight w:val="20"/>
        </w:trPr>
        <w:tc>
          <w:tcPr>
            <w:tcW w:w="66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3"/>
        </w:trPr>
        <w:tc>
          <w:tcPr>
            <w:tcW w:w="6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spacing w:after="0"/>
              <w:rPr>
                <w:sz w:val="21"/>
                <w:szCs w:val="21"/>
                <w:color w:val="auto"/>
              </w:rPr>
            </w:pPr>
          </w:p>
        </w:tc>
      </w:tr>
      <w:tr>
        <w:trPr>
          <w:trHeight w:val="235"/>
        </w:trPr>
        <w:tc>
          <w:tcPr>
            <w:tcW w:w="662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outstanding-basic</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38,902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51,189</w:t>
            </w:r>
          </w:p>
        </w:tc>
      </w:tr>
      <w:tr>
        <w:trPr>
          <w:trHeight w:val="251"/>
        </w:trPr>
        <w:tc>
          <w:tcPr>
            <w:tcW w:w="6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Dilutive unit awards</w:t>
            </w:r>
          </w:p>
        </w:tc>
        <w:tc>
          <w:tcPr>
            <w:tcW w:w="14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3,814</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1"/>
                <w:szCs w:val="21"/>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6620" w:type="dxa"/>
            <w:vAlign w:val="bottom"/>
          </w:tcPr>
          <w:p>
            <w:pPr>
              <w:ind w:left="20"/>
              <w:spacing w:after="0"/>
              <w:rPr>
                <w:sz w:val="20"/>
                <w:szCs w:val="20"/>
                <w:color w:val="auto"/>
              </w:rPr>
            </w:pPr>
            <w:r>
              <w:rPr>
                <w:rFonts w:ascii="Arial" w:cs="Arial" w:eastAsia="Arial" w:hAnsi="Arial"/>
                <w:sz w:val="16"/>
                <w:szCs w:val="16"/>
                <w:color w:val="auto"/>
              </w:rPr>
              <w:t>Weighted-average number of common shares outstanding-diluted</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35,807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51,189</w:t>
            </w:r>
          </w:p>
        </w:tc>
      </w:tr>
      <w:tr>
        <w:trPr>
          <w:trHeight w:val="278"/>
        </w:trPr>
        <w:tc>
          <w:tcPr>
            <w:tcW w:w="66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6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8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280" w:type="dxa"/>
            <w:vAlign w:val="bottom"/>
            <w:shd w:val="clear" w:color="auto" w:fill="DBDBDB"/>
          </w:tcPr>
          <w:p>
            <w:pPr>
              <w:spacing w:after="0"/>
              <w:rPr>
                <w:sz w:val="24"/>
                <w:szCs w:val="24"/>
                <w:color w:val="auto"/>
              </w:rPr>
            </w:pPr>
          </w:p>
        </w:tc>
      </w:tr>
      <w:tr>
        <w:trPr>
          <w:trHeight w:val="235"/>
        </w:trPr>
        <w:tc>
          <w:tcPr>
            <w:tcW w:w="6620" w:type="dxa"/>
            <w:vAlign w:val="bottom"/>
          </w:tcPr>
          <w:p>
            <w:pPr>
              <w:ind w:left="20"/>
              <w:spacing w:after="0"/>
              <w:rPr>
                <w:sz w:val="20"/>
                <w:szCs w:val="20"/>
                <w:color w:val="auto"/>
              </w:rPr>
            </w:pPr>
            <w:r>
              <w:rPr>
                <w:rFonts w:ascii="Arial" w:cs="Arial" w:eastAsia="Arial" w:hAnsi="Arial"/>
                <w:sz w:val="16"/>
                <w:szCs w:val="16"/>
                <w:color w:val="auto"/>
              </w:rPr>
              <w:t>Basic net income (loss) per share attributable to Portillo's Inc.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51"/>
        </w:trPr>
        <w:tc>
          <w:tcPr>
            <w:tcW w:w="6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net income (loss) per share attributable to Portillo's Inc.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0.25</w:t>
            </w:r>
          </w:p>
        </w:tc>
        <w:tc>
          <w:tcPr>
            <w:tcW w:w="240" w:type="dxa"/>
            <w:vAlign w:val="bottom"/>
            <w:gridSpan w:val="2"/>
            <w:shd w:val="clear" w:color="auto" w:fill="DBDBDB"/>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(0.42)</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(0.16)</w:t>
            </w:r>
          </w:p>
        </w:tc>
      </w:tr>
    </w:tbl>
    <w:p>
      <w:pPr>
        <w:spacing w:after="0" w:line="319" w:lineRule="exact"/>
        <w:rPr>
          <w:sz w:val="20"/>
          <w:szCs w:val="20"/>
          <w:color w:val="auto"/>
        </w:rPr>
      </w:pPr>
    </w:p>
    <w:p>
      <w:pPr>
        <w:ind w:left="80" w:right="280"/>
        <w:spacing w:after="0" w:line="268" w:lineRule="auto"/>
        <w:rPr>
          <w:sz w:val="20"/>
          <w:szCs w:val="20"/>
          <w:color w:val="auto"/>
        </w:rPr>
      </w:pPr>
      <w:r>
        <w:rPr>
          <w:rFonts w:ascii="Arial" w:cs="Arial" w:eastAsia="Arial" w:hAnsi="Arial"/>
          <w:sz w:val="18"/>
          <w:szCs w:val="18"/>
          <w:color w:val="auto"/>
        </w:rPr>
        <w:t>Shares of the Company’s Class B Common Stock do not participate in the earnings or losses of Portillo's Inc. and are therefore not participating securities. As such, separate presentation of basic and diluted earnings per share of Class B Common Stock under the two-class method has not been presented.</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shares were excluded from the calculation of diluted earnings per share because they would be antidilutive (in thousands):</w:t>
      </w:r>
    </w:p>
    <w:p>
      <w:pPr>
        <w:spacing w:after="0" w:line="68"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Fiscal Years Ended</w:t>
            </w:r>
          </w:p>
        </w:tc>
        <w:tc>
          <w:tcPr>
            <w:tcW w:w="1480" w:type="dxa"/>
            <w:vAlign w:val="bottom"/>
          </w:tcPr>
          <w:p>
            <w:pPr>
              <w:spacing w:after="0"/>
              <w:rPr>
                <w:sz w:val="19"/>
                <w:szCs w:val="19"/>
                <w:color w:val="auto"/>
              </w:rPr>
            </w:pPr>
          </w:p>
        </w:tc>
      </w:tr>
      <w:tr>
        <w:trPr>
          <w:trHeight w:val="223"/>
        </w:trPr>
        <w:tc>
          <w:tcPr>
            <w:tcW w:w="6520" w:type="dxa"/>
            <w:vAlign w:val="bottom"/>
          </w:tcPr>
          <w:p>
            <w:pPr>
              <w:spacing w:after="0"/>
              <w:rPr>
                <w:sz w:val="19"/>
                <w:szCs w:val="19"/>
                <w:color w:val="auto"/>
              </w:rPr>
            </w:pP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 25,</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December 26,</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27,</w:t>
            </w:r>
          </w:p>
        </w:tc>
      </w:tr>
      <w:tr>
        <w:trPr>
          <w:trHeight w:val="226"/>
        </w:trPr>
        <w:tc>
          <w:tcPr>
            <w:tcW w:w="652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40"/>
        </w:trPr>
        <w:tc>
          <w:tcPr>
            <w:tcW w:w="6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Shares subject to performance conditions</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1,807</w:t>
            </w:r>
          </w:p>
        </w:tc>
        <w:tc>
          <w:tcPr>
            <w:tcW w:w="100" w:type="dxa"/>
            <w:vAlign w:val="bottom"/>
            <w:shd w:val="clear" w:color="auto" w:fill="DBDBDB"/>
          </w:tcPr>
          <w:p>
            <w:pPr>
              <w:spacing w:after="0"/>
              <w:rPr>
                <w:sz w:val="20"/>
                <w:szCs w:val="20"/>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DBDBDB"/>
          </w:tcPr>
          <w:p>
            <w:pPr>
              <w:spacing w:after="0"/>
              <w:rPr>
                <w:sz w:val="20"/>
                <w:szCs w:val="20"/>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w:t>
            </w:r>
          </w:p>
        </w:tc>
      </w:tr>
      <w:tr>
        <w:trPr>
          <w:trHeight w:val="237"/>
        </w:trPr>
        <w:tc>
          <w:tcPr>
            <w:tcW w:w="6520" w:type="dxa"/>
            <w:vAlign w:val="bottom"/>
          </w:tcPr>
          <w:p>
            <w:pPr>
              <w:ind w:left="20"/>
              <w:spacing w:after="0"/>
              <w:rPr>
                <w:sz w:val="20"/>
                <w:szCs w:val="20"/>
                <w:color w:val="auto"/>
              </w:rPr>
            </w:pPr>
            <w:r>
              <w:rPr>
                <w:rFonts w:ascii="Arial" w:cs="Arial" w:eastAsia="Arial" w:hAnsi="Arial"/>
                <w:sz w:val="16"/>
                <w:szCs w:val="16"/>
                <w:color w:val="auto"/>
              </w:rPr>
              <w:t>Share that were antidilutive</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68"/>
        </w:trPr>
        <w:tc>
          <w:tcPr>
            <w:tcW w:w="65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shares excluded from diluted loss per share</w:t>
            </w: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Borders>
              <w:top w:val="single" w:sz="8" w:color="DBDBDB"/>
              <w:bottom w:val="single" w:sz="8" w:color="DBDBDB"/>
            </w:tcBorders>
            <w:shd w:val="clear" w:color="auto" w:fill="DBDBDB"/>
          </w:tcPr>
          <w:p>
            <w:pPr>
              <w:spacing w:after="0"/>
              <w:rPr>
                <w:sz w:val="22"/>
                <w:szCs w:val="22"/>
                <w:color w:val="auto"/>
              </w:rPr>
            </w:pPr>
          </w:p>
        </w:tc>
        <w:tc>
          <w:tcPr>
            <w:tcW w:w="14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679</w:t>
            </w:r>
          </w:p>
        </w:tc>
      </w:tr>
      <w:tr>
        <w:trPr>
          <w:trHeight w:val="20"/>
        </w:trPr>
        <w:tc>
          <w:tcPr>
            <w:tcW w:w="652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16.</w:t>
        <w:tab/>
        <w:t>CONTINGENCIES</w:t>
      </w:r>
    </w:p>
    <w:p>
      <w:pPr>
        <w:spacing w:after="0" w:line="27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25, 2022 and December 26, 2021, the Company recorded no loss contingencies.</w:t>
      </w:r>
    </w:p>
    <w:p>
      <w:pPr>
        <w:spacing w:after="0" w:line="246"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17.</w:t>
        <w:tab/>
        <w:t>RELATED PARTY TRANSACTIONS</w:t>
      </w:r>
    </w:p>
    <w:p>
      <w:pPr>
        <w:spacing w:after="0" w:line="258"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December 25, 2022 and December 26, 2021, the related parties’ receivables balance consisted of $0.3 million and $0.4 million, respectively, due from C&amp;O, which is included in accounts receivable in the consolidated balance sheet.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Stock Subscription Receivable</w:t>
      </w:r>
    </w:p>
    <w:p>
      <w:pPr>
        <w:spacing w:after="0" w:line="26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Company previously issued 195,933 common units to the CEO and President for a unit subscription receivable of $1.0 million. On August 13, 2021, the remaining stock subscription receivable of $0.2 million was fully repaid.</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Olo, Inc.</w:t>
      </w:r>
    </w:p>
    <w:p>
      <w:pPr>
        <w:spacing w:after="0" w:line="26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Noah Glass, a member of the Company's Board, is the founder and CEO of Olo, Inc. ("Olo"), a platform the Company uses in connection with our mobile ordering application and delivery.</w:t>
      </w:r>
    </w:p>
    <w:p>
      <w:pPr>
        <w:spacing w:after="0" w:line="180"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Company incurred the following Olo-related costs for the years ended December 25, 2022, December 26, 2021, and December 27, 2020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Fiscal Years Ended</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47"/>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December 25, 2022</w:t>
            </w:r>
          </w:p>
        </w:tc>
        <w:tc>
          <w:tcPr>
            <w:tcW w:w="12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26, 2021</w:t>
            </w:r>
          </w:p>
        </w:tc>
        <w:tc>
          <w:tcPr>
            <w:tcW w:w="120" w:type="dxa"/>
            <w:vAlign w:val="bottom"/>
          </w:tcPr>
          <w:p>
            <w:pPr>
              <w:spacing w:after="0"/>
              <w:rPr>
                <w:sz w:val="21"/>
                <w:szCs w:val="21"/>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27, 2020</w:t>
            </w:r>
          </w:p>
        </w:tc>
      </w:tr>
      <w:tr>
        <w:trPr>
          <w:trHeight w:val="240"/>
        </w:trPr>
        <w:tc>
          <w:tcPr>
            <w:tcW w:w="58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Cost of goods sold, excluding depreciation and amortization</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2,008</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731</w:t>
            </w:r>
          </w:p>
        </w:tc>
      </w:tr>
      <w:tr>
        <w:trPr>
          <w:trHeight w:val="237"/>
        </w:trPr>
        <w:tc>
          <w:tcPr>
            <w:tcW w:w="58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DBDBDB"/>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w:t>
            </w:r>
          </w:p>
        </w:tc>
      </w:tr>
      <w:tr>
        <w:trPr>
          <w:trHeight w:val="268"/>
        </w:trPr>
        <w:tc>
          <w:tcPr>
            <w:tcW w:w="5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2,451</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1,272</w:t>
            </w:r>
          </w:p>
        </w:tc>
      </w:tr>
      <w:tr>
        <w:trPr>
          <w:trHeight w:val="20"/>
        </w:trPr>
        <w:tc>
          <w:tcPr>
            <w:tcW w:w="58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As of December 25, 2022 and December 26, 2021, $0.2 million and immaterial amounts, respectively, were payable to Olo and was included in accounts payable in the consolidated balance sheets.</w:t>
      </w:r>
    </w:p>
    <w:p>
      <w:pPr>
        <w:spacing w:after="0" w:line="180"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In connection with the IPO, each option outstanding, whether vested or unvested, was substituted for an option to purchase a number of shares of Class A common stock, and the option holders received a cash payment. Mr. Glass received $0.1 million with respect to these payments.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described in Note 14. Income Taxes, we entered into a TRA with certain members of Portillo's OpCo that provides for the payment by us of 85% of the amount of tax benefits, if any, that Portillo's Inc. actually realizes or in some cases is deemed to realize as a result of certain transactions. There were no amounts paid under the TRA for the years ended December 25, 2022 and December 26, 2021.</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gridSpan w:val="4"/>
          </w:tcPr>
          <w:p>
            <w:pPr>
              <w:jc w:val="right"/>
              <w:ind w:right="979"/>
              <w:spacing w:after="0"/>
              <w:rPr>
                <w:sz w:val="20"/>
                <w:szCs w:val="20"/>
                <w:color w:val="auto"/>
              </w:rPr>
            </w:pPr>
            <w:r>
              <w:rPr>
                <w:rFonts w:ascii="Arial" w:cs="Arial" w:eastAsia="Arial" w:hAnsi="Arial"/>
                <w:sz w:val="16"/>
                <w:szCs w:val="16"/>
                <w:b w:val="1"/>
                <w:bCs w:val="1"/>
                <w:color w:val="auto"/>
              </w:rPr>
              <w:t>Fiscal Years Ended</w:t>
            </w:r>
          </w:p>
        </w:tc>
      </w:tr>
      <w:tr>
        <w:trPr>
          <w:trHeight w:val="247"/>
        </w:trPr>
        <w:tc>
          <w:tcPr>
            <w:tcW w:w="76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25, 2022</w:t>
            </w:r>
          </w:p>
        </w:tc>
        <w:tc>
          <w:tcPr>
            <w:tcW w:w="140" w:type="dxa"/>
            <w:vAlign w:val="bottom"/>
          </w:tcPr>
          <w:p>
            <w:pPr>
              <w:spacing w:after="0"/>
              <w:rPr>
                <w:sz w:val="21"/>
                <w:szCs w:val="21"/>
                <w:color w:val="auto"/>
              </w:rPr>
            </w:pPr>
          </w:p>
        </w:tc>
        <w:tc>
          <w:tcPr>
            <w:tcW w:w="164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26, 2021</w:t>
            </w:r>
          </w:p>
        </w:tc>
      </w:tr>
      <w:tr>
        <w:trPr>
          <w:trHeight w:val="240"/>
        </w:trPr>
        <w:tc>
          <w:tcPr>
            <w:tcW w:w="76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Current portion of Tax Receivable Agreement liability</w:t>
            </w: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813</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640" w:type="dxa"/>
            <w:vAlign w:val="bottom"/>
          </w:tcPr>
          <w:p>
            <w:pPr>
              <w:ind w:left="20"/>
              <w:spacing w:after="0"/>
              <w:rPr>
                <w:sz w:val="20"/>
                <w:szCs w:val="20"/>
                <w:color w:val="auto"/>
              </w:rPr>
            </w:pPr>
            <w:r>
              <w:rPr>
                <w:rFonts w:ascii="Arial" w:cs="Arial" w:eastAsia="Arial" w:hAnsi="Arial"/>
                <w:sz w:val="16"/>
                <w:szCs w:val="16"/>
                <w:color w:val="auto"/>
              </w:rPr>
              <w:t>Tax Receivable Agreement liability</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252,003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156,638</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third and fourth quarters of 2022, in connection with the secondary offerings previously discussed in Note 1. Description Of Business, we purchased LLC Units and shares of Class A common stock using the proceeds of the secondary offering at a price equal to the public offering price less the underwriting discounts and commissions from certain pre-IPO LLC Members and shareholders of the Blocker Companies, including from funds affiliated with Berkshire Partners LLC, which is our controlling shareholder that beneficially owns approximately 42.8% of the Company as of December 25, 2022.</w:t>
      </w:r>
    </w:p>
    <w:p>
      <w:pPr>
        <w:spacing w:after="0" w:line="201"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18.</w:t>
        <w:tab/>
        <w:t>SUBSEQUENT EVENTS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New Restaurants</w:t>
      </w:r>
    </w:p>
    <w:p>
      <w:pPr>
        <w:spacing w:after="0" w:line="26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Company opened three restaurants subsequent to December 25, 2022 for a total of 74 restaurants, excluding C&amp;O. The three restaurants are located in Kissimmee, Florida, The Colony, Texas, and Tucson, Arizona.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New Credit Agreement</w:t>
      </w:r>
    </w:p>
    <w:p>
      <w:pPr>
        <w:spacing w:after="0" w:line="2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February 2, 2023, Holdings, the Borrower, the other Guarantors party thereto from time to time, each lender party thereto from time to time and Fifth Third Bank, National Association, as Administrative Agent, L/C Issuer and Swing Line Lender entered into a Credit Agreement (“New Credit Agreement”) which provides for a Term A Loan ("Term Loan") in an initial aggregate principal amount of $300.0 million and initial Revolving Credit Commitments in an initial aggregate principal amount of $100.0 million (the “New Revolver Facility”).</w:t>
      </w:r>
    </w:p>
    <w:p>
      <w:pPr>
        <w:spacing w:after="0" w:line="20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New Credit Agreement is guaranteed by all domestic subsidiaries of the Borrower (subject to customary exceptions) and secured by liens on substantially all of the assets of Holdings, the Borrower and the subsidiary guarantors (subject to customary exceptions). The New Credit Agreement also includes certain financial covenants with respect to cash interest coverage and total net rent adjusted leverage.</w:t>
      </w:r>
    </w:p>
    <w:p>
      <w:pPr>
        <w:spacing w:after="0" w:line="19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Term Loan and New Revolver Facility are scheduled to mature on February 2, 2028. The proceeds under the Term Loan and New Revolver Facility, along with cash on hand, were used to repay outstanding indebtedness under the First Lien Credit Agreement and to pay related transaction expenses. The Company anticipates using the remainder of the loan proceeds for general corporate purposes and working capital needs.</w:t>
      </w:r>
    </w:p>
    <w:p>
      <w:pPr>
        <w:spacing w:after="0" w:line="203"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The New Revolver Facility under the New Credit Agreement replaces the $50 million Revolving Facility under the First Lien Credit Agreement.</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February 2, 2023, outstanding borrowings under the New Credit Agreement totaled $315.0 million, comprising $300.0 million under the Term Loan and $ 15.0 million under the New Revolver Facility, and letters of credit issued under the New Revolver Facility totaled $4.4 million. As a result, as of February 2, 2023, the Company had $80.6 million available under the New Revolver Facility.</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On February 28, 2023, the Company made a $5.0 million payment on the New Revolver Facility. The outstanding balance of the New Revolver Facility upon payment is $10.0 million. As a result, as of February 28, 2023, the Company had $85.6 million available under the New Revolver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5"/>
          <w:szCs w:val="25"/>
          <w:b w:val="1"/>
          <w:bCs w:val="1"/>
          <w:color w:val="414042"/>
        </w:rPr>
        <w:t>Schedule II: Valuation and Qualifying Accounts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Additions</w:t>
            </w: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5"/>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Deferred tax asset valuation allowance (in</w:t>
            </w:r>
          </w:p>
        </w:tc>
        <w:tc>
          <w:tcPr>
            <w:tcW w:w="2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 at</w:t>
            </w: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Charged to costs and</w:t>
            </w:r>
          </w:p>
        </w:tc>
        <w:tc>
          <w:tcPr>
            <w:tcW w:w="16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Charged to</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Balance at end of</w:t>
            </w:r>
          </w:p>
        </w:tc>
      </w:tr>
      <w:tr>
        <w:trPr>
          <w:trHeight w:val="226"/>
        </w:trPr>
        <w:tc>
          <w:tcPr>
            <w:tcW w:w="3700" w:type="dxa"/>
            <w:vAlign w:val="bottom"/>
            <w:gridSpan w:val="2"/>
          </w:tcPr>
          <w:p>
            <w:pPr>
              <w:ind w:left="20"/>
              <w:spacing w:after="0"/>
              <w:rPr>
                <w:sz w:val="20"/>
                <w:szCs w:val="20"/>
                <w:color w:val="auto"/>
              </w:rPr>
            </w:pPr>
            <w:r>
              <w:rPr>
                <w:rFonts w:ascii="Arial" w:cs="Arial" w:eastAsia="Arial" w:hAnsi="Arial"/>
                <w:sz w:val="16"/>
                <w:szCs w:val="16"/>
                <w:b w:val="1"/>
                <w:bCs w:val="1"/>
                <w:color w:val="auto"/>
              </w:rPr>
              <w:t>thousands):</w:t>
            </w: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beginning of period</w:t>
            </w:r>
          </w:p>
        </w:tc>
        <w:tc>
          <w:tcPr>
            <w:tcW w:w="30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expenses</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other accounts</w:t>
            </w:r>
          </w:p>
        </w:tc>
        <w:tc>
          <w:tcPr>
            <w:tcW w:w="260" w:type="dxa"/>
            <w:vAlign w:val="bottom"/>
          </w:tcPr>
          <w:p>
            <w:pPr>
              <w:spacing w:after="0"/>
              <w:rPr>
                <w:sz w:val="19"/>
                <w:szCs w:val="19"/>
                <w:color w:val="auto"/>
              </w:rPr>
            </w:pPr>
          </w:p>
        </w:tc>
        <w:tc>
          <w:tcPr>
            <w:tcW w:w="1020" w:type="dxa"/>
            <w:vAlign w:val="bottom"/>
            <w:gridSpan w:val="3"/>
          </w:tcPr>
          <w:p>
            <w:pPr>
              <w:ind w:left="40"/>
              <w:spacing w:after="0"/>
              <w:rPr>
                <w:sz w:val="20"/>
                <w:szCs w:val="20"/>
                <w:color w:val="auto"/>
              </w:rPr>
            </w:pPr>
            <w:r>
              <w:rPr>
                <w:rFonts w:ascii="Arial" w:cs="Arial" w:eastAsia="Arial" w:hAnsi="Arial"/>
                <w:sz w:val="16"/>
                <w:szCs w:val="16"/>
                <w:b w:val="1"/>
                <w:bCs w:val="1"/>
                <w:color w:val="auto"/>
              </w:rPr>
              <w:t>Reductions</w:t>
            </w:r>
          </w:p>
        </w:tc>
        <w:tc>
          <w:tcPr>
            <w:tcW w:w="300" w:type="dxa"/>
            <w:vAlign w:val="bottom"/>
          </w:tcPr>
          <w:p>
            <w:pPr>
              <w:spacing w:after="0"/>
              <w:rPr>
                <w:sz w:val="19"/>
                <w:szCs w:val="19"/>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period</w:t>
            </w:r>
          </w:p>
        </w:tc>
      </w:tr>
      <w:tr>
        <w:trPr>
          <w:trHeight w:val="254"/>
        </w:trPr>
        <w:tc>
          <w:tcPr>
            <w:tcW w:w="36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43"/>
        </w:trPr>
        <w:tc>
          <w:tcPr>
            <w:tcW w:w="37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Fiscal year ended December 25, 2022</w:t>
            </w:r>
          </w:p>
        </w:tc>
        <w:tc>
          <w:tcPr>
            <w:tcW w:w="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38,415</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2,277</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BDBDB"/>
          </w:tcPr>
          <w:p>
            <w:pPr>
              <w:spacing w:after="0"/>
              <w:rPr>
                <w:sz w:val="21"/>
                <w:szCs w:val="21"/>
                <w:color w:val="auto"/>
              </w:rPr>
            </w:pPr>
          </w:p>
        </w:tc>
        <w:tc>
          <w:tcPr>
            <w:tcW w:w="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29,343</w:t>
            </w:r>
          </w:p>
        </w:tc>
        <w:tc>
          <w:tcPr>
            <w:tcW w:w="80" w:type="dxa"/>
            <w:vAlign w:val="bottom"/>
            <w:shd w:val="clear" w:color="auto" w:fill="DBDBDB"/>
          </w:tcPr>
          <w:p>
            <w:pPr>
              <w:spacing w:after="0"/>
              <w:rPr>
                <w:sz w:val="21"/>
                <w:szCs w:val="21"/>
                <w:color w:val="auto"/>
              </w:rPr>
            </w:pP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11,349</w:t>
            </w:r>
          </w:p>
        </w:tc>
      </w:tr>
      <w:tr>
        <w:trPr>
          <w:trHeight w:val="270"/>
        </w:trPr>
        <w:tc>
          <w:tcPr>
            <w:tcW w:w="3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3"/>
        </w:trPr>
        <w:tc>
          <w:tcPr>
            <w:tcW w:w="370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Fiscal year ended December 26, 2021</w:t>
            </w:r>
          </w:p>
        </w:tc>
        <w:tc>
          <w:tcPr>
            <w:tcW w:w="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1,904</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36,511</w:t>
            </w:r>
          </w:p>
        </w:tc>
        <w:tc>
          <w:tcPr>
            <w:tcW w:w="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38,415</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Amounts relate to a valuation allowance established on deferred tax assets related to our investment in Portillo's OpCo.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600"/>
        <w:spacing w:after="0" w:line="298" w:lineRule="auto"/>
        <w:rPr>
          <w:sz w:val="20"/>
          <w:szCs w:val="20"/>
          <w:color w:val="auto"/>
        </w:rPr>
      </w:pPr>
      <w:r>
        <w:rPr>
          <w:rFonts w:ascii="Arial" w:cs="Arial" w:eastAsia="Arial" w:hAnsi="Arial"/>
          <w:sz w:val="25"/>
          <w:szCs w:val="25"/>
          <w:b w:val="1"/>
          <w:bCs w:val="1"/>
          <w:color w:val="414042"/>
        </w:rPr>
        <w:t>ITEM 9. CHANGES IN AND DISAGREEMENTS WITH ACCOUNTANTS ON ACCOUNTING AND FINANCIAL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9A.</w:t>
        <w:tab/>
        <w:t>CONTROLS AND PROCEDURES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EVALUATION OF DISCLOSURE CONTROLS AND PROCEDURES</w:t>
      </w:r>
    </w:p>
    <w:p>
      <w:pPr>
        <w:spacing w:after="0" w:line="26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MANAGEMENT'S ANNUAL REPORT ON INTERNAL CONTROL OVER FINANCIAL REPORTING</w:t>
      </w:r>
    </w:p>
    <w:p>
      <w:pPr>
        <w:spacing w:after="0" w:line="24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for the Company. With the participation of our Chief Executive Officer and Chief Financial Officer, management conducted an assessment of the effectiveness of the Company’s internal control over financial reporting as of December 25, 2022 based on the framework established in Internal Control— Integrated Framework (2013) issued by the Committee of Sponsoring Organizations of the Treadway Commission. Based on this assessment, management has determined that the Company’s internal control over financial reporting as of December 25, 2022 was effective.</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have not engaged an independent registered accounting firm to perform an audit of our internal control over financial reporting as of any balance sheet date or for any period reported in our financial statements.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CHANGES IN INTERNAL CONTROL OVER FINANCIAL REPORTING</w:t>
      </w:r>
    </w:p>
    <w:p>
      <w:pPr>
        <w:spacing w:after="0" w:line="2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to our internal control over financial reporting (as defined in Rule 13a-15(f) of the Exchange Act) that occurred during the quarter ended December 25, 2022 that have materially affected, or are reasonably likely to materially affect, our internal control over financial reporting.</w:t>
      </w:r>
    </w:p>
    <w:p>
      <w:pPr>
        <w:spacing w:after="0" w:line="192" w:lineRule="exact"/>
        <w:rPr>
          <w:sz w:val="20"/>
          <w:szCs w:val="20"/>
          <w:color w:val="auto"/>
        </w:rPr>
      </w:pPr>
    </w:p>
    <w:p>
      <w:pPr>
        <w:spacing w:after="0"/>
        <w:tabs>
          <w:tab w:leader="none" w:pos="1400" w:val="left"/>
        </w:tabs>
        <w:rPr>
          <w:sz w:val="20"/>
          <w:szCs w:val="20"/>
          <w:color w:val="auto"/>
        </w:rPr>
      </w:pPr>
      <w:r>
        <w:rPr>
          <w:rFonts w:ascii="Arial" w:cs="Arial" w:eastAsia="Arial" w:hAnsi="Arial"/>
          <w:sz w:val="25"/>
          <w:szCs w:val="25"/>
          <w:b w:val="1"/>
          <w:bCs w:val="1"/>
          <w:color w:val="414042"/>
        </w:rPr>
        <w:t>ITEM 9B.</w:t>
        <w:tab/>
        <w:t>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right="1340"/>
        <w:spacing w:after="0" w:line="309" w:lineRule="auto"/>
        <w:rPr>
          <w:sz w:val="20"/>
          <w:szCs w:val="20"/>
          <w:color w:val="auto"/>
        </w:rPr>
      </w:pPr>
      <w:r>
        <w:rPr>
          <w:rFonts w:ascii="Arial" w:cs="Arial" w:eastAsia="Arial" w:hAnsi="Arial"/>
          <w:sz w:val="25"/>
          <w:szCs w:val="25"/>
          <w:b w:val="1"/>
          <w:bCs w:val="1"/>
          <w:color w:val="414042"/>
        </w:rPr>
        <w:t>ITEM 9C. DISCLOSURE REGARDING FOREIGN JURISDICTIONS THAT PREVENT INSPECTIONS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14042"/>
        </w:rPr>
        <w:t>PART III</w:t>
      </w:r>
    </w:p>
    <w:p>
      <w:pPr>
        <w:spacing w:after="0" w:line="270"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10.</w:t>
        <w:tab/>
        <w:t>DIRECTORS, EXECUTIVE OFFICERS AND CORPORATE GOVERNANCE</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Directors and Executive Officers</w:t>
      </w:r>
    </w:p>
    <w:p>
      <w:pPr>
        <w:spacing w:after="0" w:line="2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Set forth below is a list of our directors and executive officers, their ages, the positions with us held by each of them and summaries of the periods during which they have served in such positions and their other recent business experience. For our current directors, the descriptions also contain information regarding such person’s service as a director, business experience, director positions with other public companies held currently or at any time during the past five years, and the experience, qualifications, attributes and skills that our Board of Directors considered in selecting each of them to serve as one of our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w w:val="97"/>
              </w:rPr>
              <w:t>Name</w:t>
            </w: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Age</w:t>
            </w:r>
          </w:p>
        </w:tc>
        <w:tc>
          <w:tcPr>
            <w:tcW w:w="6120" w:type="dxa"/>
            <w:vAlign w:val="bottom"/>
            <w:gridSpan w:val="3"/>
          </w:tcPr>
          <w:p>
            <w:pPr>
              <w:ind w:left="2780"/>
              <w:spacing w:after="0"/>
              <w:rPr>
                <w:sz w:val="20"/>
                <w:szCs w:val="20"/>
                <w:color w:val="auto"/>
              </w:rPr>
            </w:pPr>
            <w:r>
              <w:rPr>
                <w:rFonts w:ascii="Arial" w:cs="Arial" w:eastAsia="Arial" w:hAnsi="Arial"/>
                <w:sz w:val="18"/>
                <w:szCs w:val="18"/>
                <w:b w:val="1"/>
                <w:bCs w:val="1"/>
                <w:color w:val="auto"/>
              </w:rPr>
              <w:t>Position</w:t>
            </w:r>
          </w:p>
        </w:tc>
      </w:tr>
      <w:tr>
        <w:trPr>
          <w:trHeight w:val="20"/>
        </w:trPr>
        <w:tc>
          <w:tcPr>
            <w:tcW w:w="1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94"/>
        </w:trPr>
        <w:tc>
          <w:tcPr>
            <w:tcW w:w="1880" w:type="dxa"/>
            <w:vAlign w:val="bottom"/>
          </w:tcPr>
          <w:p>
            <w:pPr>
              <w:ind w:left="20"/>
              <w:spacing w:after="0"/>
              <w:rPr>
                <w:sz w:val="20"/>
                <w:szCs w:val="20"/>
                <w:color w:val="auto"/>
              </w:rPr>
            </w:pPr>
            <w:r>
              <w:rPr>
                <w:rFonts w:ascii="Arial" w:cs="Arial" w:eastAsia="Arial" w:hAnsi="Arial"/>
                <w:sz w:val="18"/>
                <w:szCs w:val="18"/>
                <w:color w:val="auto"/>
              </w:rPr>
              <w:t>Michael Osanloo</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80" w:type="dxa"/>
            <w:vAlign w:val="bottom"/>
          </w:tcPr>
          <w:p>
            <w:pPr>
              <w:spacing w:after="0"/>
              <w:rPr>
                <w:sz w:val="24"/>
                <w:szCs w:val="24"/>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w:t>
            </w:r>
          </w:p>
        </w:tc>
      </w:tr>
      <w:tr>
        <w:trPr>
          <w:trHeight w:val="23"/>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Michelle Hook</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48</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Chief Financial Officer and Treasurer</w:t>
            </w:r>
          </w:p>
        </w:tc>
      </w:tr>
      <w:tr>
        <w:trPr>
          <w:trHeight w:val="247"/>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Susan Shelton</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63</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General Counsel and Secretary</w:t>
            </w:r>
          </w:p>
        </w:tc>
      </w:tr>
      <w:tr>
        <w:trPr>
          <w:trHeight w:val="23"/>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Jill Waite</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45</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Chief People Officer</w:t>
            </w:r>
          </w:p>
        </w:tc>
      </w:tr>
      <w:tr>
        <w:trPr>
          <w:trHeight w:val="247"/>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Michael Ellis</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60</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Chief Development Officer</w:t>
            </w:r>
          </w:p>
        </w:tc>
      </w:tr>
      <w:tr>
        <w:trPr>
          <w:trHeight w:val="23"/>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Derrick Pratt</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55</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Chief Operating Officer</w:t>
            </w:r>
          </w:p>
        </w:tc>
      </w:tr>
      <w:tr>
        <w:trPr>
          <w:trHeight w:val="247"/>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Rick Cook</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40</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Senior Vice President, Technology</w:t>
            </w:r>
          </w:p>
        </w:tc>
      </w:tr>
      <w:tr>
        <w:trPr>
          <w:trHeight w:val="23"/>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Nick Scarpino</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41</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Senior Vice President, Marketing &amp; Off Premise Dining</w:t>
            </w:r>
          </w:p>
        </w:tc>
      </w:tr>
      <w:tr>
        <w:trPr>
          <w:trHeight w:val="247"/>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Ann Bordelon</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56</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3"/>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Paulette Dodson</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59</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Director</w:t>
            </w:r>
          </w:p>
        </w:tc>
      </w:tr>
      <w:tr>
        <w:trPr>
          <w:trHeight w:val="247"/>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Noah Glass</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41</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3"/>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Gerard J. Hart</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65</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Director</w:t>
            </w:r>
          </w:p>
        </w:tc>
      </w:tr>
      <w:tr>
        <w:trPr>
          <w:trHeight w:val="247"/>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Richard K. Lubin</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76</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3"/>
        </w:trPr>
        <w:tc>
          <w:tcPr>
            <w:tcW w:w="1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350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Joshua A. Lutzker</w:t>
            </w:r>
          </w:p>
        </w:tc>
        <w:tc>
          <w:tcPr>
            <w:tcW w:w="1440" w:type="dxa"/>
            <w:vAlign w:val="bottom"/>
            <w:tcBorders>
              <w:bottom w:val="single" w:sz="8" w:color="DBDBDB"/>
            </w:tcBorders>
            <w:gridSpan w:val="2"/>
            <w:shd w:val="clear" w:color="auto" w:fill="DBDBDB"/>
          </w:tcPr>
          <w:p>
            <w:pPr>
              <w:jc w:val="center"/>
              <w:ind w:left="1030"/>
              <w:spacing w:after="0"/>
              <w:rPr>
                <w:sz w:val="20"/>
                <w:szCs w:val="20"/>
                <w:color w:val="auto"/>
              </w:rPr>
            </w:pPr>
            <w:r>
              <w:rPr>
                <w:rFonts w:ascii="Arial" w:cs="Arial" w:eastAsia="Arial" w:hAnsi="Arial"/>
                <w:sz w:val="18"/>
                <w:szCs w:val="18"/>
                <w:color w:val="auto"/>
                <w:w w:val="99"/>
              </w:rPr>
              <w:t>48</w:t>
            </w:r>
          </w:p>
        </w:tc>
        <w:tc>
          <w:tcPr>
            <w:tcW w:w="180" w:type="dxa"/>
            <w:vAlign w:val="bottom"/>
            <w:tcBorders>
              <w:bottom w:val="single" w:sz="8" w:color="DBDBDB"/>
            </w:tcBorders>
            <w:shd w:val="clear" w:color="auto" w:fill="DBDBDB"/>
          </w:tcPr>
          <w:p>
            <w:pPr>
              <w:spacing w:after="0"/>
              <w:rPr>
                <w:sz w:val="21"/>
                <w:szCs w:val="21"/>
                <w:color w:val="auto"/>
              </w:rPr>
            </w:pPr>
          </w:p>
        </w:tc>
        <w:tc>
          <w:tcPr>
            <w:tcW w:w="6120" w:type="dxa"/>
            <w:vAlign w:val="bottom"/>
            <w:tcBorders>
              <w:bottom w:val="single" w:sz="8" w:color="DBDBDB"/>
            </w:tcBorders>
            <w:gridSpan w:val="3"/>
            <w:shd w:val="clear" w:color="auto" w:fill="DBDBDB"/>
          </w:tcPr>
          <w:p>
            <w:pPr>
              <w:ind w:left="180"/>
              <w:spacing w:after="0"/>
              <w:rPr>
                <w:sz w:val="20"/>
                <w:szCs w:val="20"/>
                <w:color w:val="auto"/>
              </w:rPr>
            </w:pPr>
            <w:r>
              <w:rPr>
                <w:rFonts w:ascii="Arial" w:cs="Arial" w:eastAsia="Arial" w:hAnsi="Arial"/>
                <w:sz w:val="18"/>
                <w:szCs w:val="18"/>
                <w:color w:val="auto"/>
              </w:rPr>
              <w:t>Director</w:t>
            </w:r>
          </w:p>
        </w:tc>
      </w:tr>
      <w:tr>
        <w:trPr>
          <w:trHeight w:val="247"/>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Michael A. Miles, Jr.</w:t>
            </w:r>
          </w:p>
        </w:tc>
        <w:tc>
          <w:tcPr>
            <w:tcW w:w="1440" w:type="dxa"/>
            <w:vAlign w:val="bottom"/>
            <w:gridSpan w:val="2"/>
          </w:tcPr>
          <w:p>
            <w:pPr>
              <w:jc w:val="center"/>
              <w:ind w:left="1030"/>
              <w:spacing w:after="0"/>
              <w:rPr>
                <w:sz w:val="20"/>
                <w:szCs w:val="20"/>
                <w:color w:val="auto"/>
              </w:rPr>
            </w:pPr>
            <w:r>
              <w:rPr>
                <w:rFonts w:ascii="Arial" w:cs="Arial" w:eastAsia="Arial" w:hAnsi="Arial"/>
                <w:sz w:val="18"/>
                <w:szCs w:val="18"/>
                <w:color w:val="auto"/>
                <w:w w:val="99"/>
              </w:rPr>
              <w:t>61</w:t>
            </w:r>
          </w:p>
        </w:tc>
        <w:tc>
          <w:tcPr>
            <w:tcW w:w="180" w:type="dxa"/>
            <w:vAlign w:val="bottom"/>
          </w:tcPr>
          <w:p>
            <w:pPr>
              <w:spacing w:after="0"/>
              <w:rPr>
                <w:sz w:val="21"/>
                <w:szCs w:val="21"/>
                <w:color w:val="auto"/>
              </w:rPr>
            </w:pPr>
          </w:p>
        </w:tc>
        <w:tc>
          <w:tcPr>
            <w:tcW w:w="6120" w:type="dxa"/>
            <w:vAlign w:val="bottom"/>
            <w:gridSpan w:val="3"/>
          </w:tcPr>
          <w:p>
            <w:pPr>
              <w:ind w:left="180"/>
              <w:spacing w:after="0"/>
              <w:rPr>
                <w:sz w:val="20"/>
                <w:szCs w:val="20"/>
                <w:color w:val="auto"/>
              </w:rPr>
            </w:pPr>
            <w:r>
              <w:rPr>
                <w:rFonts w:ascii="Arial" w:cs="Arial" w:eastAsia="Arial" w:hAnsi="Arial"/>
                <w:sz w:val="18"/>
                <w:szCs w:val="18"/>
                <w:color w:val="auto"/>
              </w:rPr>
              <w:t>Director, Chair</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Executive Officers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Michael Osanloo</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Michael Osanloo has served as Chief Executive Officer, President and a member of the Board of Portillo’s since August 2018. Prior to joining Portillo’s, Mr. Osanloo served as Chief Executive Officer and Director of P.F. Chang’s China Bistro Inc. from March 2015 to October 2018. Prior to being named Chief Executive Officer, Mr. Osanloo served as Executive Vice President of Grocery at Kraft Heinz and held senior leadership roles at Caesar’s Entertainment. From 1996 to 2005, Mr. Osanloo began his business career at Bain &amp; Company where he spent nine years, the last three as a Partner in the Consumer and Retail practice. Mr. Osanloo holds a Master of Business Administration from the University of Chicago, a Juris Doctorate from the University of Illinois College of Law and a Bachelor of Arts degree in Economics from the University of Michigan.</w:t>
      </w:r>
    </w:p>
    <w:p>
      <w:pPr>
        <w:spacing w:after="0" w:line="21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Mr. Osanloo’s experience in senior leadership of other public companies makes him well qualified to serve as a member of the Board of Portillo’s.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Michelle Hook</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Michelle Hook has served as Chief Financial Officer and Treasurer of Portillo’s since December 2020. Prior to joining Portillo’s, Ms. Hook served as Vice President of Finance, Global FP&amp;A and Investor Relations at Domino’s Pizza where she oversaw overall finance, global financial planning and analysis and investor relations from June to December 2020. Prior to this position, Ms. Hook held the position of Vice President of Finance, Global Operations at Domino’s Pizza beginning in December 2018 and held numerous other positions, including being a member of the initial public offering team at Domino’s Pizza since joining in 2003. Prior to joining Domino’s Pizza, Ms. Hook worked at Holcim, a global cement manufacturer and as a senior auditor at Arthur Andersen LLP. Ms. Hook received her Masters of Business Administration from the University of Michigan and her Bachelor of Arts degree in accounting from Michigan State University. Ms. Hook is a certified public accountant.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Susan Shelton</w:t>
      </w:r>
    </w:p>
    <w:p>
      <w:pPr>
        <w:spacing w:after="0" w:line="25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Susan Shelton has served as General Counsel since joining Portillo’s in January 1998 and has held the position of Corporate Secretary since August 2014. Ms. Shelton oversees legal affairs, including contracts, corporate governance, litigation, licensing and compliance. Prior to joining Portillo’s, Ms. Shelton worked at a law firm for ten years where she served as outside counsel to Portillo’s. Ms. Shelton holds a Bachelor of Arts degree in Economics from Wheaton College and a Juris Doctorate from the DePaul University College of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Jill Waite</w:t>
      </w:r>
    </w:p>
    <w:p>
      <w:pPr>
        <w:spacing w:after="0" w:line="2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Jill Waite is the Chief People Officer at Portillo’s and has been since she joined in June 2019. Prior to joining Portillo’s, Ms. Waite served as Senior Vice President of Human Resources at 24 Hour Fitness from March 2017 to June 2019, and as Director of Talent Management and Development at Sephora, where she oversaw talent growth and management systems implementation for the Americas division from October 2014 to March 2017. Ms. Waite has a Bachelor of Science degree from the University of Florida.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Mike Ellis</w:t>
      </w:r>
    </w:p>
    <w:p>
      <w:pPr>
        <w:spacing w:after="0" w:line="23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Mike Ellis has served as the Chief Development Officer of Portillo's since August 2022. Prior to joining Portillo's, Mr. Ellis served as Vice President of Real Estate and Development of Cracker Barrel from July 2020 to August 2022, where he spearheaded growth development strategy, new restaurant openings and the development of a new prototype that significantly improved operational efficiencies. Prior to working at Cracker Barrel, Mr. Ellis held senior development roles with Ruby Tuesday, Einstein Noah Restaurant Group and other restaurant brands. Mr. Ellis received a Political Science degree from Delta College.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Derrick Pratt</w:t>
      </w:r>
    </w:p>
    <w:p>
      <w:pPr>
        <w:spacing w:after="0" w:line="252"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Derrick Pratt has served as the Chief Operating Officer of Portillo’s since May 2021. Prior to the position of Chief Operating Officer, Mr. Pratt was Senior Vice President of Restaurants at Portillo’s from September 2020 to May 2021. Prior to joining Portillo’s, Mr. Pratt worked as Vice President of Operations Services at Starbucks where he oversaw all operational performance and metrics from June to September 2020.</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December 2018 to June 2020, Mr. Pratt was Vice President of Operations for the Southeast Market at Starbucks where he oversaw all operational performance and metrics in the southeast market for 800 Starbucks locations and managing $1.4 billion in annual revenue. Mr. Pratt attended high school at the Fort George Meade Military Base and received a Masters in Business Administration from Texas Christian University.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Rick Cook</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Rick Cook has served as the Senior Vice President of Technology of Portillo’s since January 2020. Mr. Cook is responsible for all corporate and restaurant technology and reporting to management. Prior to this position, Mr. Cook worked as Senior Director, Deployment for Coates Group from December 2017 to January 2020. Prior to working at Coates Group, Mr. Cook served as a Director of U.S. Point of Sale Solutions at McDonald’s. Before joining industry, Mr. Cook served in the Army for ten years as an Armor officer and network engineer. He served in Korea, Iraq, and Afghanistan, earning a Bronze Star among other awards and decorations. Mr. Cook has a degree in Systems Engineering from West Point.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Nick Scarpino</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Nick Scarpino started as a part-time cashier at the Portillo’s in Naperville, IL in 1999 while a senior in high school. There, he developed his passion for all things Portillo’s. Nick Scarpino has served as the Senior Vice President of Marketing and Off-Premise Dining at Portillo’s since September 2019. Prior to this position, Mr. Scarpino held the position of Director of Marketing from January 2015 to April 2016 and Vice President of Marketing &amp; Public Relations from April 2016 to September 2019. Prior to joining Portillo’s in January 2015, Mr. Scarpino worked in digital advertising at Google. Mr. Scarpino received a Bachelor of Business Administration degree in Marketing from the University of Notre Dame and a Master of Science degree in Integrated Marketing Communications from Northwestern University.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Our Non-Employee Directors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Ann Bordelon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Ann Bordelon has served as a member of the Board of Portillo’s since March 2020. Ms. Bordelon is Executive Vice Chancellor for Finance &amp; Administration at the University of Arkansas, a position she took on in 2022. Prior to that, she served as Vice Chancellor for Finance &amp; Administration at the University of Arkansas from July 2022 to December 2022. Prior to that, she served as Chief Financial Officer for Mitchell Communications and NOWDiagnostics. Ms. Bordelon also has 13 years of experience in executive finance roles at Walmart, Inc., including as Chief Audit Executive. She began her career at Ernst &amp; Young. She brings financial expertise to the board as well as a strong background in multi-unit operations and management. She also serves on the board of America’s Car-Mart, Inc. (NASDAQ: CRMT) where she chairs the audit and compliance committee and is on the compensation and human capital committee, the nominating and governance committee, and the technology and innovation committee. Ms. Bordelon is a certified public accountant. We believe that Ms. Bordelon is well qualified to serve on our Board because of her years of experience in finance and audit leadership at public companies.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Paulette Dodson</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Paulette Dodson has served as a member of the Board of Portillo’s since December 2021. Ms. Dodson was General Counsel and Corporate Secretary for Alight, Inc. (NASDAQ: ALIT), a cloud-based provider of integrated digital human capital and business solutions. Prior to her role at Alight, Ms. Dodson served as Senior Vice President, General Counsel and Corporate Secretary for PetSmart, Inc. and as Senior Vice President, General Counsel and Corporate Secretary, among other roles, for Sara Lee Corporation. Ms. Dodson received her Bachelor of Arts degree in Urban Legal Studies from City College of New York, and a Juris Doctorate from Cornell University. We believe that Ms. Dodson is well qualified to serve on our Board because of her more than 30 years of experience as an advisor to executives and the boards of directors of Fortune 500 companies and large privately-held companies.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Noah Glass</w:t>
      </w:r>
    </w:p>
    <w:p>
      <w:pPr>
        <w:spacing w:after="0" w:line="2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Noah Glass has served as a member of the Board of Portillo’s since April 2017. Mr. Glass is the Chief Executive Officer of Olo Inc. (NYSE: OLO), the restaurant technology company he founded in 2005. Olo provides a technology platform giving cloud-based e-commerce functionality to multi location restaurant brands. In addition to his unique vantage point on the restaurant sector, Mr. Glass brings experience building and leading a profitable business through its public offering and a strong understanding of information technology. Mr. Glass is also on the board of Share Our Strength, a nonprofit focused on ending childhood hunger and a member of the board of trustees of the Culinary Institute of America. We believe that Mr. Glass is well qualified to serve on our Board due to his experience building and leading a public company and his insight into corporate matters.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Gerard J. Hart</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Gerard J. Hart has served as a member of the Board of Portillo’s since 2016. Mr. Hart is the President and Chief Executive Officer of Red Robin Gourmet Burgers Inc. (Nasdaq: RRGB). Prior to his role at Red Robin, Mr. Hart served as the Chief Executive Officer of Torchy’s Tacos, a high-growth, fast-casual restaurant chain. He retired from this position as of November 2021, after holding it since 2018. Previously, he was Chief Executive Officer of California Pizza Kitchen and Texas Roadhouse. Mr. Hart led the expansion of Texas Roadhouse from 60 to 450 locations. We believe that Mr. Hart is well qualified to serve on our Board due to his relevant experience in managing high growth restaurant chains.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Richard K. Lubin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Richard K. Lubin has served as a member of the Board of Portillo’s since August 2014. Mr. Lubin is a senior advisor at Berkshire Partners LLC which he co-founded in 1986 and was appointed to serve on the Board in connection with the Berkshire Acquisition. We believe that Mr. Lubin is well qualified to serve on our Board due to his decades of experience serving as a director of numerous private and public companies.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Joshua A. Lutzker</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Joshua A. Lutzker has served as a member of the Board of Portillo’s since August 2014. Mr. Lutzker is a managing director at Berkshire Partners LLC and was appointed to serve on the Board in connection with the Berkshire Acquisition. Mr. Lutzker co-leads the Consumer and Retail practice at Berkshire and has served on the boards of Aritzia, the women’s fashion retailer, Mielle Organics, a multicultural beauty brand, National Carwash Solutions and SRS Distribution, a roofing distributor, among others. He also serves on the board of the Boston Symphony Orchestra. We believe that Mr. Lutzker is well qualified to serve on our Board due to the experience he brings building brands and companies in the consumer space.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Michael A. Miles, Jr.</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Michael A. Miles, Jr. has served as a member of the Board of Portillo’s since August 2014 and is Chairman of the Board. Mr. Miles is the former President of Staples, Inc., a $25 billion global office supplies retailer and distributor. He also served as Chief Operating Officer of Pizza Hut for YUM Brands. He began his career with Bain &amp; Company and PepsiCo. He also serves on the board of Western Union (NYSE: WU) where he sits on the governance and ESG committee and chairs the compensation committee. He is an advisory director with Berkshire Partners. We believe that Mr. Miles is well qualified to serve on our Board due to the experience he brings with multi-unit operations, development and marketing.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Board of Directors</w:t>
      </w:r>
    </w:p>
    <w:p>
      <w:pPr>
        <w:spacing w:after="0" w:line="26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business and affairs are managed under the direction of our Board. Our Board is currently composed of eight directors, which may be increased or decreased from time to time by our Board. Our directors are elected annually to serve until the next annual meeting of shareholders, or until their successors are duly elected and qualified.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Director Independence</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Board has affirmatively determined that each of Ms. Bordelon, Ms. Dodson, Mr. Glass, Mr. Hart, Mr. Lubin, Mr. Lutzker and Mr. Miles is an independent director under applicable Nasdaq rules. Accordingly, our Board is composed of a majority of independent directors and, as further discussed below, each of our Audit Committee, Compensation Committee and Nominating and Corporate Governance Committee are composed entirely of independent directors for the purposes of serving on such committees.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Board Committees</w:t>
      </w:r>
    </w:p>
    <w:p>
      <w:pPr>
        <w:spacing w:after="0" w:line="26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Board currently has an Audit Committee, a Compensation Committee and a Nominating and Corporate Governance Committee. Each committee has a charter that has been approved by our Board and that is available on our investor relations website. Each committee has the composition and responsibilities described below. Directors serve on our Board committees until their resignations or until otherwise determined by our Board.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14042"/>
        </w:rPr>
        <w:t>Audit Committee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primary purpose of our Audit Committee under the committee’s charter is to assist the Board’s oversight of:</w:t>
      </w:r>
    </w:p>
    <w:p>
      <w:pPr>
        <w:spacing w:after="0" w:line="2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audits of our financial statements;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process relating to risk management and the soundness of our systems of internal control over financial reporting and disclosure controls and procedures;</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qualifications, engagement, compensation, independence and performance of our independent auditor;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25, 2022, our Audit Committee is composed of Ms. Bordelon, Mr. Glass and Ms. Dodson. Ms. Bordelon serves as chair of the Audit Committee. Ms. Bordelon and Mr. Glass each qualify as an “audit committee financial expert” as such term has been defined by the SEC in Item 407(d) of Regulation S-K. Each of Ms. Bordelon, Mr. Glass and Ms. Dodson qualifies as an independent director for the purposes of serving on the Audit Committee under applicable Nasdaq rules and Rule 10A-3 under the Exchange Act. The Audit Committee is governed by a charter that complies with the rules of the Nasdaq and is available on our investor relations website.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14042"/>
        </w:rPr>
        <w:t>Compensation Committee</w:t>
      </w:r>
    </w:p>
    <w:p>
      <w:pPr>
        <w:spacing w:after="0" w:line="250"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The primary purpose of our Compensation Committee under the committee’s charter is to assist the Board in overseeing our employee compensation policies and practices, including:</w:t>
      </w:r>
    </w:p>
    <w:p>
      <w:pPr>
        <w:spacing w:after="0" w:line="2" w:lineRule="exact"/>
        <w:rPr>
          <w:sz w:val="20"/>
          <w:szCs w:val="20"/>
          <w:color w:val="auto"/>
        </w:rPr>
      </w:pPr>
    </w:p>
    <w:p>
      <w:pPr>
        <w:ind w:left="660" w:right="740" w:hanging="328"/>
        <w:spacing w:after="0" w:line="250" w:lineRule="auto"/>
        <w:tabs>
          <w:tab w:leader="none" w:pos="6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the executive officer compensation arrangements, plans, policies and programs; and</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approving and recommending to the Board executive bonus plans or programs and equity-based compensation plans.</w:t>
      </w:r>
    </w:p>
    <w:p>
      <w:pPr>
        <w:spacing w:after="0" w:line="2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Compensation Committee is composed of Mr. Hart, Mr. Lubin, Mr. Miles and Mr. Lutzker, each of whom qualifies as an independent director for purposes of serving on the Compensation Committee. Effective October 4, 2022, Mr. Hart serves as chair of the Compensation Committee. None of Mr. Miles, Mr. Lubin and Mr. Lutzker qualifies as a “non-employee director” as defined under Rule 16b-3 promulgated under the Exchange Act and, therefore, it is expected that the full Board will approve all equity awards granted to directors and officers of the Company for so long as they are members of the Compensation Committee, unless the Compensation Committee delegates such authority to a subcommittee in accordance with applicable law and its authority under its charter. The Compensation Committee is governed by a charter that complies with the rules of the Nasdaq and is available on our investor relations website.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14042"/>
        </w:rPr>
        <w:t>Nominating and Corporate Governance Committee</w:t>
      </w:r>
    </w:p>
    <w:p>
      <w:pPr>
        <w:spacing w:after="0" w:line="25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primary purposes of our Nominating and Corporate Governance Committee is to recommend candidates for appointment to the Board and to review the corporate governance guidelines of the Company, including:</w:t>
      </w:r>
    </w:p>
    <w:p>
      <w:pPr>
        <w:spacing w:after="0" w:line="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identifying and screening individuals qualified to serve as directors;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recommending to the Board candidates for nomination for election or reelection at the annual meeting of shareholders or to fill Board and committee vacancies;</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recommending to the Board the structure and membership of Board committees;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developing, recommending to the Board and reviewing the Company’s corporate governance guidelines;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and its committees; and</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on a regular basis the overall corporate governance of the Company and recommending improvements for approval by the Board where appropriate.</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Nominating and Corporate Governance Committee is comprised of Mr. Lutzker, Ms. Dodson and Mr. Miles, each of whom qualifies as an independent director under applicable Nasdaq rules. Mr. Lutzker serves as the chair of the Nominating and Corporate Governance Committee. The Nominating and Corporate Governance Committee is governed by a charter that complies with the rules of the Nasdaq and is available on our investor relations website.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Code of Business Conduct</w:t>
      </w:r>
    </w:p>
    <w:p>
      <w:pPr>
        <w:spacing w:after="0" w:line="26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code of business conduct that applies to all of our employees, officers and directors is available on our website located at www.portillos.com, and our investor relations website located at http://investors.portillos.com. Any future amendments or waivers from our code for our principal executive officer, principal financial officer, principal accounting officer or controller, or persons performing similar functions will be disclosed on our website promptly following the date of such amendment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Corporate Governance Guidelines</w:t>
      </w:r>
    </w:p>
    <w:p>
      <w:pPr>
        <w:spacing w:after="0" w:line="26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Board has adopted corporate governance guidelines that serve as a flexible framework within which our Board and its committees operate. These guidelines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company employees and independent advisers, Board communication with shareholders and others, director compensation and annual Board and committee performance evaluations. A copy of our corporate governance guidelines is available on our website.</w:t>
      </w:r>
    </w:p>
    <w:p>
      <w:pPr>
        <w:spacing w:after="0" w:line="200" w:lineRule="exact"/>
        <w:rPr>
          <w:sz w:val="20"/>
          <w:szCs w:val="20"/>
          <w:color w:val="auto"/>
        </w:rPr>
      </w:pP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414042"/>
        </w:rPr>
        <w:t>ITEM 11.</w:t>
        <w:tab/>
        <w:t>EXECUTIVE COMPENSATION</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Emerging Growth Company Status</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qualify as an “emerging growth company” under the Jumpstart Our Business Startups Act of 2012. As a result, we are permitted to and rely on exemptions from certain disclosure requirements that are applicable to other companies that are not emerging growth companies. Accordingly, we have included compensation information for only our: (1) principal executive officer (PEO); (ii) two most highly compensated executive officers serving at fiscal year-end (other than the PEO); and former executive officer who would have been among our two most highly compensated executive officers (other than the PEO) if she had been an executive officer at fiscal year-end. Additionally, we have not included a compensation discussion and analysis of our executive compensation programs or tabular compensation information other than the Summary Compensation Table and the Outstanding Equity Awards table. In addition, for so long as we are an emerging growth company, we will not be required to submit certain executive compensation matters to our shareholders for advisory votes, such as “say-on-pay” and “say-on-frequency” of say-on-pay votes.</w:t>
      </w:r>
    </w:p>
    <w:p>
      <w:pPr>
        <w:spacing w:after="0" w:line="6"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or “NEOs” for the fiscal year ended December 25, 2022 (“Fiscal 2022”). Our NEOs for Fiscal 2022 were:</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Michael Osanloo</w:t>
            </w:r>
          </w:p>
        </w:tc>
        <w:tc>
          <w:tcPr>
            <w:tcW w:w="434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Michelle Hook</w:t>
            </w:r>
          </w:p>
        </w:tc>
        <w:tc>
          <w:tcPr>
            <w:tcW w:w="4340" w:type="dxa"/>
            <w:vAlign w:val="bottom"/>
          </w:tcPr>
          <w:p>
            <w:pPr>
              <w:ind w:left="1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Derrick Pratt</w:t>
            </w:r>
          </w:p>
        </w:tc>
        <w:tc>
          <w:tcPr>
            <w:tcW w:w="4340" w:type="dxa"/>
            <w:vAlign w:val="bottom"/>
          </w:tcPr>
          <w:p>
            <w:pPr>
              <w:ind w:left="140"/>
              <w:spacing w:after="0"/>
              <w:rPr>
                <w:sz w:val="20"/>
                <w:szCs w:val="20"/>
                <w:color w:val="auto"/>
              </w:rPr>
            </w:pPr>
            <w:r>
              <w:rPr>
                <w:rFonts w:ascii="Arial" w:cs="Arial" w:eastAsia="Arial" w:hAnsi="Arial"/>
                <w:sz w:val="18"/>
                <w:szCs w:val="18"/>
                <w:color w:val="auto"/>
              </w:rPr>
              <w:t>Chief Operating Officer</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ind w:left="40"/>
              <w:spacing w:after="0"/>
              <w:rPr>
                <w:sz w:val="20"/>
                <w:szCs w:val="20"/>
                <w:color w:val="auto"/>
              </w:rPr>
            </w:pPr>
            <w:r>
              <w:rPr>
                <w:rFonts w:ascii="Arial" w:cs="Arial" w:eastAsia="Arial" w:hAnsi="Arial"/>
                <w:sz w:val="18"/>
                <w:szCs w:val="18"/>
                <w:color w:val="auto"/>
              </w:rPr>
              <w:t>Sherri Abruscato</w:t>
            </w:r>
          </w:p>
        </w:tc>
        <w:tc>
          <w:tcPr>
            <w:tcW w:w="4340" w:type="dxa"/>
            <w:vAlign w:val="bottom"/>
          </w:tcPr>
          <w:p>
            <w:pPr>
              <w:ind w:left="140"/>
              <w:spacing w:after="0"/>
              <w:rPr>
                <w:sz w:val="20"/>
                <w:szCs w:val="20"/>
                <w:color w:val="auto"/>
              </w:rPr>
            </w:pPr>
            <w:r>
              <w:rPr>
                <w:rFonts w:ascii="Arial" w:cs="Arial" w:eastAsia="Arial" w:hAnsi="Arial"/>
                <w:sz w:val="18"/>
                <w:szCs w:val="18"/>
                <w:color w:val="auto"/>
                <w:w w:val="99"/>
              </w:rPr>
              <w:t>Former Chief Development and Supply Chain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Summary Compensation Tables</w:t>
      </w:r>
    </w:p>
    <w:p>
      <w:pPr>
        <w:spacing w:after="0" w:line="261" w:lineRule="exact"/>
        <w:rPr>
          <w:sz w:val="20"/>
          <w:szCs w:val="20"/>
          <w:color w:val="auto"/>
        </w:rPr>
      </w:pPr>
    </w:p>
    <w:p>
      <w:pPr>
        <w:ind w:right="380"/>
        <w:spacing w:after="0" w:line="281" w:lineRule="auto"/>
        <w:rPr>
          <w:sz w:val="20"/>
          <w:szCs w:val="20"/>
          <w:color w:val="auto"/>
        </w:rPr>
      </w:pPr>
      <w:r>
        <w:rPr>
          <w:rFonts w:ascii="Arial" w:cs="Arial" w:eastAsia="Arial" w:hAnsi="Arial"/>
          <w:sz w:val="18"/>
          <w:szCs w:val="18"/>
          <w:color w:val="auto"/>
        </w:rPr>
        <w:t>The following table sets forth certain information regarding the total compensation awarded to, earned by or paid to our named executive officers in respect of Fiscal 2022 and the fiscal year ended December 26, 2021 ("Fiscal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Nonequity</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rPr>
              <w:t>incentive plan</w:t>
            </w:r>
          </w:p>
        </w:tc>
        <w:tc>
          <w:tcPr>
            <w:tcW w:w="2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All other</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b w:val="1"/>
                <w:bCs w:val="1"/>
                <w:color w:val="auto"/>
              </w:rPr>
              <w:t>Salary ($)</w:t>
            </w:r>
          </w:p>
        </w:tc>
        <w:tc>
          <w:tcPr>
            <w:tcW w:w="10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5"/>
                <w:szCs w:val="15"/>
                <w:b w:val="1"/>
                <w:bCs w:val="1"/>
                <w:color w:val="auto"/>
              </w:rPr>
              <w:t>Bonus ($)</w:t>
            </w:r>
          </w:p>
        </w:tc>
        <w:tc>
          <w:tcPr>
            <w:tcW w:w="1160" w:type="dxa"/>
            <w:vAlign w:val="bottom"/>
            <w:gridSpan w:val="3"/>
          </w:tcPr>
          <w:p>
            <w:pPr>
              <w:ind w:left="40"/>
              <w:spacing w:after="0"/>
              <w:rPr>
                <w:sz w:val="20"/>
                <w:szCs w:val="20"/>
                <w:color w:val="auto"/>
              </w:rPr>
            </w:pPr>
            <w:r>
              <w:rPr>
                <w:rFonts w:ascii="Arial" w:cs="Arial" w:eastAsia="Arial" w:hAnsi="Arial"/>
                <w:sz w:val="15"/>
                <w:szCs w:val="15"/>
                <w:b w:val="1"/>
                <w:bCs w:val="1"/>
                <w:color w:val="auto"/>
              </w:rPr>
              <w:t>Stock awards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Option</w:t>
            </w:r>
          </w:p>
        </w:tc>
        <w:tc>
          <w:tcPr>
            <w:tcW w:w="13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compensation</w:t>
            </w:r>
          </w:p>
        </w:tc>
        <w:tc>
          <w:tcPr>
            <w:tcW w:w="1280" w:type="dxa"/>
            <w:vAlign w:val="bottom"/>
            <w:gridSpan w:val="3"/>
          </w:tcPr>
          <w:p>
            <w:pPr>
              <w:jc w:val="center"/>
              <w:ind w:right="80"/>
              <w:spacing w:after="0"/>
              <w:rPr>
                <w:sz w:val="20"/>
                <w:szCs w:val="20"/>
                <w:color w:val="auto"/>
              </w:rPr>
            </w:pPr>
            <w:r>
              <w:rPr>
                <w:rFonts w:ascii="Arial" w:cs="Arial" w:eastAsia="Arial" w:hAnsi="Arial"/>
                <w:sz w:val="15"/>
                <w:szCs w:val="15"/>
                <w:b w:val="1"/>
                <w:bCs w:val="1"/>
                <w:color w:val="auto"/>
              </w:rPr>
              <w:t>compensation</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80" w:type="dxa"/>
            <w:vAlign w:val="bottom"/>
          </w:tcPr>
          <w:p>
            <w:pPr>
              <w:ind w:left="320"/>
              <w:spacing w:after="0"/>
              <w:rPr>
                <w:sz w:val="20"/>
                <w:szCs w:val="20"/>
                <w:color w:val="auto"/>
              </w:rPr>
            </w:pPr>
            <w:r>
              <w:rPr>
                <w:rFonts w:ascii="Arial" w:cs="Arial" w:eastAsia="Arial" w:hAnsi="Arial"/>
                <w:sz w:val="15"/>
                <w:szCs w:val="15"/>
                <w:b w:val="1"/>
                <w:bCs w:val="1"/>
                <w:color w:val="auto"/>
              </w:rPr>
              <w:t>Name and principal position</w:t>
            </w:r>
          </w:p>
        </w:tc>
        <w:tc>
          <w:tcPr>
            <w:tcW w:w="10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5"/>
                <w:szCs w:val="15"/>
                <w:b w:val="1"/>
                <w:bCs w:val="1"/>
                <w:color w:val="auto"/>
              </w:rPr>
              <w:t>Year</w:t>
            </w:r>
          </w:p>
        </w:tc>
        <w:tc>
          <w:tcPr>
            <w:tcW w:w="840" w:type="dxa"/>
            <w:vAlign w:val="bottom"/>
          </w:tcPr>
          <w:p>
            <w:pPr>
              <w:jc w:val="right"/>
              <w:ind w:right="240"/>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80"/>
              <w:spacing w:after="0"/>
              <w:rPr>
                <w:sz w:val="20"/>
                <w:szCs w:val="20"/>
                <w:color w:val="auto"/>
              </w:rPr>
            </w:pPr>
            <w:r>
              <w:rPr>
                <w:rFonts w:ascii="Arial" w:cs="Arial" w:eastAsia="Arial" w:hAnsi="Arial"/>
                <w:sz w:val="15"/>
                <w:szCs w:val="15"/>
                <w:b w:val="1"/>
                <w:bCs w:val="1"/>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60"/>
              <w:spacing w:after="0"/>
              <w:rPr>
                <w:sz w:val="20"/>
                <w:szCs w:val="20"/>
                <w:color w:val="auto"/>
              </w:rPr>
            </w:pPr>
            <w:r>
              <w:rPr>
                <w:rFonts w:ascii="Arial" w:cs="Arial" w:eastAsia="Arial" w:hAnsi="Arial"/>
                <w:sz w:val="15"/>
                <w:szCs w:val="15"/>
                <w:b w:val="1"/>
                <w:bCs w:val="1"/>
                <w:color w:val="auto"/>
              </w:rPr>
              <w:t>($)(3)</w:t>
            </w:r>
          </w:p>
        </w:tc>
        <w:tc>
          <w:tcPr>
            <w:tcW w:w="100" w:type="dxa"/>
            <w:vAlign w:val="bottom"/>
          </w:tcPr>
          <w:p>
            <w:pPr>
              <w:spacing w:after="0"/>
              <w:rPr>
                <w:sz w:val="18"/>
                <w:szCs w:val="18"/>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awards ($)(4)</w:t>
            </w:r>
          </w:p>
        </w:tc>
        <w:tc>
          <w:tcPr>
            <w:tcW w:w="160" w:type="dxa"/>
            <w:vAlign w:val="bottom"/>
          </w:tcPr>
          <w:p>
            <w:pPr>
              <w:spacing w:after="0"/>
              <w:rPr>
                <w:sz w:val="18"/>
                <w:szCs w:val="18"/>
                <w:color w:val="auto"/>
              </w:rPr>
            </w:pPr>
          </w:p>
        </w:tc>
        <w:tc>
          <w:tcPr>
            <w:tcW w:w="1060" w:type="dxa"/>
            <w:vAlign w:val="bottom"/>
          </w:tcPr>
          <w:p>
            <w:pPr>
              <w:jc w:val="center"/>
              <w:ind w:right="80"/>
              <w:spacing w:after="0"/>
              <w:rPr>
                <w:sz w:val="20"/>
                <w:szCs w:val="20"/>
                <w:color w:val="auto"/>
              </w:rPr>
            </w:pPr>
            <w:r>
              <w:rPr>
                <w:rFonts w:ascii="Arial" w:cs="Arial" w:eastAsia="Arial" w:hAnsi="Arial"/>
                <w:sz w:val="15"/>
                <w:szCs w:val="15"/>
                <w:b w:val="1"/>
                <w:bCs w:val="1"/>
                <w:color w:val="auto"/>
              </w:rPr>
              <w:t>($) (5)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20"/>
              <w:spacing w:after="0"/>
              <w:rPr>
                <w:sz w:val="20"/>
                <w:szCs w:val="20"/>
                <w:color w:val="auto"/>
              </w:rPr>
            </w:pPr>
            <w:r>
              <w:rPr>
                <w:rFonts w:ascii="Arial" w:cs="Arial" w:eastAsia="Arial" w:hAnsi="Arial"/>
                <w:sz w:val="15"/>
                <w:szCs w:val="15"/>
                <w:b w:val="1"/>
                <w:bCs w:val="1"/>
                <w:color w:val="auto"/>
              </w:rPr>
              <w:t>($) (8)</w:t>
            </w:r>
          </w:p>
        </w:tc>
        <w:tc>
          <w:tcPr>
            <w:tcW w:w="100" w:type="dxa"/>
            <w:vAlign w:val="bottom"/>
          </w:tcPr>
          <w:p>
            <w:pPr>
              <w:spacing w:after="0"/>
              <w:rPr>
                <w:sz w:val="18"/>
                <w:szCs w:val="18"/>
                <w:color w:val="auto"/>
              </w:rPr>
            </w:pPr>
          </w:p>
        </w:tc>
        <w:tc>
          <w:tcPr>
            <w:tcW w:w="1020" w:type="dxa"/>
            <w:vAlign w:val="bottom"/>
          </w:tcPr>
          <w:p>
            <w:pPr>
              <w:jc w:val="right"/>
              <w:ind w:right="140"/>
              <w:spacing w:after="0"/>
              <w:rPr>
                <w:sz w:val="20"/>
                <w:szCs w:val="20"/>
                <w:color w:val="auto"/>
              </w:rPr>
            </w:pPr>
            <w:r>
              <w:rPr>
                <w:rFonts w:ascii="Arial" w:cs="Arial" w:eastAsia="Arial" w:hAnsi="Arial"/>
                <w:sz w:val="15"/>
                <w:szCs w:val="15"/>
                <w:b w:val="1"/>
                <w:bCs w:val="1"/>
                <w:color w:val="auto"/>
              </w:rPr>
              <w:t>Total ($)</w:t>
            </w:r>
          </w:p>
        </w:tc>
        <w:tc>
          <w:tcPr>
            <w:tcW w:w="0" w:type="dxa"/>
            <w:vAlign w:val="bottom"/>
          </w:tcPr>
          <w:p>
            <w:pPr>
              <w:spacing w:after="0"/>
              <w:rPr>
                <w:sz w:val="1"/>
                <w:szCs w:val="1"/>
                <w:color w:val="auto"/>
              </w:rPr>
            </w:pPr>
          </w:p>
        </w:tc>
      </w:tr>
      <w:tr>
        <w:trPr>
          <w:trHeight w:val="25"/>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Michael Osanloo,</w:t>
            </w:r>
          </w:p>
        </w:tc>
        <w:tc>
          <w:tcPr>
            <w:tcW w:w="100" w:type="dxa"/>
            <w:vAlign w:val="bottom"/>
            <w:shd w:val="clear" w:color="auto" w:fill="DBDBDB"/>
          </w:tcPr>
          <w:p>
            <w:pPr>
              <w:spacing w:after="0"/>
              <w:rPr>
                <w:sz w:val="16"/>
                <w:szCs w:val="16"/>
                <w:color w:val="auto"/>
              </w:rPr>
            </w:pP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DBDBDB"/>
          </w:tcPr>
          <w:p>
            <w:pPr>
              <w:spacing w:after="0"/>
              <w:rPr>
                <w:sz w:val="16"/>
                <w:szCs w:val="16"/>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$ 821,398</w:t>
            </w:r>
          </w:p>
        </w:tc>
        <w:tc>
          <w:tcPr>
            <w:tcW w:w="100" w:type="dxa"/>
            <w:vAlign w:val="bottom"/>
            <w:shd w:val="clear" w:color="auto" w:fill="DBDBDB"/>
          </w:tcPr>
          <w:p>
            <w:pPr>
              <w:spacing w:after="0"/>
              <w:rPr>
                <w:sz w:val="16"/>
                <w:szCs w:val="16"/>
                <w:color w:val="auto"/>
              </w:rPr>
            </w:pPr>
          </w:p>
        </w:tc>
        <w:tc>
          <w:tcPr>
            <w:tcW w:w="10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DBDBDB"/>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413,746</w:t>
            </w:r>
          </w:p>
        </w:tc>
        <w:tc>
          <w:tcPr>
            <w:tcW w:w="100" w:type="dxa"/>
            <w:vAlign w:val="bottom"/>
            <w:shd w:val="clear" w:color="auto" w:fill="DBDBDB"/>
          </w:tcPr>
          <w:p>
            <w:pPr>
              <w:spacing w:after="0"/>
              <w:rPr>
                <w:sz w:val="16"/>
                <w:szCs w:val="16"/>
                <w:color w:val="auto"/>
              </w:rPr>
            </w:pP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vMerge w:val="restart"/>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DBDBDB"/>
          </w:tcPr>
          <w:p>
            <w:pPr>
              <w:jc w:val="right"/>
              <w:ind w:right="1"/>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53,704</w:t>
            </w:r>
          </w:p>
        </w:tc>
        <w:tc>
          <w:tcPr>
            <w:tcW w:w="100" w:type="dxa"/>
            <w:vAlign w:val="bottom"/>
            <w:shd w:val="clear" w:color="auto" w:fill="DBDBDB"/>
          </w:tcPr>
          <w:p>
            <w:pPr>
              <w:spacing w:after="0"/>
              <w:rPr>
                <w:sz w:val="16"/>
                <w:szCs w:val="16"/>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  1,288,848</w:t>
            </w:r>
          </w:p>
        </w:tc>
        <w:tc>
          <w:tcPr>
            <w:tcW w:w="0" w:type="dxa"/>
            <w:vAlign w:val="bottom"/>
          </w:tcPr>
          <w:p>
            <w:pPr>
              <w:spacing w:after="0"/>
              <w:rPr>
                <w:sz w:val="1"/>
                <w:szCs w:val="1"/>
                <w:color w:val="auto"/>
              </w:rPr>
            </w:pPr>
          </w:p>
        </w:tc>
      </w:tr>
      <w:tr>
        <w:trPr>
          <w:trHeight w:val="93"/>
        </w:trPr>
        <w:tc>
          <w:tcPr>
            <w:tcW w:w="268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President and Chief Executive</w:t>
            </w:r>
          </w:p>
        </w:tc>
        <w:tc>
          <w:tcPr>
            <w:tcW w:w="100" w:type="dxa"/>
            <w:vAlign w:val="bottom"/>
            <w:shd w:val="clear" w:color="auto" w:fill="DBDBDB"/>
          </w:tcPr>
          <w:p>
            <w:pPr>
              <w:spacing w:after="0"/>
              <w:rPr>
                <w:sz w:val="8"/>
                <w:szCs w:val="8"/>
                <w:color w:val="auto"/>
              </w:rPr>
            </w:pPr>
          </w:p>
        </w:tc>
        <w:tc>
          <w:tcPr>
            <w:tcW w:w="540" w:type="dxa"/>
            <w:vAlign w:val="bottom"/>
            <w:vMerge w:val="continue"/>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84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00" w:type="dxa"/>
            <w:vAlign w:val="bottom"/>
            <w:vMerge w:val="continue"/>
            <w:shd w:val="clear" w:color="auto" w:fill="DBDBDB"/>
          </w:tcPr>
          <w:p>
            <w:pPr>
              <w:spacing w:after="0"/>
              <w:rPr>
                <w:sz w:val="8"/>
                <w:szCs w:val="8"/>
                <w:color w:val="auto"/>
              </w:rPr>
            </w:pPr>
          </w:p>
        </w:tc>
        <w:tc>
          <w:tcPr>
            <w:tcW w:w="920" w:type="dxa"/>
            <w:vAlign w:val="bottom"/>
            <w:gridSpan w:val="2"/>
            <w:vMerge w:val="continue"/>
            <w:shd w:val="clear" w:color="auto" w:fill="DBDBDB"/>
          </w:tcPr>
          <w:p>
            <w:pPr>
              <w:spacing w:after="0"/>
              <w:rPr>
                <w:sz w:val="8"/>
                <w:szCs w:val="8"/>
                <w:color w:val="auto"/>
              </w:rPr>
            </w:pPr>
          </w:p>
        </w:tc>
        <w:tc>
          <w:tcPr>
            <w:tcW w:w="180" w:type="dxa"/>
            <w:vAlign w:val="bottom"/>
            <w:vMerge w:val="continue"/>
            <w:shd w:val="clear" w:color="auto" w:fill="DBDBDB"/>
          </w:tcPr>
          <w:p>
            <w:pPr>
              <w:spacing w:after="0"/>
              <w:rPr>
                <w:sz w:val="8"/>
                <w:szCs w:val="8"/>
                <w:color w:val="auto"/>
              </w:rPr>
            </w:pPr>
          </w:p>
        </w:tc>
        <w:tc>
          <w:tcPr>
            <w:tcW w:w="88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20" w:type="dxa"/>
            <w:vAlign w:val="bottom"/>
            <w:vMerge w:val="continue"/>
            <w:shd w:val="clear" w:color="auto" w:fill="DBDBDB"/>
          </w:tcPr>
          <w:p>
            <w:pPr>
              <w:spacing w:after="0"/>
              <w:rPr>
                <w:sz w:val="8"/>
                <w:szCs w:val="8"/>
                <w:color w:val="auto"/>
              </w:rPr>
            </w:pPr>
          </w:p>
        </w:tc>
        <w:tc>
          <w:tcPr>
            <w:tcW w:w="1000" w:type="dxa"/>
            <w:vAlign w:val="bottom"/>
            <w:gridSpan w:val="2"/>
            <w:vMerge w:val="continue"/>
            <w:shd w:val="clear" w:color="auto" w:fill="DBDBDB"/>
          </w:tcPr>
          <w:p>
            <w:pPr>
              <w:spacing w:after="0"/>
              <w:rPr>
                <w:sz w:val="8"/>
                <w:szCs w:val="8"/>
                <w:color w:val="auto"/>
              </w:rPr>
            </w:pPr>
          </w:p>
        </w:tc>
        <w:tc>
          <w:tcPr>
            <w:tcW w:w="160" w:type="dxa"/>
            <w:vAlign w:val="bottom"/>
            <w:vMerge w:val="continue"/>
            <w:shd w:val="clear" w:color="auto" w:fill="DBDBDB"/>
          </w:tcPr>
          <w:p>
            <w:pPr>
              <w:spacing w:after="0"/>
              <w:rPr>
                <w:sz w:val="8"/>
                <w:szCs w:val="8"/>
                <w:color w:val="auto"/>
              </w:rPr>
            </w:pPr>
          </w:p>
        </w:tc>
        <w:tc>
          <w:tcPr>
            <w:tcW w:w="1140" w:type="dxa"/>
            <w:vAlign w:val="bottom"/>
            <w:gridSpan w:val="2"/>
            <w:vMerge w:val="continue"/>
            <w:shd w:val="clear" w:color="auto" w:fill="DBDBDB"/>
          </w:tcPr>
          <w:p>
            <w:pPr>
              <w:spacing w:after="0"/>
              <w:rPr>
                <w:sz w:val="8"/>
                <w:szCs w:val="8"/>
                <w:color w:val="auto"/>
              </w:rPr>
            </w:pPr>
          </w:p>
        </w:tc>
        <w:tc>
          <w:tcPr>
            <w:tcW w:w="200" w:type="dxa"/>
            <w:vAlign w:val="bottom"/>
            <w:vMerge w:val="continue"/>
            <w:shd w:val="clear" w:color="auto" w:fill="DBDBDB"/>
          </w:tcPr>
          <w:p>
            <w:pPr>
              <w:spacing w:after="0"/>
              <w:rPr>
                <w:sz w:val="8"/>
                <w:szCs w:val="8"/>
                <w:color w:val="auto"/>
              </w:rPr>
            </w:pPr>
          </w:p>
        </w:tc>
        <w:tc>
          <w:tcPr>
            <w:tcW w:w="98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02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68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54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84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82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80" w:type="dxa"/>
            <w:vAlign w:val="bottom"/>
            <w:shd w:val="clear" w:color="auto" w:fill="DBDBDB"/>
          </w:tcPr>
          <w:p>
            <w:pPr>
              <w:spacing w:after="0"/>
              <w:rPr>
                <w:sz w:val="8"/>
                <w:szCs w:val="8"/>
                <w:color w:val="auto"/>
              </w:rPr>
            </w:pPr>
          </w:p>
        </w:tc>
        <w:tc>
          <w:tcPr>
            <w:tcW w:w="88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20" w:type="dxa"/>
            <w:vAlign w:val="bottom"/>
            <w:shd w:val="clear" w:color="auto" w:fill="DBDBDB"/>
          </w:tcPr>
          <w:p>
            <w:pPr>
              <w:spacing w:after="0"/>
              <w:rPr>
                <w:sz w:val="8"/>
                <w:szCs w:val="8"/>
                <w:color w:val="auto"/>
              </w:rPr>
            </w:pPr>
          </w:p>
        </w:tc>
        <w:tc>
          <w:tcPr>
            <w:tcW w:w="90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60" w:type="dxa"/>
            <w:vAlign w:val="bottom"/>
            <w:shd w:val="clear" w:color="auto" w:fill="DBDBDB"/>
          </w:tcPr>
          <w:p>
            <w:pPr>
              <w:spacing w:after="0"/>
              <w:rPr>
                <w:sz w:val="8"/>
                <w:szCs w:val="8"/>
                <w:color w:val="auto"/>
              </w:rPr>
            </w:pPr>
          </w:p>
        </w:tc>
        <w:tc>
          <w:tcPr>
            <w:tcW w:w="106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200" w:type="dxa"/>
            <w:vAlign w:val="bottom"/>
            <w:shd w:val="clear" w:color="auto" w:fill="DBDBDB"/>
          </w:tcPr>
          <w:p>
            <w:pPr>
              <w:spacing w:after="0"/>
              <w:rPr>
                <w:sz w:val="8"/>
                <w:szCs w:val="8"/>
                <w:color w:val="auto"/>
              </w:rPr>
            </w:pPr>
          </w:p>
        </w:tc>
        <w:tc>
          <w:tcPr>
            <w:tcW w:w="98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102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2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Officer</w:t>
            </w:r>
          </w:p>
        </w:tc>
        <w:tc>
          <w:tcPr>
            <w:tcW w:w="100" w:type="dxa"/>
            <w:vAlign w:val="bottom"/>
            <w:shd w:val="clear" w:color="auto" w:fill="DBDBDB"/>
          </w:tcPr>
          <w:p>
            <w:pPr>
              <w:spacing w:after="0"/>
              <w:rPr>
                <w:sz w:val="21"/>
                <w:szCs w:val="21"/>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2021</w:t>
            </w:r>
          </w:p>
        </w:tc>
        <w:tc>
          <w:tcPr>
            <w:tcW w:w="8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791,167</w:t>
            </w: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1,719,150</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3,938,000</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9"/>
              </w:rPr>
              <w:t>23,728,075</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1,018,464</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49,351</w:t>
            </w:r>
          </w:p>
        </w:tc>
        <w:tc>
          <w:tcPr>
            <w:tcW w:w="100" w:type="dxa"/>
            <w:vAlign w:val="bottom"/>
            <w:shd w:val="clear" w:color="auto" w:fill="DBDBDB"/>
          </w:tcPr>
          <w:p>
            <w:pPr>
              <w:spacing w:after="0"/>
              <w:rPr>
                <w:sz w:val="21"/>
                <w:szCs w:val="21"/>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31,244,207</w:t>
            </w:r>
          </w:p>
        </w:tc>
        <w:tc>
          <w:tcPr>
            <w:tcW w:w="0" w:type="dxa"/>
            <w:vAlign w:val="bottom"/>
          </w:tcPr>
          <w:p>
            <w:pPr>
              <w:spacing w:after="0"/>
              <w:rPr>
                <w:sz w:val="1"/>
                <w:szCs w:val="1"/>
                <w:color w:val="auto"/>
              </w:rPr>
            </w:pPr>
          </w:p>
        </w:tc>
      </w:tr>
      <w:tr>
        <w:trPr>
          <w:trHeight w:val="256"/>
        </w:trPr>
        <w:tc>
          <w:tcPr>
            <w:tcW w:w="2680" w:type="dxa"/>
            <w:vAlign w:val="bottom"/>
          </w:tcPr>
          <w:p>
            <w:pPr>
              <w:ind w:left="20"/>
              <w:spacing w:after="0"/>
              <w:rPr>
                <w:sz w:val="20"/>
                <w:szCs w:val="20"/>
                <w:color w:val="auto"/>
              </w:rPr>
            </w:pPr>
            <w:r>
              <w:rPr>
                <w:rFonts w:ascii="Arial" w:cs="Arial" w:eastAsia="Arial" w:hAnsi="Arial"/>
                <w:sz w:val="16"/>
                <w:szCs w:val="16"/>
                <w:color w:val="auto"/>
              </w:rPr>
              <w:t>Michelle Hook,</w:t>
            </w:r>
          </w:p>
        </w:tc>
        <w:tc>
          <w:tcPr>
            <w:tcW w:w="6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438,740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110,497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42,505</w:t>
            </w:r>
          </w:p>
        </w:tc>
        <w:tc>
          <w:tcPr>
            <w:tcW w:w="100" w:type="dxa"/>
            <w:vAlign w:val="bottom"/>
          </w:tcPr>
          <w:p>
            <w:pPr>
              <w:spacing w:after="0"/>
              <w:rPr>
                <w:sz w:val="22"/>
                <w:szCs w:val="2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591,742</w:t>
            </w:r>
          </w:p>
        </w:tc>
        <w:tc>
          <w:tcPr>
            <w:tcW w:w="0" w:type="dxa"/>
            <w:vAlign w:val="bottom"/>
          </w:tcPr>
          <w:p>
            <w:pPr>
              <w:spacing w:after="0"/>
              <w:rPr>
                <w:sz w:val="1"/>
                <w:szCs w:val="1"/>
                <w:color w:val="auto"/>
              </w:rPr>
            </w:pPr>
          </w:p>
        </w:tc>
      </w:tr>
      <w:tr>
        <w:trPr>
          <w:trHeight w:val="107"/>
        </w:trPr>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Chief Financial Officer and</w:t>
            </w: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680" w:type="dxa"/>
            <w:vAlign w:val="bottom"/>
          </w:tcPr>
          <w:p>
            <w:pPr>
              <w:ind w:left="20"/>
              <w:spacing w:after="0"/>
              <w:rPr>
                <w:sz w:val="20"/>
                <w:szCs w:val="20"/>
                <w:color w:val="auto"/>
              </w:rPr>
            </w:pPr>
            <w:r>
              <w:rPr>
                <w:rFonts w:ascii="Arial" w:cs="Arial" w:eastAsia="Arial" w:hAnsi="Arial"/>
                <w:sz w:val="16"/>
                <w:szCs w:val="16"/>
                <w:color w:val="auto"/>
              </w:rPr>
              <w:t>Treasurer</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370,137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103,149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2,985,558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242,666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41,299</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5,242,809</w:t>
            </w:r>
          </w:p>
        </w:tc>
        <w:tc>
          <w:tcPr>
            <w:tcW w:w="0" w:type="dxa"/>
            <w:vAlign w:val="bottom"/>
          </w:tcPr>
          <w:p>
            <w:pPr>
              <w:spacing w:after="0"/>
              <w:rPr>
                <w:sz w:val="1"/>
                <w:szCs w:val="1"/>
                <w:color w:val="auto"/>
              </w:rPr>
            </w:pPr>
          </w:p>
        </w:tc>
      </w:tr>
      <w:tr>
        <w:trPr>
          <w:trHeight w:val="70"/>
        </w:trPr>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Derrick Pratt,</w:t>
            </w:r>
          </w:p>
        </w:tc>
        <w:tc>
          <w:tcPr>
            <w:tcW w:w="10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68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Chief Operating Officer</w:t>
            </w: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2022</w:t>
            </w:r>
          </w:p>
        </w:tc>
        <w:tc>
          <w:tcPr>
            <w:tcW w:w="80" w:type="dxa"/>
            <w:vAlign w:val="bottom"/>
            <w:shd w:val="clear" w:color="auto" w:fill="DBDBDB"/>
          </w:tcPr>
          <w:p>
            <w:pPr>
              <w:spacing w:after="0"/>
              <w:rPr>
                <w:sz w:val="23"/>
                <w:szCs w:val="23"/>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448,620</w:t>
            </w:r>
          </w:p>
        </w:tc>
        <w:tc>
          <w:tcPr>
            <w:tcW w:w="1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DBDBDB"/>
          </w:tcPr>
          <w:p>
            <w:pPr>
              <w:spacing w:after="0"/>
              <w:rPr>
                <w:sz w:val="23"/>
                <w:szCs w:val="23"/>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112,784</w:t>
            </w:r>
          </w:p>
        </w:tc>
        <w:tc>
          <w:tcPr>
            <w:tcW w:w="10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0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23"/>
                <w:szCs w:val="23"/>
                <w:color w:val="auto"/>
              </w:rPr>
            </w:pPr>
          </w:p>
        </w:tc>
        <w:tc>
          <w:tcPr>
            <w:tcW w:w="11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DBDBDB"/>
          </w:tcPr>
          <w:p>
            <w:pPr>
              <w:spacing w:after="0"/>
              <w:rPr>
                <w:sz w:val="23"/>
                <w:szCs w:val="23"/>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28,934</w:t>
            </w:r>
          </w:p>
        </w:tc>
        <w:tc>
          <w:tcPr>
            <w:tcW w:w="100" w:type="dxa"/>
            <w:vAlign w:val="bottom"/>
            <w:shd w:val="clear" w:color="auto" w:fill="DBDBDB"/>
          </w:tcPr>
          <w:p>
            <w:pPr>
              <w:spacing w:after="0"/>
              <w:rPr>
                <w:sz w:val="23"/>
                <w:szCs w:val="23"/>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590,338</w:t>
            </w:r>
          </w:p>
        </w:tc>
        <w:tc>
          <w:tcPr>
            <w:tcW w:w="0" w:type="dxa"/>
            <w:vAlign w:val="bottom"/>
          </w:tcPr>
          <w:p>
            <w:pPr>
              <w:spacing w:after="0"/>
              <w:rPr>
                <w:sz w:val="1"/>
                <w:szCs w:val="1"/>
                <w:color w:val="auto"/>
              </w:rPr>
            </w:pPr>
          </w:p>
        </w:tc>
      </w:tr>
      <w:tr>
        <w:trPr>
          <w:trHeight w:val="256"/>
        </w:trPr>
        <w:tc>
          <w:tcPr>
            <w:tcW w:w="2680" w:type="dxa"/>
            <w:vAlign w:val="bottom"/>
          </w:tcPr>
          <w:p>
            <w:pPr>
              <w:ind w:left="20"/>
              <w:spacing w:after="0"/>
              <w:rPr>
                <w:sz w:val="20"/>
                <w:szCs w:val="20"/>
                <w:color w:val="auto"/>
              </w:rPr>
            </w:pPr>
            <w:r>
              <w:rPr>
                <w:rFonts w:ascii="Arial" w:cs="Arial" w:eastAsia="Arial" w:hAnsi="Arial"/>
                <w:sz w:val="16"/>
                <w:szCs w:val="16"/>
                <w:color w:val="auto"/>
              </w:rPr>
              <w:t>Sherri Abruscato, Former Chief</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rPr>
                <w:sz w:val="20"/>
                <w:szCs w:val="20"/>
                <w:color w:val="auto"/>
              </w:rPr>
            </w:pPr>
            <w:r>
              <w:rPr>
                <w:rFonts w:ascii="Arial" w:cs="Arial" w:eastAsia="Arial" w:hAnsi="Arial"/>
                <w:sz w:val="16"/>
                <w:szCs w:val="16"/>
                <w:color w:val="auto"/>
              </w:rPr>
              <w:t>Development and Supply Chain</w:t>
            </w:r>
          </w:p>
        </w:tc>
        <w:tc>
          <w:tcPr>
            <w:tcW w:w="6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2022</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334,332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83,093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192,096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11,244</w:t>
            </w:r>
          </w:p>
        </w:tc>
        <w:tc>
          <w:tcPr>
            <w:tcW w:w="1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620,765</w:t>
            </w:r>
          </w:p>
        </w:tc>
        <w:tc>
          <w:tcPr>
            <w:tcW w:w="0" w:type="dxa"/>
            <w:vAlign w:val="bottom"/>
          </w:tcPr>
          <w:p>
            <w:pPr>
              <w:spacing w:after="0"/>
              <w:rPr>
                <w:sz w:val="1"/>
                <w:szCs w:val="1"/>
                <w:color w:val="auto"/>
              </w:rPr>
            </w:pPr>
          </w:p>
        </w:tc>
      </w:tr>
      <w:tr>
        <w:trPr>
          <w:trHeight w:val="80"/>
        </w:trPr>
        <w:tc>
          <w:tcPr>
            <w:tcW w:w="2680" w:type="dxa"/>
            <w:vAlign w:val="bottom"/>
            <w:vMerge w:val="restart"/>
          </w:tcPr>
          <w:p>
            <w:pPr>
              <w:ind w:left="20"/>
              <w:spacing w:after="0"/>
              <w:rPr>
                <w:sz w:val="20"/>
                <w:szCs w:val="20"/>
                <w:color w:val="auto"/>
              </w:rPr>
            </w:pPr>
            <w:r>
              <w:rPr>
                <w:rFonts w:ascii="Arial" w:cs="Arial" w:eastAsia="Arial" w:hAnsi="Arial"/>
                <w:sz w:val="16"/>
                <w:szCs w:val="16"/>
                <w:color w:val="auto"/>
              </w:rPr>
              <w:t>Officer (6)</w:t>
            </w: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6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26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385,035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474,597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264,000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4,879,503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247,826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12,887</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6,263,848</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base salary amounts represent the amount earned during Fiscal 2022 and Fiscal 2021.</w:t>
      </w:r>
    </w:p>
    <w:p>
      <w:pPr>
        <w:spacing w:after="0" w:line="30" w:lineRule="exact"/>
        <w:rPr>
          <w:rFonts w:ascii="Arial" w:cs="Arial" w:eastAsia="Arial" w:hAnsi="Arial"/>
          <w:sz w:val="16"/>
          <w:szCs w:val="16"/>
          <w:color w:val="auto"/>
        </w:rPr>
      </w:pPr>
    </w:p>
    <w:p>
      <w:pPr>
        <w:ind w:left="260" w:hanging="252"/>
        <w:spacing w:after="0" w:line="234"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2022 amounts reported represent a discretionary bonus payment to Ms. Abruscato. See "Bonus" below.</w:t>
      </w:r>
    </w:p>
    <w:p>
      <w:pPr>
        <w:ind w:right="100" w:firstLine="8"/>
        <w:spacing w:after="0" w:line="235" w:lineRule="auto"/>
        <w:tabs>
          <w:tab w:leader="none" w:pos="2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2022 amounts reported represent restricted stock awards ("RSAs") granted on December 23, 2022 to executive officers in recognition of their work and accomplishments in 2022. See "Restricted Stock Awards" below. The 2021 amounts reported represent the aggregate grant date fair value of restricted stock units granted on October 21, 2021 in connection with the IPO under the 2021 Plan. See description under "IPO Equity Awards" below. The fair values were computed in accordance with ASC Topic 718, excluding the effect of estimated forfeitures. See Note 13. Equity-Based Compensation to our consolidated financial statements.</w:t>
      </w:r>
    </w:p>
    <w:p>
      <w:pPr>
        <w:spacing w:after="0" w:line="3" w:lineRule="exact"/>
        <w:rPr>
          <w:rFonts w:ascii="Arial" w:cs="Arial" w:eastAsia="Arial" w:hAnsi="Arial"/>
          <w:sz w:val="16"/>
          <w:szCs w:val="16"/>
          <w:color w:val="auto"/>
        </w:rPr>
      </w:pPr>
    </w:p>
    <w:p>
      <w:pPr>
        <w:ind w:right="140" w:firstLine="8"/>
        <w:spacing w:after="0" w:line="237" w:lineRule="auto"/>
        <w:tabs>
          <w:tab w:leader="none" w:pos="243"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Ms. Abruscato, the 2022 amounts reported reflect the incremental fair value of the option awards that were modified and remain outstanding in connection with Ms. Abruscato’s retirement. See “Equity Compensation” below for additional information.The 2021 amounts reported represent the (1) aggregate grant date fair value of the performance-based option awards granted on October 21, 2021 in connection with the IPO under the 2021 Plan as described under "IPO Equity Awards" below, determined using a Monte-Carlo simulation model, and (2) the incremental fair value of modified performance options from the 2014 Plan as described under “Equity Compensation” below. The fair values were computed in accordance with ASC Topic 718, excluding the effect of forfeitures. See Note 13. Equity-Based Compensation to our consolidated financial statements.</w:t>
      </w:r>
    </w:p>
    <w:p>
      <w:pPr>
        <w:spacing w:after="0" w:line="3" w:lineRule="exact"/>
        <w:rPr>
          <w:rFonts w:ascii="Arial" w:cs="Arial" w:eastAsia="Arial" w:hAnsi="Arial"/>
          <w:sz w:val="16"/>
          <w:szCs w:val="16"/>
          <w:color w:val="auto"/>
        </w:rPr>
      </w:pPr>
    </w:p>
    <w:p>
      <w:pPr>
        <w:ind w:left="260" w:hanging="252"/>
        <w:spacing w:after="0" w:line="228"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performance-based amounts earned in Fiscal 2022 and Fiscal 2021 described under "Nonequity Incentive Plan Pay" below.</w:t>
      </w: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Ms. Abruscato ceased to be an executive officer of the Company as of October 31, 2022.</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Payments to our NEOs included in the “All other compensation” column include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Commuter</w:t>
            </w:r>
          </w:p>
        </w:tc>
        <w:tc>
          <w:tcPr>
            <w:tcW w:w="140" w:type="dxa"/>
            <w:vAlign w:val="bottom"/>
          </w:tcPr>
          <w:p>
            <w:pPr>
              <w:spacing w:after="0"/>
              <w:rPr>
                <w:sz w:val="15"/>
                <w:szCs w:val="1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Cell phone</w:t>
            </w: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Employee Share</w:t>
            </w:r>
          </w:p>
        </w:tc>
        <w:tc>
          <w:tcPr>
            <w:tcW w:w="200" w:type="dxa"/>
            <w:vAlign w:val="bottom"/>
          </w:tcPr>
          <w:p>
            <w:pPr>
              <w:spacing w:after="0"/>
              <w:rPr>
                <w:sz w:val="15"/>
                <w:szCs w:val="15"/>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Health</w:t>
            </w:r>
          </w:p>
        </w:tc>
        <w:tc>
          <w:tcPr>
            <w:tcW w:w="20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Personal</w:t>
            </w: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401(k) match</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220"/>
              <w:spacing w:after="0"/>
              <w:rPr>
                <w:sz w:val="20"/>
                <w:szCs w:val="20"/>
                <w:color w:val="auto"/>
              </w:rPr>
            </w:pPr>
            <w:r>
              <w:rPr>
                <w:rFonts w:ascii="Arial" w:cs="Arial" w:eastAsia="Arial" w:hAnsi="Arial"/>
                <w:sz w:val="15"/>
                <w:szCs w:val="15"/>
                <w:b w:val="1"/>
                <w:bCs w:val="1"/>
                <w:color w:val="auto"/>
              </w:rPr>
              <w:t>Year</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Purchase Plan</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Financial</w:t>
            </w:r>
          </w:p>
        </w:tc>
        <w:tc>
          <w:tcPr>
            <w:tcW w:w="114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DBDBDB"/>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BDBDB"/>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benefits ($)</w:t>
            </w:r>
          </w:p>
        </w:tc>
        <w:tc>
          <w:tcPr>
            <w:tcW w:w="80" w:type="dxa"/>
            <w:vAlign w:val="bottom"/>
            <w:tcBorders>
              <w:bottom w:val="single" w:sz="8" w:color="DBDBDB"/>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stipend ($)</w:t>
            </w:r>
          </w:p>
        </w:tc>
        <w:tc>
          <w:tcPr>
            <w:tcW w:w="80" w:type="dxa"/>
            <w:vAlign w:val="bottom"/>
            <w:tcBorders>
              <w:bottom w:val="single" w:sz="8" w:color="DBDBDB"/>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Insurance ($)</w:t>
            </w:r>
          </w:p>
        </w:tc>
        <w:tc>
          <w:tcPr>
            <w:tcW w:w="80" w:type="dxa"/>
            <w:vAlign w:val="bottom"/>
            <w:tcBorders>
              <w:bottom w:val="single" w:sz="8" w:color="DBDBDB"/>
            </w:tcBorders>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Management ($)</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8"/>
                <w:szCs w:val="18"/>
                <w:color w:val="auto"/>
              </w:rPr>
            </w:pP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51"/>
        </w:trPr>
        <w:tc>
          <w:tcPr>
            <w:tcW w:w="21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Michael Osanloo</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6,945</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720</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2,667</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27,943</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jc w:val="right"/>
              <w:ind w:right="4"/>
              <w:spacing w:after="0"/>
              <w:rPr>
                <w:sz w:val="20"/>
                <w:szCs w:val="20"/>
                <w:color w:val="auto"/>
              </w:rPr>
            </w:pPr>
            <w:r>
              <w:rPr>
                <w:rFonts w:ascii="Arial" w:cs="Arial" w:eastAsia="Arial" w:hAnsi="Arial"/>
                <w:sz w:val="16"/>
                <w:szCs w:val="16"/>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10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2,429</w:t>
            </w:r>
          </w:p>
        </w:tc>
        <w:tc>
          <w:tcPr>
            <w:tcW w:w="100" w:type="dxa"/>
            <w:vAlign w:val="bottom"/>
            <w:shd w:val="clear" w:color="auto" w:fill="DBDBDB"/>
          </w:tcPr>
          <w:p>
            <w:pPr>
              <w:spacing w:after="0"/>
              <w:rPr>
                <w:sz w:val="21"/>
                <w:szCs w:val="21"/>
                <w:color w:val="auto"/>
              </w:rPr>
            </w:pPr>
          </w:p>
        </w:tc>
        <w:tc>
          <w:tcPr>
            <w:tcW w:w="9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   53,704</w:t>
            </w:r>
          </w:p>
        </w:tc>
        <w:tc>
          <w:tcPr>
            <w:tcW w:w="0" w:type="dxa"/>
            <w:vAlign w:val="bottom"/>
          </w:tcPr>
          <w:p>
            <w:pPr>
              <w:spacing w:after="0"/>
              <w:rPr>
                <w:sz w:val="1"/>
                <w:szCs w:val="1"/>
                <w:color w:val="auto"/>
              </w:rPr>
            </w:pPr>
          </w:p>
        </w:tc>
      </w:tr>
      <w:tr>
        <w:trPr>
          <w:trHeight w:val="295"/>
        </w:trPr>
        <w:tc>
          <w:tcPr>
            <w:tcW w:w="2140" w:type="dxa"/>
            <w:vAlign w:val="bottom"/>
            <w:gridSpan w:val="2"/>
          </w:tcPr>
          <w:p>
            <w:pPr>
              <w:ind w:left="20"/>
              <w:spacing w:after="0"/>
              <w:rPr>
                <w:sz w:val="20"/>
                <w:szCs w:val="20"/>
                <w:color w:val="auto"/>
              </w:rPr>
            </w:pPr>
            <w:r>
              <w:rPr>
                <w:rFonts w:ascii="Arial" w:cs="Arial" w:eastAsia="Arial" w:hAnsi="Arial"/>
                <w:sz w:val="16"/>
                <w:szCs w:val="16"/>
                <w:color w:val="auto"/>
              </w:rPr>
              <w:t>Michelle Hook</w:t>
            </w:r>
          </w:p>
        </w:tc>
        <w:tc>
          <w:tcPr>
            <w:tcW w:w="94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27,832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42,505</w:t>
            </w:r>
          </w:p>
        </w:tc>
        <w:tc>
          <w:tcPr>
            <w:tcW w:w="0" w:type="dxa"/>
            <w:vAlign w:val="bottom"/>
          </w:tcPr>
          <w:p>
            <w:pPr>
              <w:spacing w:after="0"/>
              <w:rPr>
                <w:sz w:val="1"/>
                <w:szCs w:val="1"/>
                <w:color w:val="auto"/>
              </w:rPr>
            </w:pPr>
          </w:p>
        </w:tc>
      </w:tr>
      <w:tr>
        <w:trPr>
          <w:trHeight w:val="69"/>
        </w:trPr>
        <w:tc>
          <w:tcPr>
            <w:tcW w:w="2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1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Derrick Pratt</w:t>
            </w: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2022</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8,590</w:t>
            </w:r>
          </w:p>
        </w:tc>
        <w:tc>
          <w:tcPr>
            <w:tcW w:w="8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90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720</w:t>
            </w: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86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19,333</w:t>
            </w:r>
          </w:p>
        </w:tc>
        <w:tc>
          <w:tcPr>
            <w:tcW w:w="80" w:type="dxa"/>
            <w:vAlign w:val="bottom"/>
            <w:shd w:val="clear" w:color="auto" w:fill="DBDBDB"/>
          </w:tcPr>
          <w:p>
            <w:pPr>
              <w:spacing w:after="0"/>
              <w:rPr>
                <w:sz w:val="21"/>
                <w:szCs w:val="21"/>
                <w:color w:val="auto"/>
              </w:rPr>
            </w:pPr>
          </w:p>
        </w:tc>
        <w:tc>
          <w:tcPr>
            <w:tcW w:w="200" w:type="dxa"/>
            <w:vAlign w:val="bottom"/>
            <w:shd w:val="clear" w:color="auto" w:fill="DBDBDB"/>
          </w:tcPr>
          <w:p>
            <w:pPr>
              <w:spacing w:after="0"/>
              <w:rPr>
                <w:sz w:val="21"/>
                <w:szCs w:val="21"/>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21"/>
                <w:szCs w:val="21"/>
                <w:color w:val="auto"/>
              </w:rPr>
            </w:pPr>
          </w:p>
        </w:tc>
        <w:tc>
          <w:tcPr>
            <w:tcW w:w="8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28,934</w:t>
            </w:r>
          </w:p>
        </w:tc>
        <w:tc>
          <w:tcPr>
            <w:tcW w:w="0" w:type="dxa"/>
            <w:vAlign w:val="bottom"/>
          </w:tcPr>
          <w:p>
            <w:pPr>
              <w:spacing w:after="0"/>
              <w:rPr>
                <w:sz w:val="1"/>
                <w:szCs w:val="1"/>
                <w:color w:val="auto"/>
              </w:rPr>
            </w:pPr>
          </w:p>
        </w:tc>
      </w:tr>
      <w:tr>
        <w:trPr>
          <w:trHeight w:val="282"/>
        </w:trPr>
        <w:tc>
          <w:tcPr>
            <w:tcW w:w="2140" w:type="dxa"/>
            <w:vAlign w:val="bottom"/>
            <w:gridSpan w:val="2"/>
          </w:tcPr>
          <w:p>
            <w:pPr>
              <w:ind w:left="20"/>
              <w:spacing w:after="0"/>
              <w:rPr>
                <w:sz w:val="20"/>
                <w:szCs w:val="20"/>
                <w:color w:val="auto"/>
              </w:rPr>
            </w:pPr>
            <w:r>
              <w:rPr>
                <w:rFonts w:ascii="Arial" w:cs="Arial" w:eastAsia="Arial" w:hAnsi="Arial"/>
                <w:sz w:val="16"/>
                <w:szCs w:val="16"/>
                <w:color w:val="auto"/>
              </w:rPr>
              <w:t>Sherri Abruscato</w:t>
            </w:r>
          </w:p>
        </w:tc>
        <w:tc>
          <w:tcPr>
            <w:tcW w:w="940" w:type="dxa"/>
            <w:vAlign w:val="bottom"/>
          </w:tcPr>
          <w:p>
            <w:pPr>
              <w:jc w:val="right"/>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8,144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Compensation Overview</w:t>
      </w:r>
    </w:p>
    <w:p>
      <w:pPr>
        <w:spacing w:after="0" w:line="2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Portillo’s total rewards philosophy seeks to provide executive officers with a total compensation package that is competitive with the larger industry in which we operate and compete for talent, with total compensation that rewards executive officers for individual performance and company results. In Fiscal 2022, we primarily compensated our NEOs through a combination of base salary and restricted stock awards. Generally, we may grant equity awards to our executive officers upon hire or promotion. Our NEOs are also entitled to certain other benefits, subject to their enrollment, including a 401(k) plan with matching contributions, deferral of compensation through the Executive Nonqualified Excess Plan as described under “Executive Nonqualified Excess Plan” below, access to certain investment advice and tax return preparation through Ayco Personal Financial Management as described under “Other Benefits and Perquisites,” and medical, dental, vision, life, accidental death and dismemberment, short-term disability and long-term disability insurance.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Elements of Compensation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Base Salary</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pay base salaries to provide executive officers with a secure, fixed base of cash compensation in recognition of individual responsibilities and job performance. Current salaries are based on market conditions and experience of the executive. Annual salary increases are based on personal performance and accomplishments, with discretion for final approval residing with the Compensation Committee. As of December 25, 2022, the base salaries for our NEOs were as follows: Mr. Osanloo: $827,502; Ms. Hook: $442,000; Mr. Pratt: $451,140; and Ms. Abruscato: $398,845.</w:t>
      </w:r>
    </w:p>
    <w:p>
      <w:pPr>
        <w:spacing w:after="0" w:line="2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consider annual merit-based salary increases based on a comparative analysis of base salaries for similar positions among the market data set provided by our independent compensation consultant and upon approval from the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Bonus</w:t>
      </w:r>
    </w:p>
    <w:p>
      <w:pPr>
        <w:spacing w:after="0" w:line="25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Fiscal 2022, we awarded Ms. Abruscato a cash bonus of 50% of her target performance-based annual cash incentive award, pro-rated through her retirement date in recognition of her work and accomplishments in 2022.</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connection with our initial public offering in October 2021 ("IPO"), each option holder received a cash bonus in respect of his or her options (whether vested or unvested). The bonus amounts included for NEOs for Fiscal 2021 represent this payment.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Nonequity Incentive Plan Pay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Fiscal 2022, there were no performance-based annual cash incentives awarded.</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previously awarded performance-based annual cash incentive opportunities to each of our NEOs under the Executive Discretionary Bonus Plan (the “Executive Bonus Program”), which is a key component of our total rewards philosophy. The Executive Bonus Program was designed to motivate and drive executive officers to achieve company results by linking performance-based annual cash incentives, up to a pre-established maximum amount, to the achievement of specified performance targets. We believe that the executive discretionary bonus plan encourages, reinforces and rewards delivery of shareholder value by linking annual cash awards with the achievement of quantifiable performance measures.</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Fiscal 2021, performance under the Executive Bonus Program, payable in March 2022, was measured based on the Company’s growth in Adjusted EBITDA. The target payment amounts for our NEOs were as follows: 100% of base salary for Mr. Osanloo, 50% of base salary for Ms. Hook and 50% of base salary for Ms. Abruscato. Ms. Hook's cash incentive was prorated based on her adjustments in base salary. Based on an internal adjusted EBITDA 10% growth target set at the beginning of Fiscal 2021, the Company exceeded its plan. The Compensation Committee approved a 128% calculated cash incentive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Equity Compensation</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long-term equity-based compensation provides direct alignment between the interest of our executives and shareholders and helps to ensure long-term retention of key executive talent. To balance incentives to achieve both short-term and long-term success, upon hire or promotion our executive officers receive equity award grants. Prior to the IPO, equity was awarded under the 2014 Equity Incentive Plan (the "2014 Plan"), and following the IPO, equity awards are made under our 2021 Equity Incentive Plan (the "2021 Plan"), which is further described below. Prior to the IPO, we awarded unit option grants that were equally divided between (i) options subject to time-based vesting, and (ii) options subject to both time-based and performance-based vesting. The time-based vesting options vest in general, in equal annual installments over a 5-year period and have a ten-year term from the date of the grant. The options subject to both time-based and performance-based vesting have a ten-year term from the date of the grant and vest, in general, in equal annual installments over a 5-year period from the date of grant, subject to acceleration in the event of a sale transaction, and have a performance condition that is satisfied upon achievement of a specified internal rate of return and a minimum multiple of invested capital. In connection with the IPO, the performance condition was waived and all such options became subject to time-based vesting. As a result of the waiver and resultant modification, we recognized non-cash compensation expense for our NEOs. As further described below, all outstanding awards under the 2014 Plan were assumed by the 2021 Plan in connection with the IPO and no further awards will be granted under such plan.</w:t>
      </w:r>
    </w:p>
    <w:p>
      <w:pPr>
        <w:spacing w:after="0" w:line="21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connection with the IPO, each option under the 2014 Plan that was outstanding, whether vested or unvested at such time, was substituted for an option to purchase a number of shares of Class A common stock. Each option holder received a payment in respect of his or her options (whether vested or unvested), as described above under "Bonus". Following the IPO, no further options will be granted under the 2014 Plan.</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connection with Ms. Abruscato’s retirement, among other things, the Board determined that the options previously granted to Ms. Abruscato under the 2014 Plan will remain outstanding and exercisable in accordance with their terms until December 10, 2024. See the “Option Awards” column of the "Summary Compensation Table” above for the incremental fair value of the modification to permit the award to remain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IPO Equity Awards</w:t>
      </w:r>
    </w:p>
    <w:p>
      <w:pPr>
        <w:spacing w:after="0" w:line="252" w:lineRule="exact"/>
        <w:rPr>
          <w:sz w:val="20"/>
          <w:szCs w:val="20"/>
          <w:color w:val="auto"/>
        </w:rPr>
      </w:pPr>
    </w:p>
    <w:p>
      <w:pPr>
        <w:jc w:val="both"/>
        <w:ind w:right="380"/>
        <w:spacing w:after="0" w:line="287" w:lineRule="auto"/>
        <w:rPr>
          <w:sz w:val="20"/>
          <w:szCs w:val="20"/>
          <w:color w:val="auto"/>
        </w:rPr>
      </w:pPr>
      <w:r>
        <w:rPr>
          <w:rFonts w:ascii="Arial" w:cs="Arial" w:eastAsia="Arial" w:hAnsi="Arial"/>
          <w:sz w:val="18"/>
          <w:szCs w:val="18"/>
          <w:color w:val="auto"/>
        </w:rPr>
        <w:t>In connection with the IPO, we granted 882,875 RSUs under the 2021 Plan to certain employees and directors, including our NEOs. The RSUs will vest one-third (1/3rd) on each of the first three (3) anniversaries of the date of grant subject to continued service on such date.</w:t>
      </w:r>
    </w:p>
    <w:p>
      <w:pPr>
        <w:spacing w:after="0" w:line="18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connection with the IPO, we granted 1,794,195 performance-based stock options to purchase an equal number of shares of our Class A common stock (“Options”) under the 2021 Plan to certain executives officers. The Options have an exercise price equal to the IPO price of $20.00. The Options will be eligible to vest in three (3) tranches based on stock performance conditions, as described in Note 13. Equity-Based Compensation to our consolidated financial statements.</w:t>
      </w:r>
    </w:p>
    <w:p>
      <w:pPr>
        <w:spacing w:after="0" w:line="20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See the “Outstanding Equity Awards at Fiscal Year End” table below for more detail about awards granted in connection with the IPO in October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Restricted Stock Awards</w:t>
      </w:r>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23, 2022, the Company granted 57,870 RSAs to certain of its executive officers in recognition of their work and accomplishments in 2022. The RSAs vested immediately upon grant with certain transfer restrictions. RSAs surrendered to fulfill withholding tax obligation were not subject to any transfer restrictions, and 50% of the balance of the underlying shares were subject to a one-year holding requirement, and the other 50% of the balance of underlying shares was subject to a two-year holding requirement. The fair value of the RSAs surrendered was determined using Portillo's closing stock price on the date of grant, which was $17.19. The fair value of the awards with post-vesting restrictions was determined using the Black-Scholes option pricing model. With respect to our NEOs, the number of shares subject to such awards was determined by dividing $413,751 (in the case of Mr. Osanloo), $110,500 (in the case of Ms. Hook) and $112,785 (in the case of Mr. Pratt) by the $17.19 closing stock price on December 23, 2022 (rounded down to the nearest whole share).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2021 Equity Incentive Plan</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IPO, we adopted a new equity incentive plan, the 2021 Plan. The 2021 Plan provides flexibility to motivate, attract and retain our employees, officers, directors, and other service providers who are expected to make significant contributions to our success and allow participants to share in such success. The purpose of the 2021 Plan is to align the interests of eligible participants with our shareholders by providing incentive compensation tied to the Company’s performance. The intent of the 2021 Plan is to advance the Company’s interests and increase shareholder value by attracting, retaining and motivating key personnel upon whose judgment, initiative and effort the successful conduct of our business is largely dependent.</w:t>
      </w:r>
    </w:p>
    <w:p>
      <w:pPr>
        <w:spacing w:after="0" w:line="20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Under the 2021 Plan, we may grant stock options (both incentive and non-qualified), stock appreciation rights ("SARs"), restricted stock awards, RSUs and stock-based awards to our employees, officers, non-employee directors or any natural person who is a consultant or other personal service provider to the Company or any of its subsidiaries or affiliates. All awards granted to participants under the 2021 Plan are represented by an award agreement.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23, 2023, approximately 4.5 million shares of Class A common stock are available for awards under the 2021 Plan.</w:t>
      </w:r>
    </w:p>
    <w:p>
      <w:pPr>
        <w:spacing w:after="0" w:line="25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share reserve will be reduced by one share for each share subject to an award, other than shares issued pursuant to options granted under the 2014 Plan. If any award granted under the 2021 Plan (excluding, for the avoidance of doubt, any options granted under the 2014 Plan that are assumed under the 2021 Plan) is canceled, expired, forfeited, or surrendered without consideration or otherwise terminated without delivery of the shares to the participant, then such unissued shares will be returned to the 2021 Plan and be available for future awards under the 2021 Plan.</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shares that are withheld from any award in payment of the exercise, base or purchase price or taxes related to such an award, not issued or delivered as a result of the net settlement of any award, or repurchased by the company on the open market with the proceeds of a stock option will be deemed to have been delivered under the Plan and will not be returned to the 2021 Plan nor be available for future awards under the 2021 Plan. The payment of dividend equivalents in cash in conjunction with any outstanding award shall not count against the share reserve.</w:t>
      </w:r>
    </w:p>
    <w:p>
      <w:pPr>
        <w:spacing w:after="0" w:line="2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2021 Plan is currently administered by our Compensation Committee, which solely consists of independent directors under applicable Nasdaq rules, as appointed by the Board from time to time. Equity awards granted under the 2021 Plan to our directors and officers who are subject to Rule 16b-3 promulgated under the Exchange Act may be granted by the full Board or by a sub-committee of two or more “non-employee directors” as defined under such Rule as delegated by the Compensation Committee in order to ensure their exemption under Rule 16b-3, as permitted under the 2021 Plan and under applicable law.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Executive Nonqualified Excess Plan</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Portillo’s approved the Executive Nonqualified Excess Plan in February 2016 to provide a means by which certain management employees may elect to defer receipt of current compensation to provide for retirement. This plan is an unfunded nonqualified deferred compensation plan, in compliance with Section 409A of the Internal Revenue Code. This plan includes certain Qualifying Distribution Events, including separation from service and change in control provisions, with payment in accordance with the elections made by the participant. A participant is fully vested in the portion of his or her deferred amounts and the income, gains and losses attributable thereto. In Fiscal 2022, Ms. Abruscato took advantage of this perquisite. In connection with Ms. Abruscato's retirement, Ms. Abruscato received a partial distribution.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Personal Financial Management</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Certain management employees of the Company have access to Ayco Personal Financial Management to provide certain investment advice and services as well as tax return preparation. In Fiscal 2022, Mr. Osanloo and Ms. Hook took advantage of the personal financial management perquisite.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Employee Stock Purchase Plan</w:t>
      </w:r>
    </w:p>
    <w:p>
      <w:pPr>
        <w:spacing w:after="0" w:line="25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Company maintains the Employee Stock Purchase Plan (the “ESPP”), adopted in June 2022, to provide employees, including our named executive officers, with an opportunity to purchase shares of the Company’s common stock through payroll deductions at a 15% discount from the market price, subject to Company discretion.</w:t>
      </w:r>
    </w:p>
    <w:p>
      <w:pPr>
        <w:spacing w:after="0" w:line="19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ESPP is a non-qualified plan under Section 423 of the Internal Revenue Code. The Compensation Committee believes the ESPP is an attractive benefit that assists the Company in retaining key employees, securing new qualified employees and providing incentives for employees to work towards achieving the Company’s key objectives because it gives employees access to the Company’s equity at a discounted price. In Fiscal 2022, Mr. Osanloo, Ms. Hook and Mr. Pratt took advantage of the ESPP.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Other Benefits and Perquisites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NEOs participate in the same 401(k) retirement plan as the rest of our team members.</w:t>
      </w:r>
    </w:p>
    <w:p>
      <w:pPr>
        <w:spacing w:after="0" w:line="252"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Our NEOs participate in the same medical benefit plans generally available to our management team members. These benefit plans include health insurance, dental and vision coverage, life insurance and disability coverage. The NEOs receive the same coverage as the rest of our management team members, as well as full coverage of the premium-equivalent. The NEOs also may elect to participate in our medical and dependent care flexible spending plan, on the same terms and conditions as other team members.</w:t>
      </w:r>
    </w:p>
    <w:p>
      <w:pPr>
        <w:spacing w:after="0" w:line="20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also provide for limited perquisites such as automobiles to the extent that an executive’s job requires the use of a vehicle, and a stipend for cell phone usage. In addition, we make available to our employees, including the NEOs, the ability to dine at our restaurants a limited number of times each year for free or at a discount.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414042"/>
        </w:rPr>
        <w:t>Employment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terms of the employment arrangements that we have with Mr. Osanloo, Ms. Hook and Mr. Pratt.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generally does not have any other employment agreements or change in control agreements for its executive officers.</w:t>
      </w:r>
    </w:p>
    <w:p>
      <w:pPr>
        <w:spacing w:after="0" w:line="2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Michael Osanloo - </w:t>
      </w:r>
      <w:r>
        <w:rPr>
          <w:rFonts w:ascii="Arial" w:cs="Arial" w:eastAsia="Arial" w:hAnsi="Arial"/>
          <w:sz w:val="18"/>
          <w:szCs w:val="18"/>
          <w:color w:val="auto"/>
        </w:rPr>
        <w:t>The Company entered into an employment agreement with Michael Osanloo (the “Osanloo Employment Agreement”)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3, 2018, upon his joining the Company. The Osanloo Employment Agreement provides for a 3-year initial term and renews year-to-year thereafter. The Osanloo Employment Agreement further provides for a base salary of $750,000 as well as annual incentive cash compensation with an annual target equal to 100% of base salary, up to a maximum of 150% (subsequently increased to 200%) of base salary, a signing bonus of $200,000 which was paid within 30 days of Mr. Osanloo’s start date and an award of 15,000,000 options granted under the 2014 Plan, split equally between options that are subject to time-vesting and time-vesting and performance-vesting. Mr. Osanloo was also provided the opportunity to invest up to $1,500,000 for the purchase of LLC Units of the Company, at the then fair market value. In the event of termination by the Company without cause, by Mr. Osanloo for good reason or upon the Company’s non-renewal of the term, Mr. Osanloo is entitled to: (i) base salary continuation for 18 months, (ii) pro-rata annual cash bonus based on actual performance for the year of termination, and (iii) payment of COBRA premiums for a period of 18 months. In the event of termination due to death or disability, Mr. Osanloo or his legal representatives will be entitled to: (i) earned but unpaid annual bonus (if any), and (ii) pro-rata bonus annual cash bonus based on actual performance for the year of termination.</w:t>
      </w:r>
    </w:p>
    <w:p>
      <w:pPr>
        <w:spacing w:after="0" w:line="2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Michelle Hook - </w:t>
      </w:r>
      <w:r>
        <w:rPr>
          <w:rFonts w:ascii="Arial" w:cs="Arial" w:eastAsia="Arial" w:hAnsi="Arial"/>
          <w:sz w:val="18"/>
          <w:szCs w:val="18"/>
          <w:color w:val="auto"/>
        </w:rPr>
        <w:t>The Company entered into an offer letter with Ms. Hook (the “Hook Offer Letter”) on November 16, 2020. The Hook Offer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 provides for at-will employment. The Hook Offer Letter further provides for a base salary of $350,000, as well as annual incentive cash compensation with an annual target equal to 50% of base salary commencing in 2021. The Hook Offer Letter further provides that Ms. Hook is eligible to participate in the Company’s incentive equity plan. Pursuant to the Hook Offer Letter, Ms. Hook received a sign-on bonus of $115,000, which is subject to full or partial repayment upon certain terminations of employment prior to the second anniversary of the employment start date.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6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Derrick Pratt - </w:t>
      </w:r>
      <w:r>
        <w:rPr>
          <w:rFonts w:ascii="Arial" w:cs="Arial" w:eastAsia="Arial" w:hAnsi="Arial"/>
          <w:sz w:val="18"/>
          <w:szCs w:val="18"/>
          <w:color w:val="auto"/>
        </w:rPr>
        <w:t>The Company entered into an offer letter with Mr. Pratt (the “Pratt Offer Letter”) on August 10, 2020. The Pratt Offer Letter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for at-will employment. The Pratt Offer Letter further provides for a base salary of $400,000, as well as annual incentive cash compensation with an annual target equal to 50% of base salary commencing in 2021. The Pratt Offer Letter further provides that Mr. Pratt is eligible to participate in the Company’s incentive equity plan. Pursuant to the Pratt Offer Letter, Mr. Pratt received a sign-on bonus of $85,000 and a retention bonus of $ 150,000, both of which is subject to full or partial repayment upon certain terminations of employment prior to the second anniversary of the employment start date.</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 xml:space="preserve">Sherri Abruscato - </w:t>
      </w:r>
      <w:r>
        <w:rPr>
          <w:rFonts w:ascii="Arial" w:cs="Arial" w:eastAsia="Arial" w:hAnsi="Arial"/>
          <w:sz w:val="18"/>
          <w:szCs w:val="18"/>
          <w:color w:val="auto"/>
        </w:rPr>
        <w:t>The Company entered into an employment agreement with Ms. Abruscato (the “Abruscato Employment Agreement”)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1, 2014, when the original founder of the Company sold to Berkshire Partners LLC. The Abruscato Employment Agreement provided for a 3-year initial term and renewed year-to-year thereafter. The Abruscato Employment Agreement further provides for a base salary of $325,000 as well as annual incentive cash compensation with an annual target equal to 50% of base salary. The Abruscato Employment Agreement further provided that Ms. Abruscato would be eligible to participate in an incentive equity plan, upon adoption of such a plan and approval of the award by the Board. In the event of termination by the Company without cause, by Ms. Abruscato for good reason or upon the Company’s non-renewal of the term, Ms. Abruscato was entitled to base salary continuation for 12 months. In the event of termination due to death or disability, Ms. Abruscato or her legal representatives would have been entitled to any earned but unpaid annual bonus. Ms. Abruscato retired from her position as Chief Development and Supply Chain Officer on October 31, 2022.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OUTSTANDING EQUITY AWARDS AT FISCAL YEAR-END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outstanding equity awards held by our named executive officers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25, 2022:</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Option Awards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80"/>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incentive</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plan</w:t>
            </w:r>
          </w:p>
        </w:tc>
        <w:tc>
          <w:tcPr>
            <w:tcW w:w="100" w:type="dxa"/>
            <w:vAlign w:val="bottom"/>
          </w:tcPr>
          <w:p>
            <w:pPr>
              <w:spacing w:after="0"/>
              <w:rPr>
                <w:sz w:val="15"/>
                <w:szCs w:val="15"/>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rPr>
              <w:t>Equity</w:t>
            </w:r>
          </w:p>
        </w:tc>
      </w:t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incentive plan</w:t>
            </w:r>
          </w:p>
        </w:tc>
      </w:t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incentive</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5"/>
                <w:szCs w:val="15"/>
                <w:color w:val="auto"/>
              </w:rPr>
            </w:pP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rPr>
              <w:t>awards:</w:t>
            </w:r>
          </w:p>
        </w:tc>
      </w:tr>
      <w:tr>
        <w:trPr>
          <w:trHeight w:val="162"/>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plan awards: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unearned</w:t>
            </w:r>
          </w:p>
        </w:tc>
        <w:tc>
          <w:tcPr>
            <w:tcW w:w="100" w:type="dxa"/>
            <w:vAlign w:val="bottom"/>
          </w:tcPr>
          <w:p>
            <w:pPr>
              <w:spacing w:after="0"/>
              <w:rPr>
                <w:sz w:val="14"/>
                <w:szCs w:val="14"/>
                <w:color w:val="auto"/>
              </w:rPr>
            </w:pP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rPr>
              <w:t>Market or</w:t>
            </w:r>
          </w:p>
        </w:tc>
      </w:t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payout value</w:t>
            </w: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securities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Market value</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units or</w:t>
            </w:r>
          </w:p>
        </w:tc>
        <w:tc>
          <w:tcPr>
            <w:tcW w:w="100" w:type="dxa"/>
            <w:vAlign w:val="bottom"/>
          </w:tcPr>
          <w:p>
            <w:pPr>
              <w:spacing w:after="0"/>
              <w:rPr>
                <w:sz w:val="15"/>
                <w:szCs w:val="15"/>
                <w:color w:val="auto"/>
              </w:rPr>
            </w:pPr>
          </w:p>
        </w:tc>
        <w:tc>
          <w:tcPr>
            <w:tcW w:w="940" w:type="dxa"/>
            <w:vAlign w:val="bottom"/>
          </w:tcPr>
          <w:p>
            <w:pPr>
              <w:jc w:val="center"/>
              <w:ind w:right="42"/>
              <w:spacing w:after="0"/>
              <w:rPr>
                <w:sz w:val="20"/>
                <w:szCs w:val="20"/>
                <w:color w:val="auto"/>
              </w:rPr>
            </w:pPr>
            <w:r>
              <w:rPr>
                <w:rFonts w:ascii="Arial" w:cs="Arial" w:eastAsia="Arial" w:hAnsi="Arial"/>
                <w:sz w:val="14"/>
                <w:szCs w:val="14"/>
                <w:b w:val="1"/>
                <w:bCs w:val="1"/>
                <w:color w:val="auto"/>
              </w:rPr>
              <w:t>of unearned</w:t>
            </w:r>
          </w:p>
        </w:tc>
      </w:t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underlying</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 or</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 shares or</w:t>
            </w: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units,</w:t>
            </w:r>
          </w:p>
        </w:tc>
      </w:tr>
      <w:tr>
        <w:trPr>
          <w:trHeight w:val="175"/>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unexercised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unexercised</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units of stock</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units of stock</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rights that</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other rights</w:t>
            </w:r>
          </w:p>
        </w:tc>
      </w:tr>
      <w:tr>
        <w:trPr>
          <w:trHeight w:val="162"/>
        </w:trPr>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options (#)</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expiration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that have not</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that have not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have not</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that have not</w:t>
            </w:r>
          </w:p>
        </w:tc>
      </w:tr>
      <w:tr>
        <w:trPr>
          <w:trHeight w:val="219"/>
        </w:trPr>
        <w:tc>
          <w:tcPr>
            <w:tcW w:w="16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unexercisable</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options (#)(1)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price ($)</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($)(2)</w:t>
            </w:r>
          </w:p>
        </w:tc>
        <w:tc>
          <w:tcPr>
            <w:tcW w:w="100" w:type="dxa"/>
            <w:vAlign w:val="bottom"/>
          </w:tcPr>
          <w:p>
            <w:pPr>
              <w:spacing w:after="0"/>
              <w:rPr>
                <w:sz w:val="19"/>
                <w:szCs w:val="19"/>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vested ($)(3)</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vested ($)</w:t>
            </w:r>
          </w:p>
        </w:tc>
      </w:tr>
      <w:tr>
        <w:trPr>
          <w:trHeight w:val="262"/>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Michael Osanloo</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1,622,328</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405,582</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10/1/2028</w:t>
            </w:r>
          </w:p>
        </w:tc>
        <w:tc>
          <w:tcPr>
            <w:tcW w:w="1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51"/>
        </w:trPr>
        <w:tc>
          <w:tcPr>
            <w:tcW w:w="16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963,325</w:t>
            </w: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DBDBDB"/>
          </w:tcPr>
          <w:p>
            <w:pPr>
              <w:spacing w:after="0"/>
              <w:rPr>
                <w:sz w:val="21"/>
                <w:szCs w:val="2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10/21/2031</w:t>
            </w:r>
          </w:p>
        </w:tc>
        <w:tc>
          <w:tcPr>
            <w:tcW w:w="10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131,267</w:t>
            </w:r>
          </w:p>
        </w:tc>
        <w:tc>
          <w:tcPr>
            <w:tcW w:w="1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2,256,480</w:t>
            </w:r>
          </w:p>
        </w:tc>
        <w:tc>
          <w:tcPr>
            <w:tcW w:w="100" w:type="dxa"/>
            <w:vAlign w:val="bottom"/>
            <w:shd w:val="clear" w:color="auto" w:fill="DBDBDB"/>
          </w:tcPr>
          <w:p>
            <w:pPr>
              <w:spacing w:after="0"/>
              <w:rPr>
                <w:sz w:val="21"/>
                <w:szCs w:val="21"/>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1"/>
                <w:szCs w:val="21"/>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w:t>
            </w:r>
          </w:p>
        </w:tc>
      </w:tr>
      <w:tr>
        <w:trPr>
          <w:trHeight w:val="262"/>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Michelle Hook</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48,670</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73,004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3/2/2031</w:t>
            </w:r>
          </w:p>
        </w:tc>
        <w:tc>
          <w:tcPr>
            <w:tcW w:w="1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78"/>
        </w:trPr>
        <w:tc>
          <w:tcPr>
            <w:tcW w:w="16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263,852</w:t>
            </w:r>
          </w:p>
        </w:tc>
        <w:tc>
          <w:tcPr>
            <w:tcW w:w="10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DBDBDB"/>
          </w:tcPr>
          <w:p>
            <w:pPr>
              <w:spacing w:after="0"/>
              <w:rPr>
                <w:sz w:val="24"/>
                <w:szCs w:val="2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10/21/2031</w:t>
            </w:r>
          </w:p>
        </w:tc>
        <w:tc>
          <w:tcPr>
            <w:tcW w:w="10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9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859,500</w:t>
            </w:r>
          </w:p>
        </w:tc>
        <w:tc>
          <w:tcPr>
            <w:tcW w:w="100" w:type="dxa"/>
            <w:vAlign w:val="bottom"/>
            <w:shd w:val="clear" w:color="auto" w:fill="DBDBDB"/>
          </w:tcPr>
          <w:p>
            <w:pPr>
              <w:spacing w:after="0"/>
              <w:rPr>
                <w:sz w:val="24"/>
                <w:szCs w:val="24"/>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24"/>
                <w:szCs w:val="24"/>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8"/>
                <w:szCs w:val="18"/>
                <w:color w:val="auto"/>
              </w:rPr>
              <w:t>—</w:t>
            </w:r>
          </w:p>
        </w:tc>
      </w:tr>
      <w:tr>
        <w:trPr>
          <w:trHeight w:val="262"/>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Derrick Pratt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48,670</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73,004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9/14/2030</w:t>
            </w:r>
          </w:p>
        </w:tc>
        <w:tc>
          <w:tcPr>
            <w:tcW w:w="1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78"/>
        </w:trPr>
        <w:tc>
          <w:tcPr>
            <w:tcW w:w="16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DBDBDB"/>
          </w:tcPr>
          <w:p>
            <w:pPr>
              <w:jc w:val="right"/>
              <w:spacing w:after="0"/>
              <w:rPr>
                <w:sz w:val="20"/>
                <w:szCs w:val="20"/>
                <w:color w:val="auto"/>
              </w:rPr>
            </w:pPr>
            <w:r>
              <w:rPr>
                <w:rFonts w:ascii="Arial" w:cs="Arial" w:eastAsia="Arial" w:hAnsi="Arial"/>
                <w:sz w:val="16"/>
                <w:szCs w:val="16"/>
                <w:color w:val="auto"/>
              </w:rPr>
              <w:t>263,852</w:t>
            </w:r>
          </w:p>
        </w:tc>
        <w:tc>
          <w:tcPr>
            <w:tcW w:w="10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DBDBDB"/>
          </w:tcPr>
          <w:p>
            <w:pPr>
              <w:spacing w:after="0"/>
              <w:rPr>
                <w:sz w:val="24"/>
                <w:szCs w:val="2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10/21/2031</w:t>
            </w:r>
          </w:p>
        </w:tc>
        <w:tc>
          <w:tcPr>
            <w:tcW w:w="100" w:type="dxa"/>
            <w:vAlign w:val="bottom"/>
            <w:shd w:val="clear" w:color="auto" w:fill="DBDBDB"/>
          </w:tcPr>
          <w:p>
            <w:pPr>
              <w:spacing w:after="0"/>
              <w:rPr>
                <w:sz w:val="24"/>
                <w:szCs w:val="24"/>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41,677</w:t>
            </w:r>
          </w:p>
        </w:tc>
        <w:tc>
          <w:tcPr>
            <w:tcW w:w="10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94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716,428</w:t>
            </w:r>
          </w:p>
        </w:tc>
        <w:tc>
          <w:tcPr>
            <w:tcW w:w="100" w:type="dxa"/>
            <w:vAlign w:val="bottom"/>
            <w:shd w:val="clear" w:color="auto" w:fill="DBDBDB"/>
          </w:tcPr>
          <w:p>
            <w:pPr>
              <w:spacing w:after="0"/>
              <w:rPr>
                <w:sz w:val="24"/>
                <w:szCs w:val="24"/>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4"/>
                <w:szCs w:val="24"/>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w:t>
            </w:r>
          </w:p>
        </w:tc>
      </w:tr>
      <w:tr>
        <w:trPr>
          <w:trHeight w:val="224"/>
        </w:trPr>
        <w:tc>
          <w:tcPr>
            <w:tcW w:w="1740" w:type="dxa"/>
            <w:vAlign w:val="bottom"/>
            <w:gridSpan w:val="2"/>
          </w:tcPr>
          <w:p>
            <w:pPr>
              <w:ind w:left="20"/>
              <w:spacing w:after="0"/>
              <w:rPr>
                <w:sz w:val="20"/>
                <w:szCs w:val="20"/>
                <w:color w:val="auto"/>
              </w:rPr>
            </w:pPr>
            <w:r>
              <w:rPr>
                <w:rFonts w:ascii="Arial" w:cs="Arial" w:eastAsia="Arial" w:hAnsi="Arial"/>
                <w:sz w:val="18"/>
                <w:szCs w:val="18"/>
                <w:color w:val="auto"/>
              </w:rPr>
              <w:t>Sherri Abruscato</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4"/>
        </w:trPr>
        <w:tc>
          <w:tcPr>
            <w:tcW w:w="1640" w:type="dxa"/>
            <w:vAlign w:val="bottom"/>
          </w:tcPr>
          <w:p>
            <w:pPr>
              <w:ind w:lef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440,840</w:t>
            </w:r>
          </w:p>
        </w:tc>
        <w:tc>
          <w:tcPr>
            <w:tcW w:w="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12/10/2024</w:t>
            </w:r>
          </w:p>
        </w:tc>
        <w:tc>
          <w:tcPr>
            <w:tcW w:w="1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78"/>
        </w:trPr>
        <w:tc>
          <w:tcPr>
            <w:tcW w:w="16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9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55,105</w:t>
            </w:r>
          </w:p>
        </w:tc>
        <w:tc>
          <w:tcPr>
            <w:tcW w:w="80" w:type="dxa"/>
            <w:vAlign w:val="bottom"/>
            <w:shd w:val="clear" w:color="auto" w:fill="DBDBDB"/>
          </w:tcPr>
          <w:p>
            <w:pPr>
              <w:spacing w:after="0"/>
              <w:rPr>
                <w:sz w:val="24"/>
                <w:szCs w:val="2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08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24"/>
                <w:szCs w:val="24"/>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DBDBDB"/>
          </w:tcPr>
          <w:p>
            <w:pPr>
              <w:spacing w:after="0"/>
              <w:rPr>
                <w:sz w:val="24"/>
                <w:szCs w:val="24"/>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12/10/2024</w:t>
            </w:r>
          </w:p>
        </w:tc>
        <w:tc>
          <w:tcPr>
            <w:tcW w:w="100" w:type="dxa"/>
            <w:vAlign w:val="bottom"/>
            <w:shd w:val="clear" w:color="auto" w:fill="DBDBDB"/>
          </w:tcPr>
          <w:p>
            <w:pPr>
              <w:spacing w:after="0"/>
              <w:rPr>
                <w:sz w:val="24"/>
                <w:szCs w:val="24"/>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4"/>
                <w:szCs w:val="24"/>
                <w:color w:val="auto"/>
              </w:rPr>
            </w:pPr>
          </w:p>
        </w:tc>
        <w:tc>
          <w:tcPr>
            <w:tcW w:w="104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24"/>
                <w:szCs w:val="24"/>
                <w:color w:val="auto"/>
              </w:rPr>
            </w:pPr>
          </w:p>
        </w:tc>
        <w:tc>
          <w:tcPr>
            <w:tcW w:w="94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w:t>
            </w:r>
          </w:p>
        </w:tc>
      </w:tr>
    </w:tbl>
    <w:p>
      <w:pPr>
        <w:spacing w:after="0" w:line="67" w:lineRule="exact"/>
        <w:rPr>
          <w:sz w:val="20"/>
          <w:szCs w:val="20"/>
          <w:color w:val="auto"/>
        </w:rPr>
      </w:pPr>
    </w:p>
    <w:p>
      <w:pPr>
        <w:ind w:right="60" w:firstLine="8"/>
        <w:spacing w:after="0" w:line="265" w:lineRule="auto"/>
        <w:tabs>
          <w:tab w:leader="none" w:pos="243"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unvested performance-based stock options outstanding as of Fiscal 2022, awarded in connection with the IPO, subject to stock performance conditions. See "IPO Equity Awards" above.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unvested RSUs awarded in connection with the IPO. See “IPO Equity Awards” above.</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Value calculated based on $17.19, the closing stock price on December 23, 2022, the last trading day of Fiscal 2022.</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Reflects option awards that remain outstanding in connection with Ms. Abruscato’s retirement.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Potential Payments Upon Termination</w:t>
      </w:r>
    </w:p>
    <w:p>
      <w:pPr>
        <w:spacing w:after="0" w:line="26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employment agreements with Mr. Osanloo and Ms. Abruscato provide for certain potential payments upon termination. A description of these potential payments is included in the summaries of the Osanloo Employment Agreement and the Abruscato Employment Agreement in the Employment Arrangements section above. There are no arrangements pursuant to which payments are triggered upon a change in control.</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2021 Plan, to the extent that outstanding awards are not continued, assumed or substituted upon or following a change in control, the Compensation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other property or any combination of the foregoing.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Director Compensation</w:t>
      </w:r>
    </w:p>
    <w:p>
      <w:pPr>
        <w:spacing w:after="0" w:line="26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Prior to the IPO, our director compensation consisted of cash fees or option awards under the 2014 Plan, depending on each director’s individual compensation arrangement(s) as described in the footnotes to the table below, where applicable. In connection with the IPO, our directors received RSU awards and our Compensation Committee and Board also established a new non-employee director compensation program, as described below.</w:t>
      </w:r>
    </w:p>
    <w:p>
      <w:pPr>
        <w:spacing w:after="0" w:line="20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sets forth information concerning the compensation of our non-employee directors for Fiscal 2022. Any director who is an employee of the Company receives no additional compensation for services as a director or as a member of a committee of our Board. Compensation information for Mr. Osanloo is included under “Summary Compensation Table” above.</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Fees earned or paid</w:t>
            </w: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ind w:left="40"/>
              <w:spacing w:after="0"/>
              <w:rPr>
                <w:sz w:val="20"/>
                <w:szCs w:val="20"/>
                <w:color w:val="auto"/>
              </w:rPr>
            </w:pPr>
            <w:r>
              <w:rPr>
                <w:rFonts w:ascii="Arial" w:cs="Arial" w:eastAsia="Arial" w:hAnsi="Arial"/>
                <w:sz w:val="15"/>
                <w:szCs w:val="15"/>
                <w:b w:val="1"/>
                <w:bCs w:val="1"/>
                <w:color w:val="auto"/>
              </w:rPr>
              <w:t>All other compensation</w:t>
            </w:r>
          </w:p>
        </w:tc>
        <w:tc>
          <w:tcPr>
            <w:tcW w:w="900" w:type="dxa"/>
            <w:vAlign w:val="bottom"/>
          </w:tcPr>
          <w:p>
            <w:pPr>
              <w:spacing w:after="0"/>
              <w:rPr>
                <w:sz w:val="15"/>
                <w:szCs w:val="15"/>
                <w:color w:val="auto"/>
              </w:rPr>
            </w:pPr>
          </w:p>
        </w:tc>
      </w:tr>
      <w:tr>
        <w:trPr>
          <w:trHeight w:val="210"/>
        </w:trPr>
        <w:tc>
          <w:tcPr>
            <w:tcW w:w="2960" w:type="dxa"/>
            <w:vAlign w:val="bottom"/>
            <w:gridSpan w:val="2"/>
          </w:tcPr>
          <w:p>
            <w:pPr>
              <w:ind w:left="1220"/>
              <w:spacing w:after="0"/>
              <w:rPr>
                <w:sz w:val="20"/>
                <w:szCs w:val="20"/>
                <w:color w:val="auto"/>
              </w:rPr>
            </w:pPr>
            <w:r>
              <w:rPr>
                <w:rFonts w:ascii="Arial" w:cs="Arial" w:eastAsia="Arial" w:hAnsi="Arial"/>
                <w:sz w:val="15"/>
                <w:szCs w:val="15"/>
                <w:b w:val="1"/>
                <w:bCs w:val="1"/>
                <w:color w:val="auto"/>
              </w:rPr>
              <w:t>Name</w:t>
            </w: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rPr>
              <w:t>in cash ($)</w:t>
            </w:r>
          </w:p>
        </w:tc>
        <w:tc>
          <w:tcPr>
            <w:tcW w:w="2000" w:type="dxa"/>
            <w:vAlign w:val="bottom"/>
            <w:gridSpan w:val="4"/>
          </w:tcPr>
          <w:p>
            <w:pPr>
              <w:ind w:left="40"/>
              <w:spacing w:after="0"/>
              <w:rPr>
                <w:sz w:val="20"/>
                <w:szCs w:val="20"/>
                <w:color w:val="auto"/>
              </w:rPr>
            </w:pPr>
            <w:r>
              <w:rPr>
                <w:rFonts w:ascii="Arial" w:cs="Arial" w:eastAsia="Arial" w:hAnsi="Arial"/>
                <w:sz w:val="15"/>
                <w:szCs w:val="15"/>
                <w:b w:val="1"/>
                <w:bCs w:val="1"/>
                <w:color w:val="auto"/>
              </w:rPr>
              <w:t>Stock awards ($) (1) (2)</w:t>
            </w:r>
          </w:p>
        </w:tc>
        <w:tc>
          <w:tcPr>
            <w:tcW w:w="1640" w:type="dxa"/>
            <w:vAlign w:val="bottom"/>
            <w:gridSpan w:val="2"/>
          </w:tcPr>
          <w:p>
            <w:pPr>
              <w:ind w:left="60"/>
              <w:spacing w:after="0"/>
              <w:rPr>
                <w:sz w:val="20"/>
                <w:szCs w:val="20"/>
                <w:color w:val="auto"/>
              </w:rPr>
            </w:pPr>
            <w:r>
              <w:rPr>
                <w:rFonts w:ascii="Arial" w:cs="Arial" w:eastAsia="Arial" w:hAnsi="Arial"/>
                <w:sz w:val="15"/>
                <w:szCs w:val="15"/>
                <w:b w:val="1"/>
                <w:bCs w:val="1"/>
                <w:color w:val="auto"/>
              </w:rPr>
              <w:t>Option awards ($)</w:t>
            </w:r>
          </w:p>
        </w:tc>
        <w:tc>
          <w:tcPr>
            <w:tcW w:w="460" w:type="dxa"/>
            <w:vAlign w:val="bottom"/>
          </w:tcPr>
          <w:p>
            <w:pPr>
              <w:spacing w:after="0"/>
              <w:rPr>
                <w:sz w:val="18"/>
                <w:szCs w:val="18"/>
                <w:color w:val="auto"/>
              </w:rPr>
            </w:pPr>
          </w:p>
        </w:tc>
        <w:tc>
          <w:tcPr>
            <w:tcW w:w="1320" w:type="dxa"/>
            <w:vAlign w:val="bottom"/>
          </w:tcPr>
          <w:p>
            <w:pPr>
              <w:ind w:left="3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60"/>
              <w:spacing w:after="0"/>
              <w:rPr>
                <w:sz w:val="20"/>
                <w:szCs w:val="20"/>
                <w:color w:val="auto"/>
              </w:rPr>
            </w:pPr>
            <w:r>
              <w:rPr>
                <w:rFonts w:ascii="Arial" w:cs="Arial" w:eastAsia="Arial" w:hAnsi="Arial"/>
                <w:sz w:val="15"/>
                <w:szCs w:val="15"/>
                <w:b w:val="1"/>
                <w:bCs w:val="1"/>
                <w:color w:val="auto"/>
              </w:rPr>
              <w:t>Total ($)</w:t>
            </w:r>
          </w:p>
        </w:tc>
      </w:tr>
      <w:tr>
        <w:trPr>
          <w:trHeight w:val="25"/>
        </w:trPr>
        <w:tc>
          <w:tcPr>
            <w:tcW w:w="2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9"/>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Michael A. Miles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145,000</w:t>
            </w:r>
          </w:p>
        </w:tc>
        <w:tc>
          <w:tcPr>
            <w:tcW w:w="10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920"/>
              <w:spacing w:after="0"/>
              <w:rPr>
                <w:sz w:val="20"/>
                <w:szCs w:val="20"/>
                <w:color w:val="auto"/>
              </w:rPr>
            </w:pPr>
            <w:r>
              <w:rPr>
                <w:rFonts w:ascii="Arial" w:cs="Arial" w:eastAsia="Arial" w:hAnsi="Arial"/>
                <w:sz w:val="16"/>
                <w:szCs w:val="16"/>
                <w:color w:val="auto"/>
              </w:rPr>
              <w:t>—  $</w:t>
            </w:r>
          </w:p>
        </w:tc>
        <w:tc>
          <w:tcPr>
            <w:tcW w:w="164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58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145,000</w:t>
            </w:r>
          </w:p>
        </w:tc>
      </w:tr>
      <w:tr>
        <w:trPr>
          <w:trHeight w:val="251"/>
        </w:trPr>
        <w:tc>
          <w:tcPr>
            <w:tcW w:w="2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Ann Bordelon</w:t>
            </w:r>
          </w:p>
        </w:tc>
        <w:tc>
          <w:tcPr>
            <w:tcW w:w="24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40" w:type="dxa"/>
            <w:vAlign w:val="bottom"/>
            <w:gridSpan w:val="2"/>
            <w:shd w:val="clear" w:color="auto" w:fill="DBDBDB"/>
          </w:tcPr>
          <w:p>
            <w:pPr>
              <w:ind w:left="1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580" w:type="dxa"/>
            <w:vAlign w:val="bottom"/>
            <w:gridSpan w:val="3"/>
            <w:shd w:val="clear" w:color="auto" w:fill="DBDBDB"/>
          </w:tcPr>
          <w:p>
            <w:pPr>
              <w:ind w:left="1080"/>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100,000</w:t>
            </w:r>
          </w:p>
        </w:tc>
      </w:tr>
      <w:tr>
        <w:trPr>
          <w:trHeight w:val="235"/>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Noah Glass</w:t>
            </w:r>
          </w:p>
        </w:tc>
        <w:tc>
          <w:tcPr>
            <w:tcW w:w="2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58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251"/>
        </w:trPr>
        <w:tc>
          <w:tcPr>
            <w:tcW w:w="2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Paulette Dodson</w:t>
            </w:r>
          </w:p>
        </w:tc>
        <w:tc>
          <w:tcPr>
            <w:tcW w:w="240" w:type="dxa"/>
            <w:vAlign w:val="bottom"/>
            <w:shd w:val="clear" w:color="auto" w:fill="DBDBDB"/>
          </w:tcPr>
          <w:p>
            <w:pPr>
              <w:spacing w:after="0"/>
              <w:rPr>
                <w:sz w:val="21"/>
                <w:szCs w:val="21"/>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DBDBDB"/>
          </w:tcPr>
          <w:p>
            <w:pPr>
              <w:spacing w:after="0"/>
              <w:rPr>
                <w:sz w:val="21"/>
                <w:szCs w:val="21"/>
                <w:color w:val="auto"/>
              </w:rPr>
            </w:pPr>
          </w:p>
        </w:tc>
        <w:tc>
          <w:tcPr>
            <w:tcW w:w="60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160,000</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40" w:type="dxa"/>
            <w:vAlign w:val="bottom"/>
            <w:gridSpan w:val="2"/>
            <w:shd w:val="clear" w:color="auto" w:fill="DBDBDB"/>
          </w:tcPr>
          <w:p>
            <w:pPr>
              <w:ind w:left="1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580" w:type="dxa"/>
            <w:vAlign w:val="bottom"/>
            <w:gridSpan w:val="3"/>
            <w:shd w:val="clear" w:color="auto" w:fill="DBDBDB"/>
          </w:tcPr>
          <w:p>
            <w:pPr>
              <w:ind w:left="1080"/>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200,000</w:t>
            </w:r>
          </w:p>
        </w:tc>
      </w:tr>
      <w:tr>
        <w:trPr>
          <w:trHeight w:val="235"/>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Gerard J. Hart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80,000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64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58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80,000</w:t>
            </w:r>
          </w:p>
        </w:tc>
      </w:tr>
      <w:tr>
        <w:trPr>
          <w:trHeight w:val="251"/>
        </w:trPr>
        <w:tc>
          <w:tcPr>
            <w:tcW w:w="29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Joshua A. Lutzker</w:t>
            </w:r>
          </w:p>
        </w:tc>
        <w:tc>
          <w:tcPr>
            <w:tcW w:w="240" w:type="dxa"/>
            <w:vAlign w:val="bottom"/>
            <w:shd w:val="clear" w:color="auto" w:fill="DBDBDB"/>
          </w:tcPr>
          <w:p>
            <w:pPr>
              <w:spacing w:after="0"/>
              <w:rPr>
                <w:sz w:val="21"/>
                <w:szCs w:val="21"/>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DBDBDB"/>
          </w:tcPr>
          <w:p>
            <w:pPr>
              <w:spacing w:after="0"/>
              <w:rPr>
                <w:sz w:val="21"/>
                <w:szCs w:val="21"/>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210,000</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1640" w:type="dxa"/>
            <w:vAlign w:val="bottom"/>
            <w:gridSpan w:val="2"/>
            <w:shd w:val="clear" w:color="auto" w:fill="DBDBDB"/>
          </w:tcPr>
          <w:p>
            <w:pPr>
              <w:ind w:left="1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21"/>
                <w:szCs w:val="21"/>
                <w:color w:val="auto"/>
              </w:rPr>
            </w:pPr>
          </w:p>
        </w:tc>
        <w:tc>
          <w:tcPr>
            <w:tcW w:w="1580" w:type="dxa"/>
            <w:vAlign w:val="bottom"/>
            <w:gridSpan w:val="3"/>
            <w:shd w:val="clear" w:color="auto" w:fill="DBDBDB"/>
          </w:tcPr>
          <w:p>
            <w:pPr>
              <w:ind w:left="1080"/>
              <w:spacing w:after="0"/>
              <w:rPr>
                <w:sz w:val="20"/>
                <w:szCs w:val="20"/>
                <w:color w:val="auto"/>
              </w:rPr>
            </w:pPr>
            <w:r>
              <w:rPr>
                <w:rFonts w:ascii="Arial" w:cs="Arial" w:eastAsia="Arial" w:hAnsi="Arial"/>
                <w:sz w:val="16"/>
                <w:szCs w:val="16"/>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210,000</w:t>
            </w:r>
          </w:p>
        </w:tc>
      </w:tr>
      <w:tr>
        <w:trPr>
          <w:trHeight w:val="228"/>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Richard K. Lubin</w:t>
            </w: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ind w:left="1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80" w:type="dxa"/>
            <w:vAlign w:val="bottom"/>
            <w:gridSpan w:val="3"/>
          </w:tcPr>
          <w:p>
            <w:pPr>
              <w:ind w:left="10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200,000</w:t>
            </w:r>
          </w:p>
        </w:tc>
      </w:tr>
    </w:tbl>
    <w:p>
      <w:pPr>
        <w:spacing w:after="0" w:line="82" w:lineRule="exact"/>
        <w:rPr>
          <w:sz w:val="20"/>
          <w:szCs w:val="20"/>
          <w:color w:val="auto"/>
        </w:rPr>
      </w:pPr>
    </w:p>
    <w:p>
      <w:pPr>
        <w:ind w:right="80" w:firstLine="8"/>
        <w:spacing w:after="0" w:line="259" w:lineRule="auto"/>
        <w:tabs>
          <w:tab w:leader="none" w:pos="2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amounts represent restricted stock units granted on January 18, 2022, some of which will vest in equal installments on each of October 21, 2022, October 21, 2023 and October 21, 2024 based on the initial stock price of $20.00 per unit and some of which vested in full on December 31, 2022 at a stock price of $37.54 per unit, the closing stock price on December 31, 2021.</w:t>
      </w:r>
    </w:p>
    <w:p>
      <w:pPr>
        <w:ind w:right="40" w:firstLine="8"/>
        <w:spacing w:after="0" w:line="264" w:lineRule="auto"/>
        <w:tabs>
          <w:tab w:leader="none" w:pos="2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number of stock options and RSUs outstanding held by each non-employee director (representing unexercised stock options and unvested RSUs) at December 25, 2022 is as follows: Mr. Miles has 553,555 unexercised stock options and 4,000 unvested RSUs, Ms. Bordelon has 23,858 unexercised stock options and 4,000 unvested RSUs, Mr. Glass has 59,644 unexercised stock options and 4,000 unvested RSUs, Ms. Dodson has 4,000 unvested RSUs, Mr. Hart has has 59,642 unexercised stock options and 4,000 unvested RSUs, Mr. Lutzker has 4,000 unvested RSUs and Mr. Lubin has 4,000 unvested RSUs.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Non-Employee Director Compensation Program</w:t>
      </w:r>
    </w:p>
    <w:p>
      <w:pPr>
        <w:spacing w:after="0" w:line="2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Under our non-employee director compensation program, our directors receive a cash retainer and an annual equity award as well as additional cash fees for service as Board chair or committee chair. Directors may elect to receive any or all of their cash fees in equity rather than cash, if they prefer. Effective as of January 1, 2022, non-employee directors receive an annual retainer of $200,000, of which $120,000 is in the form of time-based RSUs that generally will vest one-year from the date of grant, and $80,000 in cash.</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of our non-employee directors received their 2022 equity grants of 6,000 RSUs based on the initial stock price of $20.00 per share in connection with the IPO in 2021, while others received the same number of RSUs in 2022. These RSUs tied to the IPO price will vest in three equal installments starting on the anniversary of the IPO. Certain directors also opted to receive all or a portion of their cash compensation in RSUs, which were granted in January 2022 and vested on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for their service in 2022, the Audit Committee Chair received $ 20,000, the Compensation Committee Chair received $15,000 and the Nominating and Corporate Governance Committee Chair received $10,000. Mr. Miles also received a $50,000 fee for his service as Board Chair. Effective January 1, 2023, the compensation for the Board Chair increased to $95,000 per year, the compensation for the Audit Committee Chair increased to $25,000 per year, the compensation for the Compensation Committee Chair increased to $20,000 per year, and the compensation for the Nominating and Corporate Governance Committee Chair increased to $15,000 per year.</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Compensation Committee Interlocks and Insider Participation</w:t>
      </w:r>
    </w:p>
    <w:p>
      <w:pPr>
        <w:spacing w:after="0" w:line="2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members of our Compensation Committee as of December 25, 2022 were Mr. Hart, Mr. Lubin, Mr. Lutzker, and Mr. Miles. During 2022,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198" w:lineRule="exact"/>
        <w:rPr>
          <w:sz w:val="20"/>
          <w:szCs w:val="20"/>
          <w:color w:val="auto"/>
        </w:rPr>
      </w:pPr>
    </w:p>
    <w:p>
      <w:pPr>
        <w:ind w:right="80"/>
        <w:spacing w:after="0" w:line="298" w:lineRule="auto"/>
        <w:rPr>
          <w:sz w:val="20"/>
          <w:szCs w:val="20"/>
          <w:color w:val="auto"/>
        </w:rPr>
      </w:pPr>
      <w:r>
        <w:rPr>
          <w:rFonts w:ascii="Arial" w:cs="Arial" w:eastAsia="Arial" w:hAnsi="Arial"/>
          <w:sz w:val="25"/>
          <w:szCs w:val="25"/>
          <w:b w:val="1"/>
          <w:bCs w:val="1"/>
          <w:color w:val="414042"/>
        </w:rPr>
        <w:t>ITEM 12. SECURITY OWNERSHIP OF CERTAIN BENEFICIAL OWNERS AND MANAGEMENT AND RELATED STOCKHOLDER MATTERS</w:t>
      </w:r>
    </w:p>
    <w:p>
      <w:pPr>
        <w:spacing w:after="0" w:line="12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table below sets forth certain information regarding the beneficial ownership of our Class A common stock as of February 23, 2023 (except as otherwise stated) by the following:</w:t>
      </w:r>
    </w:p>
    <w:p>
      <w:pPr>
        <w:spacing w:after="0" w:line="18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outstanding common stock;</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directors and named executive officers individually;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directors and officers as a group.</w:t>
      </w: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following table assumes that certain pre-IPO LLC members (the "pre-IPO LLC Members") redeem or exchange all of their LLC Units and shares of Class B common stock for newly issued shares of our Class A common stock on a one-for-one basis. In accordance with the rules of the SEC, beneficial ownership includes voting or investment power with respect to securities and includes the shares issuable pursuant to stock options that are exercisable within 60 days of February 23, 2023. In computing the number of shares of our Class A common stock beneficially owned by a person and the percentage ownership, we deemed outstanding shares of our Class A common stock subject to options held by that person that are currently exercisable or exercisable within 60 days of February 23, 2023. We did not deem these shares of our Class A common stock outstanding, however, for the purpose of computing the percentage ownership of any other person. Unless otherwise indicated, the address for each listed shareholder is: c/o Portillo’s Inc., 2001 Spring Road, Suite 400, Oak Brook, Illinois 60523. To our knowledge, except as indicated in the footnotes to this table and pursuant to applicable community property laws, the persons named in the table have sole voting and investment power with respect to all shares of common stock.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160" w:type="dxa"/>
            <w:vAlign w:val="bottom"/>
            <w:gridSpan w:val="3"/>
          </w:tcPr>
          <w:p>
            <w:pPr>
              <w:ind w:left="1020"/>
              <w:spacing w:after="0"/>
              <w:rPr>
                <w:sz w:val="20"/>
                <w:szCs w:val="20"/>
                <w:color w:val="auto"/>
              </w:rPr>
            </w:pPr>
            <w:r>
              <w:rPr>
                <w:rFonts w:ascii="Arial" w:cs="Arial" w:eastAsia="Arial" w:hAnsi="Arial"/>
                <w:sz w:val="16"/>
                <w:szCs w:val="16"/>
                <w:b w:val="1"/>
                <w:bCs w:val="1"/>
                <w:color w:val="auto"/>
              </w:rPr>
              <w:t>Shares of Class A Common Stock Beneficially Owned</w:t>
            </w:r>
          </w:p>
        </w:tc>
      </w:tr>
      <w:tr>
        <w:trPr>
          <w:trHeight w:val="209"/>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Arial" w:cs="Arial" w:eastAsia="Arial" w:hAnsi="Arial"/>
                <w:sz w:val="16"/>
                <w:szCs w:val="16"/>
                <w:b w:val="1"/>
                <w:bCs w:val="1"/>
                <w:color w:val="auto"/>
              </w:rPr>
              <w:t>Percentage of Outstanding Class A</w:t>
            </w:r>
          </w:p>
        </w:tc>
      </w:tr>
      <w:tr>
        <w:trPr>
          <w:trHeight w:val="24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 and Address of Beneficial Owner</w:t>
            </w:r>
          </w:p>
        </w:tc>
        <w:tc>
          <w:tcPr>
            <w:tcW w:w="100" w:type="dxa"/>
            <w:vAlign w:val="bottom"/>
          </w:tcPr>
          <w:p>
            <w:pPr>
              <w:spacing w:after="0"/>
              <w:rPr>
                <w:sz w:val="20"/>
                <w:szCs w:val="20"/>
                <w:color w:val="auto"/>
              </w:rPr>
            </w:pPr>
          </w:p>
        </w:tc>
        <w:tc>
          <w:tcPr>
            <w:tcW w:w="2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w:t>
            </w:r>
          </w:p>
        </w:tc>
      </w:tr>
      <w:tr>
        <w:trPr>
          <w:trHeight w:val="237"/>
        </w:trPr>
        <w:tc>
          <w:tcPr>
            <w:tcW w:w="5080" w:type="dxa"/>
            <w:vAlign w:val="bottom"/>
            <w:gridSpan w:val="2"/>
          </w:tcPr>
          <w:p>
            <w:pPr>
              <w:ind w:left="20"/>
              <w:spacing w:after="0"/>
              <w:rPr>
                <w:sz w:val="20"/>
                <w:szCs w:val="20"/>
                <w:color w:val="auto"/>
              </w:rPr>
            </w:pPr>
            <w:r>
              <w:rPr>
                <w:rFonts w:ascii="Arial" w:cs="Arial" w:eastAsia="Arial" w:hAnsi="Arial"/>
                <w:sz w:val="16"/>
                <w:szCs w:val="16"/>
                <w:b w:val="1"/>
                <w:bCs w:val="1"/>
                <w:color w:val="auto"/>
              </w:rPr>
              <w:t>5% shareholders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247"/>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Funds managed by Berkshire (1)</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30,133,396</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42.74%</w:t>
            </w:r>
          </w:p>
        </w:tc>
      </w:tr>
      <w:tr>
        <w:trPr>
          <w:trHeight w:val="202"/>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Orbis Investment Management Limited ("OIML"); Allan Gray</w:t>
            </w: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36"/>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Australia Pty Limited ("AGAPL") (2)</w:t>
            </w:r>
          </w:p>
        </w:tc>
        <w:tc>
          <w:tcPr>
            <w:tcW w:w="2780" w:type="dxa"/>
            <w:vAlign w:val="bottom"/>
          </w:tcPr>
          <w:p>
            <w:pPr>
              <w:jc w:val="right"/>
              <w:spacing w:after="0"/>
              <w:rPr>
                <w:sz w:val="20"/>
                <w:szCs w:val="20"/>
                <w:color w:val="auto"/>
              </w:rPr>
            </w:pPr>
            <w:r>
              <w:rPr>
                <w:rFonts w:ascii="Arial" w:cs="Arial" w:eastAsia="Arial" w:hAnsi="Arial"/>
                <w:sz w:val="16"/>
                <w:szCs w:val="16"/>
                <w:color w:val="auto"/>
              </w:rPr>
              <w:t>4,651,417</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w w:val="96"/>
              </w:rPr>
              <w:t>9.58%</w:t>
            </w:r>
          </w:p>
        </w:tc>
      </w:tr>
      <w:tr>
        <w:trPr>
          <w:trHeight w:val="251"/>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The Vanguard Group (3)</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3,712,442</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7.65%</w:t>
            </w:r>
          </w:p>
        </w:tc>
      </w:tr>
      <w:tr>
        <w:trPr>
          <w:trHeight w:val="239"/>
        </w:trPr>
        <w:tc>
          <w:tcPr>
            <w:tcW w:w="508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247"/>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Michael Osanloo</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1,967,454</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3.90%</w:t>
            </w:r>
          </w:p>
        </w:tc>
      </w:tr>
      <w:tr>
        <w:trPr>
          <w:trHeight w:val="235"/>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Michelle Hook</w:t>
            </w:r>
          </w:p>
        </w:tc>
        <w:tc>
          <w:tcPr>
            <w:tcW w:w="2780" w:type="dxa"/>
            <w:vAlign w:val="bottom"/>
          </w:tcPr>
          <w:p>
            <w:pPr>
              <w:jc w:val="right"/>
              <w:spacing w:after="0"/>
              <w:rPr>
                <w:sz w:val="20"/>
                <w:szCs w:val="20"/>
                <w:color w:val="auto"/>
              </w:rPr>
            </w:pPr>
            <w:r>
              <w:rPr>
                <w:rFonts w:ascii="Arial" w:cs="Arial" w:eastAsia="Arial" w:hAnsi="Arial"/>
                <w:sz w:val="16"/>
                <w:szCs w:val="16"/>
                <w:color w:val="auto"/>
              </w:rPr>
              <w:t>70,603</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1"/>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Derrick Pratt</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67,192</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r>
      <w:tr>
        <w:trPr>
          <w:trHeight w:val="235"/>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Sherri Abruscato</w:t>
            </w:r>
          </w:p>
        </w:tc>
        <w:tc>
          <w:tcPr>
            <w:tcW w:w="2780" w:type="dxa"/>
            <w:vAlign w:val="bottom"/>
          </w:tcPr>
          <w:p>
            <w:pPr>
              <w:jc w:val="right"/>
              <w:spacing w:after="0"/>
              <w:rPr>
                <w:sz w:val="20"/>
                <w:szCs w:val="20"/>
                <w:color w:val="auto"/>
              </w:rPr>
            </w:pPr>
            <w:r>
              <w:rPr>
                <w:rFonts w:ascii="Arial" w:cs="Arial" w:eastAsia="Arial" w:hAnsi="Arial"/>
                <w:sz w:val="16"/>
                <w:szCs w:val="16"/>
                <w:color w:val="auto"/>
              </w:rPr>
              <w:t>501,368</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w w:val="96"/>
              </w:rPr>
              <w:t>1.02%</w:t>
            </w:r>
          </w:p>
        </w:tc>
      </w:tr>
      <w:tr>
        <w:trPr>
          <w:trHeight w:val="251"/>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Michael A. Miles, Jr.</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849,455</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1.72%</w:t>
            </w:r>
          </w:p>
        </w:tc>
      </w:tr>
      <w:tr>
        <w:trPr>
          <w:trHeight w:val="235"/>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Ann Bordelon</w:t>
            </w:r>
          </w:p>
        </w:tc>
        <w:tc>
          <w:tcPr>
            <w:tcW w:w="2780" w:type="dxa"/>
            <w:vAlign w:val="bottom"/>
          </w:tcPr>
          <w:p>
            <w:pPr>
              <w:jc w:val="right"/>
              <w:spacing w:after="0"/>
              <w:rPr>
                <w:sz w:val="20"/>
                <w:szCs w:val="20"/>
                <w:color w:val="auto"/>
              </w:rPr>
            </w:pPr>
            <w:r>
              <w:rPr>
                <w:rFonts w:ascii="Arial" w:cs="Arial" w:eastAsia="Arial" w:hAnsi="Arial"/>
                <w:sz w:val="16"/>
                <w:szCs w:val="16"/>
                <w:color w:val="auto"/>
              </w:rPr>
              <w:t>56,109</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1"/>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Noah Glass (4)</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87,084</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r>
      <w:tr>
        <w:trPr>
          <w:trHeight w:val="235"/>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Paulette Dodson</w:t>
            </w:r>
          </w:p>
        </w:tc>
        <w:tc>
          <w:tcPr>
            <w:tcW w:w="2780" w:type="dxa"/>
            <w:vAlign w:val="bottom"/>
          </w:tcPr>
          <w:p>
            <w:pPr>
              <w:jc w:val="right"/>
              <w:spacing w:after="0"/>
              <w:rPr>
                <w:sz w:val="20"/>
                <w:szCs w:val="20"/>
                <w:color w:val="auto"/>
              </w:rPr>
            </w:pPr>
            <w:r>
              <w:rPr>
                <w:rFonts w:ascii="Arial" w:cs="Arial" w:eastAsia="Arial" w:hAnsi="Arial"/>
                <w:sz w:val="16"/>
                <w:szCs w:val="16"/>
                <w:color w:val="auto"/>
              </w:rPr>
              <w:t>3,065</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1"/>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Gerard J. Hart (5)</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111,716</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r>
      <w:tr>
        <w:trPr>
          <w:trHeight w:val="235"/>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Richard K. Lubin (6)</w:t>
            </w:r>
          </w:p>
        </w:tc>
        <w:tc>
          <w:tcPr>
            <w:tcW w:w="2780" w:type="dxa"/>
            <w:vAlign w:val="bottom"/>
          </w:tcPr>
          <w:p>
            <w:pPr>
              <w:jc w:val="right"/>
              <w:spacing w:after="0"/>
              <w:rPr>
                <w:sz w:val="20"/>
                <w:szCs w:val="20"/>
                <w:color w:val="auto"/>
              </w:rPr>
            </w:pPr>
            <w:r>
              <w:rPr>
                <w:rFonts w:ascii="Arial" w:cs="Arial" w:eastAsia="Arial" w:hAnsi="Arial"/>
                <w:sz w:val="16"/>
                <w:szCs w:val="16"/>
                <w:color w:val="auto"/>
              </w:rPr>
              <w:t>4,131</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251"/>
        </w:trPr>
        <w:tc>
          <w:tcPr>
            <w:tcW w:w="50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Joshua A. Lutzker (6)</w:t>
            </w:r>
          </w:p>
        </w:tc>
        <w:tc>
          <w:tcPr>
            <w:tcW w:w="27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4,397</w:t>
            </w:r>
          </w:p>
        </w:tc>
        <w:tc>
          <w:tcPr>
            <w:tcW w:w="100" w:type="dxa"/>
            <w:vAlign w:val="bottom"/>
            <w:shd w:val="clear" w:color="auto" w:fill="DBDBDB"/>
          </w:tcPr>
          <w:p>
            <w:pPr>
              <w:spacing w:after="0"/>
              <w:rPr>
                <w:sz w:val="21"/>
                <w:szCs w:val="21"/>
                <w:color w:val="auto"/>
              </w:rPr>
            </w:pPr>
          </w:p>
        </w:tc>
        <w:tc>
          <w:tcPr>
            <w:tcW w:w="32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w:t>
            </w:r>
          </w:p>
        </w:tc>
      </w:tr>
      <w:tr>
        <w:trPr>
          <w:trHeight w:val="236"/>
        </w:trPr>
        <w:tc>
          <w:tcPr>
            <w:tcW w:w="5080" w:type="dxa"/>
            <w:vAlign w:val="bottom"/>
            <w:gridSpan w:val="2"/>
          </w:tcPr>
          <w:p>
            <w:pPr>
              <w:ind w:left="20"/>
              <w:spacing w:after="0"/>
              <w:rPr>
                <w:sz w:val="20"/>
                <w:szCs w:val="20"/>
                <w:color w:val="auto"/>
              </w:rPr>
            </w:pPr>
            <w:r>
              <w:rPr>
                <w:rFonts w:ascii="Arial" w:cs="Arial" w:eastAsia="Arial" w:hAnsi="Arial"/>
                <w:sz w:val="16"/>
                <w:szCs w:val="16"/>
                <w:b w:val="1"/>
                <w:bCs w:val="1"/>
                <w:color w:val="auto"/>
              </w:rPr>
              <w:t>All directors and executive officers as a group (16 persons):</w:t>
            </w:r>
          </w:p>
        </w:tc>
        <w:tc>
          <w:tcPr>
            <w:tcW w:w="2780" w:type="dxa"/>
            <w:vAlign w:val="bottom"/>
          </w:tcPr>
          <w:p>
            <w:pPr>
              <w:jc w:val="right"/>
              <w:spacing w:after="0"/>
              <w:rPr>
                <w:sz w:val="20"/>
                <w:szCs w:val="20"/>
                <w:color w:val="auto"/>
              </w:rPr>
            </w:pPr>
            <w:r>
              <w:rPr>
                <w:rFonts w:ascii="Arial" w:cs="Arial" w:eastAsia="Arial" w:hAnsi="Arial"/>
                <w:sz w:val="16"/>
                <w:szCs w:val="16"/>
                <w:color w:val="auto"/>
              </w:rPr>
              <w:t>4,250,403</w:t>
            </w:r>
          </w:p>
        </w:tc>
        <w:tc>
          <w:tcPr>
            <w:tcW w:w="10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6"/>
                <w:szCs w:val="16"/>
                <w:color w:val="auto"/>
                <w:w w:val="96"/>
              </w:rPr>
              <w:t>8.08%</w:t>
            </w:r>
          </w:p>
        </w:tc>
      </w:tr>
    </w:tbl>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*Less than 1%</w:t>
      </w:r>
    </w:p>
    <w:p>
      <w:pPr>
        <w:spacing w:after="0" w:line="21" w:lineRule="exact"/>
        <w:rPr>
          <w:sz w:val="20"/>
          <w:szCs w:val="20"/>
          <w:color w:val="auto"/>
        </w:rPr>
      </w:pPr>
    </w:p>
    <w:p>
      <w:pPr>
        <w:ind w:right="20" w:firstLine="8"/>
        <w:spacing w:after="0" w:line="253" w:lineRule="auto"/>
        <w:tabs>
          <w:tab w:leader="none" w:pos="2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(i) 8,164,752 shares of Class A common stock owned by Berkshire Fund VIII-A, L.P. (“Berkshire Fund VIII-A”), (ii) 19,650,026 shares of Class A common stock issuable to Berkshire Fund VIII, L.P. (“Berkshire Fund VIII”) in respect of an equal number of LLC Units owned by Berkshire Fund VII, (iii) 540,027 shares of Class A common stock issuable to Berkshire Investors III LLC (“Berkshire Investors III”) in respect of an equal number of LLC Units owned by Berkshire Investors III, and (iv) 1,778,591 shares of Class A common stock issuable to Berkshire Investors IV LLC (“Berkshire Investors IV” and together with Berkshire Fund VIII-A, Berkshire Fund VIII, Berkshire Investors III, the “Berkshire Entities”) in respect of an equal number of LLC Units owned by Berkshire Investors IV. Eighth Berkshire Associates LLC, a Delaware limited liability company (“8BA”), is the general partner of Berkshire Fund VIII-A and Berkshire Fund VIII. The managing members of 8BA are Samantha Adams, Michael C. Ascione, Matthew J. Berner, David C. Bordeau, Kenneth S. Bring, Kevin T. Callaghan, Matthew B. Gooch, Blake L. Gottesman, Christopher J. Hadley, Lawrence S. Hamelsky, Saad Hasan, Sharlyn C. Heslam, Elizabeth L. Hoffman, Justin G. Hupp, Matthew A. Janchar, Joshua B. Johnson, Ross M. Jones, Benjamin D. Levy, Joshua A. Lutzker, Jonathan J. Meyer, Jonathan D. Nuger, Nii Amaah K. Ofosu-Amaah, Greg Pappas, Marni F. Payne, Anil Seetharam, Raleigh A. Shoemaker, Robert J. Small, Samuel W. Spirn, Terry H. Thompson and Edward J. Whelan, Jr. (the “Berkshire Principals”). Mr. Lutzker is a director of the Company. The Berkshire Principals are also the managing members of Berkshire Investors III and Berkshire Investors IV. Berkshire Fund VIII, Berkshire Fund VIII-A, Berkshire Investors III and Berkshire Investors IV often make acquisitions in, and dispose of, securities of an issuer on the same terms and conditions and at the same time. Berkshire Partners LLC, a Massachusetts limited liability company (“Berkshire Partners”), is the investment advisor to Berkshire Fund VIII and Berkshire Fund VIII-A (collectively, the “Funds”). The Berkshire Principals make investment and voting decisions for the Funds by majority vote. Berkshire Partners, the Funds, Berkshire Investors III, Berkshire Investors IV and 8BA may be deemed to constitute a “group” for purposes of Section 13(d) of the Exchange Act, although they do not admit to being part of a group, nor have they agreed to act as part of a group. The address of all the entities and the managing members mentioned above is 200 Clarendon Street, 35th Floor, Boston, Massachusetts 02116-5021.</w:t>
      </w:r>
    </w:p>
    <w:p>
      <w:pPr>
        <w:spacing w:after="0" w:line="5" w:lineRule="exact"/>
        <w:rPr>
          <w:rFonts w:ascii="Arial" w:cs="Arial" w:eastAsia="Arial" w:hAnsi="Arial"/>
          <w:sz w:val="16"/>
          <w:szCs w:val="16"/>
          <w:color w:val="auto"/>
        </w:rPr>
      </w:pPr>
    </w:p>
    <w:p>
      <w:pPr>
        <w:ind w:right="60" w:firstLine="8"/>
        <w:spacing w:after="0" w:line="254" w:lineRule="auto"/>
        <w:tabs>
          <w:tab w:leader="none" w:pos="2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beneficial ownership by Orbis Investment Management Limited ("OIML"); Allan Gray Australia Pty Limited ("AGAPL"), according to a Schedule 13G filed on February 14, 2023, reporting: sole voting power over 4,651,417 shares and sole dispositive power over 4,651,417 shares, in the aggregate. The business address of OIML is Orbis House, 25 Front Street, Hamilton Bermuda HM11 and the business address of AGAPL is Level 2, Challis House, 4 Martin Place, Sydney NSW2000, Australia.</w:t>
      </w:r>
    </w:p>
    <w:p>
      <w:pPr>
        <w:ind w:right="220" w:firstLine="8"/>
        <w:spacing w:after="0" w:line="252" w:lineRule="auto"/>
        <w:tabs>
          <w:tab w:leader="none" w:pos="2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beneficial ownership by The Vanguard Group, according to a Schedule 13G filed on February 9, 2023, reporting: shared voting power over 52,909 shares, sole dispositive power over 3,626,897 shares, and shared dispositive power over 85,545 shares. The business address of The Vanguard Group is 100 Vanguard Blvd., Malvern, PA 19355.</w:t>
      </w: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shares owned by the Glass Family Trust dated December 29, 2016.</w:t>
      </w:r>
    </w:p>
    <w:p>
      <w:pPr>
        <w:spacing w:after="0" w:line="8" w:lineRule="exact"/>
        <w:rPr>
          <w:rFonts w:ascii="Arial" w:cs="Arial" w:eastAsia="Arial" w:hAnsi="Arial"/>
          <w:sz w:val="16"/>
          <w:szCs w:val="16"/>
          <w:color w:val="auto"/>
        </w:rPr>
      </w:pP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shares held by PENSCO Trust Company LLC, on behalf of and as custodian for the Gerard J. Hart IRA.</w:t>
      </w:r>
    </w:p>
    <w:p>
      <w:pPr>
        <w:spacing w:after="0" w:line="14" w:lineRule="exact"/>
        <w:rPr>
          <w:rFonts w:ascii="Arial" w:cs="Arial" w:eastAsia="Arial" w:hAnsi="Arial"/>
          <w:sz w:val="16"/>
          <w:szCs w:val="16"/>
          <w:color w:val="auto"/>
        </w:rPr>
      </w:pPr>
    </w:p>
    <w:p>
      <w:pPr>
        <w:jc w:val="both"/>
        <w:ind w:right="280" w:firstLine="8"/>
        <w:spacing w:after="0" w:line="258" w:lineRule="auto"/>
        <w:tabs>
          <w:tab w:leader="none" w:pos="2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Excludes shares of Class A common stock and Class B common Stock held by the Berkshire Entities, as disclosed in footnote (1) above, in which Mr. Miles, Mr. Lubin and Mr. Lutzker have a pecuniary interest. Mr. Lubin and Mr. Lutzker disclaim beneficial ownership of the securities held by the Berkshire Entities except to the extent of their respective pecuniary interests therein.</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Securities Authorized for Issuance under Equity Compensation Plans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See Item 11. "Executive Compensation – Equity Incentive Plans” for a discussion of our equity incentive plans.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Equity Compensation Plans Table</w:t>
      </w:r>
    </w:p>
    <w:p>
      <w:pPr>
        <w:spacing w:after="0" w:line="24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following table provides information about our compensation plans under which our Class A common stock is authorized for issuance, as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December 25, 2022:</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Number of securities to be</w:t>
            </w:r>
          </w:p>
        </w:tc>
        <w:tc>
          <w:tcPr>
            <w:tcW w:w="23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Weighted-average exercise</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issued upon exercise of</w:t>
            </w:r>
          </w:p>
        </w:tc>
        <w:tc>
          <w:tcPr>
            <w:tcW w:w="200" w:type="dxa"/>
            <w:vAlign w:val="bottom"/>
          </w:tcPr>
          <w:p>
            <w:pPr>
              <w:spacing w:after="0"/>
              <w:rPr>
                <w:sz w:val="16"/>
                <w:szCs w:val="16"/>
                <w:color w:val="auto"/>
              </w:rPr>
            </w:pPr>
          </w:p>
        </w:tc>
        <w:tc>
          <w:tcPr>
            <w:tcW w:w="2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price of outstanding</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future issuances under</w:t>
            </w:r>
          </w:p>
        </w:tc>
        <w:tc>
          <w:tcPr>
            <w:tcW w:w="0" w:type="dxa"/>
            <w:vAlign w:val="bottom"/>
          </w:tcPr>
          <w:p>
            <w:pPr>
              <w:spacing w:after="0"/>
              <w:rPr>
                <w:sz w:val="1"/>
                <w:szCs w:val="1"/>
                <w:color w:val="auto"/>
              </w:rPr>
            </w:pPr>
          </w:p>
        </w:tc>
      </w:tr>
      <w:tr>
        <w:trPr>
          <w:trHeight w:val="189"/>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outstanding options,</w:t>
            </w:r>
          </w:p>
        </w:tc>
        <w:tc>
          <w:tcPr>
            <w:tcW w:w="2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options, warrants and rights</w:t>
            </w: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rPr>
              <w:t>equity compensation plans</w:t>
            </w:r>
          </w:p>
        </w:tc>
        <w:tc>
          <w:tcPr>
            <w:tcW w:w="0" w:type="dxa"/>
            <w:vAlign w:val="bottom"/>
          </w:tcPr>
          <w:p>
            <w:pPr>
              <w:spacing w:after="0"/>
              <w:rPr>
                <w:sz w:val="1"/>
                <w:szCs w:val="1"/>
                <w:color w:val="auto"/>
              </w:rPr>
            </w:pPr>
          </w:p>
        </w:tc>
      </w:tr>
      <w:tr>
        <w:trPr>
          <w:trHeight w:val="240"/>
        </w:trPr>
        <w:tc>
          <w:tcPr>
            <w:tcW w:w="4360" w:type="dxa"/>
            <w:vAlign w:val="bottom"/>
            <w:tcBorders>
              <w:bottom w:val="single" w:sz="8" w:color="auto"/>
            </w:tcBorders>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warrants and rights (1)</w:t>
            </w:r>
          </w:p>
        </w:tc>
        <w:tc>
          <w:tcPr>
            <w:tcW w:w="10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DBDBDB"/>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40"/>
        </w:trPr>
        <w:tc>
          <w:tcPr>
            <w:tcW w:w="444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2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8,247,480</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19"/>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8.26</w:t>
            </w:r>
          </w:p>
        </w:tc>
        <w:tc>
          <w:tcPr>
            <w:tcW w:w="100" w:type="dxa"/>
            <w:vAlign w:val="bottom"/>
            <w:shd w:val="clear" w:color="auto" w:fill="DBDBDB"/>
          </w:tcPr>
          <w:p>
            <w:pPr>
              <w:spacing w:after="0"/>
              <w:rPr>
                <w:sz w:val="20"/>
                <w:szCs w:val="20"/>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4,458,590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firstLine="8"/>
        <w:spacing w:after="0" w:line="263" w:lineRule="auto"/>
        <w:tabs>
          <w:tab w:leader="none" w:pos="2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shares issuable pursuant to stock options, restricted stock units, restricted stock awards, stock appreciation rights and other stock-based awards under the Company's 2021 Plan. Represents shares under the 2021 Plan, including 5,830,723 shares assumed from the 2014 Plan.</w:t>
      </w:r>
    </w:p>
    <w:p>
      <w:pPr>
        <w:ind w:right="320" w:firstLine="8"/>
        <w:spacing w:after="0" w:line="249" w:lineRule="auto"/>
        <w:tabs>
          <w:tab w:leader="none" w:pos="2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weighted-average exercise price set forth in this column is calculated excluding restricted stock units or other awards for which recipients are not required to pay an exercise price to receive the shares subject to the awards.</w:t>
      </w:r>
    </w:p>
    <w:p>
      <w:pPr>
        <w:ind w:right="640" w:firstLine="8"/>
        <w:spacing w:after="0" w:line="283" w:lineRule="auto"/>
        <w:tabs>
          <w:tab w:leader="none" w:pos="24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amounts represents shares of common stock available for issuance under the 2021 Plan, which include stock options, restricted stock units, restricted stock awards, stock appreciation rights and other stock-based awards.</w:t>
      </w:r>
    </w:p>
    <w:p>
      <w:pPr>
        <w:spacing w:after="0" w:line="174" w:lineRule="exact"/>
        <w:rPr>
          <w:sz w:val="20"/>
          <w:szCs w:val="20"/>
          <w:color w:val="auto"/>
        </w:rPr>
      </w:pPr>
    </w:p>
    <w:p>
      <w:pPr>
        <w:ind w:right="680"/>
        <w:spacing w:after="0" w:line="309" w:lineRule="auto"/>
        <w:rPr>
          <w:sz w:val="20"/>
          <w:szCs w:val="20"/>
          <w:color w:val="auto"/>
        </w:rPr>
      </w:pPr>
      <w:r>
        <w:rPr>
          <w:rFonts w:ascii="Arial" w:cs="Arial" w:eastAsia="Arial" w:hAnsi="Arial"/>
          <w:sz w:val="25"/>
          <w:szCs w:val="25"/>
          <w:b w:val="1"/>
          <w:bCs w:val="1"/>
          <w:color w:val="414042"/>
        </w:rPr>
        <w:t>ITEM 13. CERTAIN RELATIONSHIPS AND RELATED TRANSACTIONS, AND DIRECTOR INDEPENDENCE</w:t>
      </w:r>
    </w:p>
    <w:p>
      <w:pPr>
        <w:spacing w:after="0" w:line="11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describe below transactions and series of similar transactions, during our last fiscal year or currently proposed, to which we were a party or will be a party, in which:</w:t>
      </w:r>
    </w:p>
    <w:p>
      <w:pPr>
        <w:spacing w:after="0" w:line="18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7" w:lineRule="exact"/>
        <w:rPr>
          <w:rFonts w:ascii="Arial" w:cs="Arial" w:eastAsia="Arial" w:hAnsi="Arial"/>
          <w:sz w:val="18"/>
          <w:szCs w:val="18"/>
          <w:color w:val="auto"/>
        </w:rPr>
      </w:pPr>
    </w:p>
    <w:p>
      <w:pPr>
        <w:ind w:left="660" w:right="20" w:hanging="328"/>
        <w:spacing w:after="0" w:line="266" w:lineRule="auto"/>
        <w:tabs>
          <w:tab w:leader="none" w:pos="6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9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Secondary Offerings</w:t>
      </w:r>
    </w:p>
    <w:p>
      <w:pPr>
        <w:spacing w:after="0" w:line="2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the third and fourth quarters of 2022, in connection with the secondary offerings previously discussed throughout this Annual Report on Form 10-K, we purchased LLC Units and shares of Class A common stock using the proceeds of the secondary offering at a price equal to the public offering price less the underwriting discounts and commissions from certain pre-IPO LLC Members and shareholders of the Blocker Companies, including from funds affiliated with Berkshire Partners LLC, which is our controlling shareholder that beneficially owns approximately 42.8% of the Company as of December 25, 2022. In the aggregate, we paid to the funds affiliated with Berkshire Partners LLC approximately $348.9 million to purchase the LLC Units and shares of Class A common stock with the proceeds of the secondary offerings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Amended Portillo’s OpCo Agreement</w:t>
      </w:r>
    </w:p>
    <w:p>
      <w:pPr>
        <w:spacing w:after="0" w:line="23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Transactions, Portillo’s Inc., Portillo’s OpCo and each of the pre-IPO LLC Members entered into the Amended LLC Agreement. Following the Transactions, and in accordance with the terms of the Amended LLC Agreement, we operate our business through Portillo’s OpCo. Pursuant to the terms of the Amended LLC Agreement, so long as the Continuing Pre-IPO LLC Members continue to own any LLC Units or securities redeemable or exchangeable into shares of our Class A common stock, we will not, without the prior written consent of such holders, engage in any business activity other than the management and ownership of Portillo’s OpCo or own any assets other than securities of Portillo’s OpCo and/or any cash or other property or assets distributed by or otherwise received from Portillo’s OpCo, unless we determine in good faith that such actions or ownership are in the best interest of Portillo’s OpCo.</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the sole managing member of Portillo’s OpCo, we have control over all of the affairs and decision making of Portillo’s OpCo. As such, through our officers and directors, we are responsible for all operational and administrative decisions of Portillo’s OpCo and the day-to-day management of Portillo’s OpCo’s business. We will fund any dividends to our shareholders by causing Portillo’s OpCo to make distributions to the holders of LLC Units and us, subject to the limitations imposed by our debt agreements.</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holders of LLC Units will generally incur U.S. federal, state and local income taxes on their proportionate share of any taxable income of Portillo’s OpCo. The Amended LLC Agreement provides for pro rata cash distributions to the holders of LLC Units for purposes of funding their tax obligations in respect of the taxable income of Portillo’s OpCo that is allocated to them. Generally, these tax distributions will be computed based on our estimate of the net taxable income of Portillo’s OpCo allocated to the holder of LLC Units that receives the greatest proportionate allocation of income multiplied by an assumed tax rate equal to the highest effective marginal combined U.S. federal, state and local income tax rate prescribed for an individual or corporation residing in New York, New York, whichever is higher. As a result of (i) potential differences in the amount of taxable income allocable to us and the other LLC Unit holders, (ii) the lower tax rate applicable to corporations than individuals and (iii) the use of an assumed tax rate in calculating Portillo’s OpCo’s distribution obligations, we may receive tax distributions significantly in excess of our tax liabilities and obligations to make payments under the Tax Receivable Agreement.</w:t>
      </w:r>
    </w:p>
    <w:p>
      <w:pPr>
        <w:spacing w:after="0" w:line="20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Except as otherwise determined by us, if at any time we issue a share of our Class A common stock, the net proceeds received by us with respect to such share, if any, shall be concurrently invested in Portillo’s OpCo and Portillo’s OpCo shall issue to us one LLC Unit. Similarly, except as otherwise determined by us, (i) Portillo’s OpCo will not issue any additional LLC Units to us unless we issue or sell an equal number of shares of our Class A common stock and (ii) should Portillo’s OpCo issue any additional LLC Units to the pre-IPO LLC Members or any other person, we will issue an equal number of shares of our Class B common stock to such pre-IPO LLC Members or any other person. Conversely, if at any time any shares of our Class A common stock are redeemed, purchased or otherwise acquired by us, Portillo’s OpCo will redeem, purchase or otherwise acquire an equal number of LLC Units held by us, upon the same terms and for the same price per security, as the shares of our Class A common stock are redeemed, purchased or otherwise acquired. In addition, Portillo’s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21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the Amended LLC Agreement, the holders of LLC Units (other than us) have the right to require Portillo’s OpCo to redeem all or a portion of their LLC Units for newly-issued shares of Class A common stock on a one-for-one basis in accordance with the terms of the Amended LLC Agreement. Upon the exercise of the redemption right, the redeeming member will surrender its LLC Units to Portillo’s OpCo for cancellation. The Amended LLC Agreement requires that we contribute shares of our Class A common stock to Portillo’s OpCo in exchange for an amount of newly-issued LLC Units in Portillo’s OpCo equal to the number of LLC Units redeemed from the holders of LLC Units. Portillo’s OpCo will then distribute the shares of our Class A common stock to such holder of an LLC Unit to complete the redemption. In the event of a redemption request by a holder of an LLC Unit, we may, at our option, effect a direct exchange of Class A common stock for LLC Units in lieu of such a redemption. Whether by redemption or exchange,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 -for-one basis if we, following a redemption request of a holder of an LLC Unit, redeem or exchange LLC Units of such holder of an LLC Unit pursuant to the terms of the Amended LLC Agreement.</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Amended LLC Agreement provides that, in the event that a tender offer, share exchange offer, issuer bid, take-over bid, recapitalization or similar transaction with respect to our Class A common stock is proposed by us or our shareholders and approved by our Board or is otherwise consented to or approved by our Board, the holders of LLC Units will be permitted to participate in such offer by delivery of a notice of redemption or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redeem or exchange LLC Units.</w:t>
      </w:r>
    </w:p>
    <w:p>
      <w:pPr>
        <w:spacing w:after="0" w:line="21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Amended LLC Agreement provides that, except for transfers to us as provided above or to certain permitted transferees, the LLC Units and corresponding shares of Class B common stock may not be sold, transferred or otherwise disposed of.</w:t>
      </w:r>
    </w:p>
    <w:p>
      <w:pPr>
        <w:spacing w:after="0" w:line="18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Subject to certain exceptions, Portillo’s OpCo will indemnify all of its members and their officers and other related parties, against all losses or expenses arising from claims or other legal proceedings in which such person (in its capacity as such) may be involved or become subject to in connection with Portillo’s OpCo’s business or affairs or the Amended LLC Agreement or any related document.</w:t>
      </w:r>
    </w:p>
    <w:p>
      <w:pPr>
        <w:spacing w:after="0" w:line="19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Portillo’s OpCo may be dissolved upon (i) the determination by us to dissolve Portillo’s OpCo or (ii) any other event which would cause the dissolution of Portillo’s OpCo under the Delaware Limited Liability Company Act, unless Portillo’s OpCo is continued in accordance with the Delaware Limited Liability Company Act. Upon dissolution, Portillo’s OpCo will be liquidated and the proceeds from any liquidation will be applied and distributed in the following manner: (a) first, to creditors (including creditors who are members or affiliates of members) in satisfaction of all of Portillo’s OpCo’s liabilities (whether by payment or by making reasonable provision for payment of such liabilities, including the setting up of any reasonably necessary reserves) and (b) second, to the members in proportion to their vested LLC Units.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Tax Receivable Agreement</w:t>
      </w:r>
    </w:p>
    <w:p>
      <w:pPr>
        <w:spacing w:after="0" w:line="26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acquired certain favorable tax attributes and a share of the existing tax basis of the assets of Portillo’s OpCo in the IPO. In addition, future redemptions or exchanges by pre-IPO LLC Members of LLC Units for shares of our Class A common stock or cash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20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Upon completion of the IPO, we became party to a Tax Receivable Agreement with certain of our pre-IPO LLC Members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our allocable share of existing tax basis in depreciable or amortizable assets relating to LLC Units acquired in the IPO, (ii) certain favorable tax attributes acquired by the Company from entities treated as corporations for U.S. tax purposes that held LLC Units prior to the Transactions ("Blocker Companies") (including net operating losses and the Blocker Companies' allocable share of existing tax basis), (iii) increases in our allocable share of then existing tax basis in depreciable or amortizable assets, and adjustments to the tax basis of the tangible and intangible assets, of Portillo’s OpCo and its subsidiaries, as a result of (x) sales or exchanges of interests in Portillo’s OpCo in connection with the IPO and (y) future exchanges of LLC Units by pre-IPO LLC Members for Class A common stock, and (iv) certain other tax benefits related to entering into the Tax Receivable Agreement, including payments made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10-K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expect that the payments we will be required to make under the Tax Receivable Agreement will be substantial. Assuming no material changes in relevant tax law and that we earn sufficient taxable income to realize all tax benefits that are subject to the Tax Receivable Agreement, we estimate that the tax savings associated with all tax attributes described above would aggregate to approximately $297.4 million as of December 25, 2022. Under this scenario, we would be required to pay the TRA Parties approximately 85% of such amount, or $252.8 million, primarily over the next 15 years, substantially declining in year 16 through year 47. We expect a payment of $0.8 million to be paid within the next 12 months. The actual amounts we will be required to pay may materially differ from these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There may be a material negative effect on our liquidity if, as a result of timing discrepancies or otherwise, the payments under the Tax Receivable Agreement exceed the actual benefits we realize in respect of the tax benefits that are subject to the Tax Receivable Agreement and/or distributions to us by Portillo’s OpCo are not sufficient to permit us to make payments under the Tax Receivable Agreement after we have paid taxes.</w:t>
      </w:r>
    </w:p>
    <w:p>
      <w:pPr>
        <w:spacing w:after="0" w:line="210"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actual tax attributes, as well as any amounts paid to the TRA Parties under the Tax Receivable Agreement, will vary depending on a number of factors, including:</w:t>
      </w:r>
    </w:p>
    <w:p>
      <w:pPr>
        <w:spacing w:after="0" w:line="180" w:lineRule="exact"/>
        <w:rPr>
          <w:sz w:val="20"/>
          <w:szCs w:val="20"/>
          <w:color w:val="auto"/>
        </w:rPr>
      </w:pPr>
    </w:p>
    <w:p>
      <w:pPr>
        <w:ind w:left="660" w:right="120" w:hanging="328"/>
        <w:spacing w:after="0" w:line="259"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the timing of redemptions or exchanges</w:t>
      </w:r>
      <w:r>
        <w:rPr>
          <w:rFonts w:ascii="Arial" w:cs="Arial" w:eastAsia="Arial" w:hAnsi="Arial"/>
          <w:sz w:val="18"/>
          <w:szCs w:val="18"/>
          <w:color w:val="auto"/>
        </w:rPr>
        <w:t>—for instance, the increase in any tax deductions will vary depending on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may fluctuate over time, of the depreciable or amortizable assets of Portillo’s OpCo at the time of each redemption or exchange. In addition, the increase in Portillo’s Inc.’s allocable share of existing tax basis acquired upon the future exchange of LLC Units for shares of Class A common stock will vary depending on the amount of remaining existing tax basis at the time of such redemption or exchange;</w:t>
      </w:r>
    </w:p>
    <w:p>
      <w:pPr>
        <w:spacing w:after="0" w:line="206" w:lineRule="exact"/>
        <w:rPr>
          <w:rFonts w:ascii="Arial" w:cs="Arial" w:eastAsia="Arial" w:hAnsi="Arial"/>
          <w:sz w:val="18"/>
          <w:szCs w:val="18"/>
          <w:color w:val="auto"/>
        </w:rPr>
      </w:pPr>
    </w:p>
    <w:p>
      <w:pPr>
        <w:ind w:left="660" w:right="20" w:hanging="328"/>
        <w:spacing w:after="0" w:line="268"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the price of shares of our Class A common stock at the time of the redemption or exchange</w:t>
      </w:r>
      <w:r>
        <w:rPr>
          <w:rFonts w:ascii="Arial" w:cs="Arial" w:eastAsia="Arial" w:hAnsi="Arial"/>
          <w:sz w:val="18"/>
          <w:szCs w:val="18"/>
          <w:color w:val="auto"/>
        </w:rPr>
        <w:t>—the increase in any tax deductions,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the tax basis increase in other assets, of Portillo’s OpCo, is directly proportional to the price of shares of our Class A common stock at the time of the redemption or exchange;</w:t>
      </w:r>
    </w:p>
    <w:p>
      <w:pPr>
        <w:spacing w:after="0" w:line="211" w:lineRule="exact"/>
        <w:rPr>
          <w:rFonts w:ascii="Arial" w:cs="Arial" w:eastAsia="Arial" w:hAnsi="Arial"/>
          <w:sz w:val="18"/>
          <w:szCs w:val="18"/>
          <w:color w:val="auto"/>
        </w:rPr>
      </w:pPr>
    </w:p>
    <w:p>
      <w:pPr>
        <w:ind w:left="660" w:right="40" w:hanging="328"/>
        <w:spacing w:after="0" w:line="262" w:lineRule="auto"/>
        <w:tabs>
          <w:tab w:leader="none" w:pos="662" w:val="left"/>
        </w:tabs>
        <w:numPr>
          <w:ilvl w:val="0"/>
          <w:numId w:val="43"/>
        </w:numPr>
        <w:rPr>
          <w:rFonts w:ascii="Arial" w:cs="Arial" w:eastAsia="Arial" w:hAnsi="Arial"/>
          <w:sz w:val="20"/>
          <w:szCs w:val="20"/>
          <w:b w:val="1"/>
          <w:bCs w:val="1"/>
          <w:color w:val="auto"/>
        </w:rPr>
      </w:pPr>
      <w:r>
        <w:rPr>
          <w:rFonts w:ascii="Arial" w:cs="Arial" w:eastAsia="Arial" w:hAnsi="Arial"/>
          <w:sz w:val="18"/>
          <w:szCs w:val="18"/>
          <w:i w:val="1"/>
          <w:iCs w:val="1"/>
          <w:color w:val="auto"/>
        </w:rPr>
        <w:t>the extent to which such redemptions or exchanges are taxable</w:t>
      </w:r>
      <w:r>
        <w:rPr>
          <w:rFonts w:ascii="Arial" w:cs="Arial" w:eastAsia="Arial" w:hAnsi="Arial"/>
          <w:sz w:val="18"/>
          <w:szCs w:val="18"/>
          <w:color w:val="auto"/>
        </w:rPr>
        <w:t>—if an exchange is not taxable for any reason, increased tax</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deductions as a result of the Section 754 election under the Internal Revenue Code will not be available to generate payments under the Tax Receivable Agreement;</w:t>
      </w:r>
    </w:p>
    <w:p>
      <w:pPr>
        <w:spacing w:after="0" w:line="201" w:lineRule="exact"/>
        <w:rPr>
          <w:rFonts w:ascii="Arial" w:cs="Arial" w:eastAsia="Arial" w:hAnsi="Arial"/>
          <w:sz w:val="20"/>
          <w:szCs w:val="20"/>
          <w:b w:val="1"/>
          <w:bCs w:val="1"/>
          <w:color w:val="auto"/>
        </w:rPr>
      </w:pPr>
    </w:p>
    <w:p>
      <w:pPr>
        <w:ind w:left="660" w:right="660" w:hanging="328"/>
        <w:spacing w:after="0" w:line="287"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the amount of Blocker tax attributes</w:t>
      </w:r>
      <w:r>
        <w:rPr>
          <w:rFonts w:ascii="Arial" w:cs="Arial" w:eastAsia="Arial" w:hAnsi="Arial"/>
          <w:sz w:val="18"/>
          <w:szCs w:val="18"/>
          <w:color w:val="auto"/>
        </w:rPr>
        <w:t>—the amount of applicable tax attributes of the Blocker Companies at the time of the IPO</w:t>
      </w:r>
      <w:r>
        <w:rPr>
          <w:rFonts w:ascii="Arial" w:cs="Arial" w:eastAsia="Arial" w:hAnsi="Arial"/>
          <w:sz w:val="18"/>
          <w:szCs w:val="18"/>
          <w:i w:val="1"/>
          <w:iCs w:val="1"/>
          <w:color w:val="auto"/>
        </w:rPr>
        <w:t xml:space="preserve"> </w:t>
      </w:r>
      <w:r>
        <w:rPr>
          <w:rFonts w:ascii="Arial" w:cs="Arial" w:eastAsia="Arial" w:hAnsi="Arial"/>
          <w:sz w:val="18"/>
          <w:szCs w:val="18"/>
          <w:color w:val="auto"/>
        </w:rPr>
        <w:t>impacts the amount and timing of payments under the Tax Receivable Agreement;</w:t>
      </w:r>
    </w:p>
    <w:p>
      <w:pPr>
        <w:spacing w:after="0" w:line="179" w:lineRule="exact"/>
        <w:rPr>
          <w:rFonts w:ascii="Arial" w:cs="Arial" w:eastAsia="Arial" w:hAnsi="Arial"/>
          <w:sz w:val="18"/>
          <w:szCs w:val="18"/>
          <w:color w:val="auto"/>
        </w:rPr>
      </w:pPr>
    </w:p>
    <w:p>
      <w:pPr>
        <w:ind w:left="660" w:right="180" w:hanging="328"/>
        <w:spacing w:after="0" w:line="262"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changes in tax rates</w:t>
      </w:r>
      <w:r>
        <w:rPr>
          <w:rFonts w:ascii="Arial" w:cs="Arial" w:eastAsia="Arial" w:hAnsi="Arial"/>
          <w:sz w:val="18"/>
          <w:szCs w:val="18"/>
          <w:color w:val="auto"/>
        </w:rPr>
        <w:t>—payments under the Tax Receivable Agreement will be calculated using the actual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in effect for the applicable period and an assumed, weighted- average state and local income tax rate based on apportionment factors for the applicable period, so changes in tax rates will impact the magnitude of cash tax benefits covered by the Tax Receivable Agreement and the amount of payments under the Tax Receivable Agreement; and</w:t>
      </w:r>
    </w:p>
    <w:p>
      <w:pPr>
        <w:spacing w:after="0" w:line="203" w:lineRule="exact"/>
        <w:rPr>
          <w:rFonts w:ascii="Arial" w:cs="Arial" w:eastAsia="Arial" w:hAnsi="Arial"/>
          <w:sz w:val="18"/>
          <w:szCs w:val="18"/>
          <w:color w:val="auto"/>
        </w:rPr>
      </w:pPr>
    </w:p>
    <w:p>
      <w:pPr>
        <w:ind w:left="660" w:right="20" w:hanging="328"/>
        <w:spacing w:after="0" w:line="256" w:lineRule="auto"/>
        <w:tabs>
          <w:tab w:leader="none" w:pos="669"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the amount and timing of our income</w:t>
      </w:r>
      <w:r>
        <w:rPr>
          <w:rFonts w:ascii="Arial" w:cs="Arial" w:eastAsia="Arial" w:hAnsi="Arial"/>
          <w:sz w:val="18"/>
          <w:szCs w:val="18"/>
          <w:color w:val="auto"/>
        </w:rPr>
        <w:t>—Portillo’s Inc. is obligated to pay 85% of the cash tax benefits under the Tax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as and when realized. If Portillo’s Inc. does not have taxable income, Portillo’s Inc. is not required (absent certain changes of control or other circumstances requiring an early termination payment)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21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the depreciation and amortization periods that apply to the increases in tax basis, the timing and amount of any earlier payments that we may have made under the Tax Receivable Agreement and the portion of our payments under such Tax Receivable Agreement that constitute imputed interest or give rise to depreciable or amortizable tax basis are also relevant factors.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Decisions made by the Pre-IPO LLC Members in the course of running our business may influence the timing and amount of payments that are received by an exchanging or selling existing owner under the Tax Receivable Agreement. For example, the earlier disposition of assets following an exchange or acquisition transaction may accelerate payments under the Tax Receivable Agreement and increase the present value of such payments, and the disposition of assets before an exchange or acquisition transaction will increase an existing owner’s tax liability without giving rise to any rights of an existing owner to receive payments under the Tax Receivable Agreement.</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Payments under the Tax Receivable Agreement will be based on the tax reporting positions we determine, and the IRS or another taxing authority may challenge all or a part of the existing tax basis,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Portillo’s OpCo or any direct or indirect subsidiary thereof that are attributable to a tax period (or portion thereof) ending on or before the IPO. Further, the TRA Parties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cash tax benefits calculated based on certain assumptions, including that we would have sufficient taxable income to fully utilize the deductions 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shareholders. The present value of such anticipated future cash tax benefits are discounted at a rate equal to the lesser of (i) 6.5% per annum and (ii) one year LIBOR (or its successor rate) plus 100 basis points.</w:t>
      </w:r>
    </w:p>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the ability of Portillo’s OpCo to make distributions to us. To the extent that we are unable to make payments under the Tax Receivable Agreement for any reason, such payments will be deferred and will accrue interest until paid. Nonpayment for a specified period, however, may constitute a breach of a material obligation under the Tax Receivable Agreement and therefore accelerate payments due under the Tax Receivable Agreement (unless, generally, such nonpayment is due to a lack of sufficient funds), which could negatively impact our results of operations and could also affect our liquidity in periods in which such payments are made.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Registration Rights Agreement</w:t>
      </w:r>
    </w:p>
    <w:p>
      <w:pPr>
        <w:spacing w:after="0" w:line="2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IPO, we entered into a registration rights agreement with Berkshire and certain of our other shareholders. This agreement will provide Berkshire, and their permitted transferees, with “demand” registrations, which will require us to register shares of our common stock under the Securities Act. Each of our shareholders that is a party to the registration rights agreement will also be entitled to customary “piggyback” registration rights and entitled to participate on a pro rata basis in any registration of our common stock under the Securities Act that we may undertake. The registration rights agreement will also require us to maintain an effective shelf registration statement with respect to shares registered pursuant to the registration rights agreement, require that we will pay certain expenses relating to such registrations and require that we indemnify the shareholders party to the registration rights agreement against certain liabilities which may arise under the Securities Act.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Receivables</w:t>
      </w:r>
    </w:p>
    <w:p>
      <w:pPr>
        <w:spacing w:after="0" w:line="24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December 25, 2022, the related parties’ receivables consisted of a receivable balance due from C&amp;O of $0.3 million, which was included in accounts receivable in the consolidated balance sheet.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Olo</w:t>
      </w:r>
    </w:p>
    <w:p>
      <w:pPr>
        <w:spacing w:after="0" w:line="26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Noah Glass, a member of our Board, is the founder and CEO of Olo, Inc. ("Olo"), a platform the Company uses in connection with its mobile ordering application and delivery.</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56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the following Olo-related costs for Fiscal 2022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b w:val="1"/>
                <w:bCs w:val="1"/>
                <w:color w:val="auto"/>
              </w:rPr>
              <w:t>Fiscal Year Ended</w:t>
            </w:r>
          </w:p>
        </w:tc>
      </w:tr>
      <w:tr>
        <w:trPr>
          <w:trHeight w:val="247"/>
        </w:trPr>
        <w:tc>
          <w:tcPr>
            <w:tcW w:w="9500" w:type="dxa"/>
            <w:vAlign w:val="bottom"/>
            <w:tcBorders>
              <w:bottom w:val="single" w:sz="8" w:color="DBDBDB"/>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December 25, 2022</w:t>
            </w:r>
          </w:p>
        </w:tc>
      </w:tr>
      <w:tr>
        <w:trPr>
          <w:trHeight w:val="240"/>
        </w:trPr>
        <w:tc>
          <w:tcPr>
            <w:tcW w:w="95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 of goods sold, excluding depreciation and amortization</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2,008</w:t>
            </w:r>
          </w:p>
        </w:tc>
      </w:tr>
      <w:tr>
        <w:trPr>
          <w:trHeight w:val="237"/>
        </w:trPr>
        <w:tc>
          <w:tcPr>
            <w:tcW w:w="95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Other operating expenses</w:t>
            </w: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r>
      <w:tr>
        <w:trPr>
          <w:trHeight w:val="268"/>
        </w:trPr>
        <w:tc>
          <w:tcPr>
            <w:tcW w:w="9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Olo-related costs</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2,451</w:t>
            </w:r>
          </w:p>
        </w:tc>
      </w:tr>
      <w:tr>
        <w:trPr>
          <w:trHeight w:val="20"/>
        </w:trPr>
        <w:tc>
          <w:tcPr>
            <w:tcW w:w="95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2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25, 2022, $0.2 million was payable to Olo.</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Related Party Transactions, Policies and Procedures</w:t>
      </w:r>
    </w:p>
    <w:p>
      <w:pPr>
        <w:spacing w:after="0" w:line="24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or our Compensation Committee, as applicable. A “related person” includes (i) our directors, director nominees or executive officers, (ii) any 5% beneficial owner of our voting securities, or (iii) any immediate family member of the foregoing.</w:t>
      </w:r>
    </w:p>
    <w:p>
      <w:pPr>
        <w:spacing w:after="0" w:line="210" w:lineRule="exact"/>
        <w:rPr>
          <w:sz w:val="20"/>
          <w:szCs w:val="20"/>
          <w:color w:val="auto"/>
        </w:rPr>
      </w:pPr>
    </w:p>
    <w:p>
      <w:pPr>
        <w:ind w:right="560"/>
        <w:spacing w:after="0" w:line="257" w:lineRule="auto"/>
        <w:rPr>
          <w:sz w:val="20"/>
          <w:szCs w:val="20"/>
          <w:color w:val="auto"/>
        </w:rPr>
      </w:pPr>
      <w:r>
        <w:rPr>
          <w:rFonts w:ascii="Arial" w:cs="Arial" w:eastAsia="Arial" w:hAnsi="Arial"/>
          <w:sz w:val="18"/>
          <w:szCs w:val="18"/>
          <w:color w:val="auto"/>
        </w:rPr>
        <w:t>The Policy requires that notice of a proposed related person transaction be provided to our General Counsel prior to entry into such transaction. If our General Counsel determines that such transaction is a related person transaction, the proposed transaction will be submitted to our Audit Committee for consideration at its next meeting. Under the Policy, our Audit Committee may approve only those related person transactions that are in, or are not inconsistent with, our best interests. In reviewing and approving any related party transaction, the Audit Committee is tasked to consider all of the relevant facts and circumstances, and consideration of various factors enumerated in the Policy.</w:t>
      </w:r>
    </w:p>
    <w:p>
      <w:pPr>
        <w:spacing w:after="0" w:line="209"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 Policy also provides that the Audit Committee review certain previously approved or ratified related person transactions that are ongoing to determine whether the related person transaction remains in our best interests and the best interests of our shareholders. Additionally, we will make periodic inquiries of directors and executive officers with respect to any potential related person transaction to which they may be a party or of which they may be aware.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Director Independence</w:t>
      </w:r>
    </w:p>
    <w:p>
      <w:pPr>
        <w:spacing w:after="0" w:line="26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See Item 10. "Director Independence” and Item 10. "Board Committees” above for a discussion of the matters required by Item 407(a)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14.</w:t>
      </w:r>
      <w:r>
        <w:rPr>
          <w:sz w:val="20"/>
          <w:szCs w:val="20"/>
          <w:color w:val="auto"/>
        </w:rPr>
        <w:tab/>
      </w:r>
      <w:r>
        <w:rPr>
          <w:rFonts w:ascii="Arial" w:cs="Arial" w:eastAsia="Arial" w:hAnsi="Arial"/>
          <w:sz w:val="24"/>
          <w:szCs w:val="24"/>
          <w:b w:val="1"/>
          <w:bCs w:val="1"/>
          <w:color w:val="414042"/>
        </w:rPr>
        <w:t>PRINCIPAL ACCOUNTANT FEES AND SERVICES</w:t>
      </w:r>
    </w:p>
    <w:p>
      <w:pPr>
        <w:spacing w:after="0" w:line="25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Board selected Deloitte &amp; Touche LLP to serve as our independent registered public accounting firm for Fiscal 2022. Aggregate fees billed to the Company for the fiscal years ended December 25, 2022 and December 26, 2021 by the Company's principal accounting firm, Deloitte &amp; Touche LLP, the member firms of Deloitte Touche Tohmatsu Limited, and their related entities (collectively, "Deloitte") were approximately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540" w:type="dxa"/>
            <w:vAlign w:val="bottom"/>
            <w:tcBorders>
              <w:bottom w:val="single" w:sz="8" w:color="DBDBDB"/>
            </w:tcBorders>
          </w:tcPr>
          <w:p>
            <w:pPr>
              <w:spacing w:after="0"/>
              <w:rPr>
                <w:sz w:val="19"/>
                <w:szCs w:val="19"/>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2021</w:t>
            </w:r>
          </w:p>
        </w:tc>
      </w:tr>
      <w:tr>
        <w:trPr>
          <w:trHeight w:val="240"/>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Audit fees (1)</w:t>
            </w:r>
          </w:p>
        </w:tc>
        <w:tc>
          <w:tcPr>
            <w:tcW w:w="1600" w:type="dxa"/>
            <w:vAlign w:val="bottom"/>
            <w:shd w:val="clear" w:color="auto" w:fill="DBDBDB"/>
          </w:tcPr>
          <w:p>
            <w:pPr>
              <w:jc w:val="right"/>
              <w:ind w:right="1399"/>
              <w:spacing w:after="0"/>
              <w:rPr>
                <w:sz w:val="20"/>
                <w:szCs w:val="20"/>
                <w:color w:val="auto"/>
              </w:rPr>
            </w:pPr>
            <w:r>
              <w:rPr>
                <w:rFonts w:ascii="Arial" w:cs="Arial" w:eastAsia="Arial" w:hAnsi="Arial"/>
                <w:sz w:val="16"/>
                <w:szCs w:val="16"/>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1,798</w:t>
            </w:r>
          </w:p>
        </w:tc>
        <w:tc>
          <w:tcPr>
            <w:tcW w:w="100" w:type="dxa"/>
            <w:vAlign w:val="bottom"/>
            <w:shd w:val="clear" w:color="auto" w:fill="DBDBDB"/>
          </w:tcPr>
          <w:p>
            <w:pPr>
              <w:spacing w:after="0"/>
              <w:rPr>
                <w:sz w:val="20"/>
                <w:szCs w:val="20"/>
                <w:color w:val="auto"/>
              </w:rPr>
            </w:pPr>
          </w:p>
        </w:tc>
        <w:tc>
          <w:tcPr>
            <w:tcW w:w="540" w:type="dxa"/>
            <w:vAlign w:val="bottom"/>
            <w:shd w:val="clear" w:color="auto" w:fill="DBDBDB"/>
          </w:tcPr>
          <w:p>
            <w:pPr>
              <w:jc w:val="right"/>
              <w:ind w:right="3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2,757</w:t>
            </w:r>
          </w:p>
        </w:tc>
      </w:tr>
      <w:tr>
        <w:trPr>
          <w:trHeight w:val="235"/>
        </w:trPr>
        <w:tc>
          <w:tcPr>
            <w:tcW w:w="6540" w:type="dxa"/>
            <w:vAlign w:val="bottom"/>
          </w:tcPr>
          <w:p>
            <w:pPr>
              <w:ind w:left="20"/>
              <w:spacing w:after="0"/>
              <w:rPr>
                <w:sz w:val="20"/>
                <w:szCs w:val="20"/>
                <w:color w:val="auto"/>
              </w:rPr>
            </w:pPr>
            <w:r>
              <w:rPr>
                <w:rFonts w:ascii="Arial" w:cs="Arial" w:eastAsia="Arial" w:hAnsi="Arial"/>
                <w:sz w:val="16"/>
                <w:szCs w:val="16"/>
                <w:color w:val="auto"/>
              </w:rPr>
              <w:t>Tax fees (2)</w:t>
            </w:r>
          </w:p>
        </w:tc>
        <w:tc>
          <w:tcPr>
            <w:tcW w:w="16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1,225</w:t>
            </w:r>
          </w:p>
        </w:tc>
      </w:tr>
      <w:tr>
        <w:trPr>
          <w:trHeight w:val="251"/>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All other fees (3)</w:t>
            </w:r>
          </w:p>
        </w:tc>
        <w:tc>
          <w:tcPr>
            <w:tcW w:w="1600" w:type="dxa"/>
            <w:vAlign w:val="bottom"/>
            <w:tcBorders>
              <w:bottom w:val="single" w:sz="8" w:color="auto"/>
            </w:tcBorders>
            <w:shd w:val="clear" w:color="auto" w:fill="DBDBDB"/>
          </w:tcPr>
          <w:p>
            <w:pPr>
              <w:spacing w:after="0"/>
              <w:rPr>
                <w:sz w:val="21"/>
                <w:szCs w:val="21"/>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DBDBDB"/>
          </w:tcPr>
          <w:p>
            <w:pPr>
              <w:spacing w:after="0"/>
              <w:rPr>
                <w:sz w:val="21"/>
                <w:szCs w:val="21"/>
                <w:color w:val="auto"/>
              </w:rPr>
            </w:pPr>
          </w:p>
        </w:tc>
        <w:tc>
          <w:tcPr>
            <w:tcW w:w="540" w:type="dxa"/>
            <w:vAlign w:val="bottom"/>
            <w:tcBorders>
              <w:bottom w:val="single" w:sz="8" w:color="auto"/>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60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2,595</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3,984</w:t>
            </w:r>
          </w:p>
        </w:tc>
      </w:tr>
      <w:tr>
        <w:trPr>
          <w:trHeight w:val="27"/>
        </w:trPr>
        <w:tc>
          <w:tcPr>
            <w:tcW w:w="65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20" w:firstLine="8"/>
        <w:spacing w:after="0" w:line="263" w:lineRule="auto"/>
        <w:tabs>
          <w:tab w:leader="none" w:pos="2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are fees for professional services performed by Deloitte for the audit of our annual financial statements and review of financial statements included in our Form 10-Q filings, as well as services that are normally provided in connection with statutory and regulatory filings or engagements.</w:t>
      </w:r>
    </w:p>
    <w:p>
      <w:pPr>
        <w:ind w:right="400" w:firstLine="8"/>
        <w:spacing w:after="0" w:line="255" w:lineRule="auto"/>
        <w:tabs>
          <w:tab w:leader="none" w:pos="2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are fees for professional services performed by Deloitte with respect to tax compliance, tax advice and tax planning. Fees incurred principally relate to review of tax returns, preparation of tax returns or supporting documentation and consultation with regard to various tax planning issues.</w:t>
      </w:r>
    </w:p>
    <w:p>
      <w:pPr>
        <w:ind w:left="260" w:hanging="252"/>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are fees related to accounting research database subscription services.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Audit Committee's charter provides that the Audit Committee, or the chair of the Audit Committee, must pre-approve any audit or non-audit service provided to us by Deloitte, unless the engagement is entered into pursuant to appropriate pre-approval policies established by the Audit Committee or if the service falls within available exceptions under SEC rules. Without limiting the foregoing, the Audit Committee may delegate authority to one or more independent members of the Audit Committee to grant pre-approvals of audit and permitted non-audit services, and any such pre-approvals must be presented to the full Audit Committee at its next scheduled meeting. All such services and fees provided by our independent registered public accounting firm during Fiscal 2022 and Fiscal 2021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414042"/>
        </w:rPr>
        <w:t>PART IV</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1200" w:type="dxa"/>
            <w:vAlign w:val="bottom"/>
            <w:gridSpan w:val="2"/>
          </w:tcPr>
          <w:p>
            <w:pPr>
              <w:spacing w:after="0"/>
              <w:rPr>
                <w:sz w:val="20"/>
                <w:szCs w:val="20"/>
                <w:color w:val="auto"/>
              </w:rPr>
            </w:pPr>
            <w:r>
              <w:rPr>
                <w:rFonts w:ascii="Arial" w:cs="Arial" w:eastAsia="Arial" w:hAnsi="Arial"/>
                <w:sz w:val="25"/>
                <w:szCs w:val="25"/>
                <w:b w:val="1"/>
                <w:bCs w:val="1"/>
                <w:color w:val="414042"/>
              </w:rPr>
              <w:t>ITEM 15.</w:t>
            </w:r>
          </w:p>
        </w:tc>
        <w:tc>
          <w:tcPr>
            <w:tcW w:w="7220" w:type="dxa"/>
            <w:vAlign w:val="bottom"/>
            <w:gridSpan w:val="10"/>
          </w:tcPr>
          <w:p>
            <w:pPr>
              <w:ind w:left="180"/>
              <w:spacing w:after="0"/>
              <w:rPr>
                <w:sz w:val="20"/>
                <w:szCs w:val="20"/>
                <w:color w:val="auto"/>
              </w:rPr>
            </w:pPr>
            <w:r>
              <w:rPr>
                <w:rFonts w:ascii="Arial" w:cs="Arial" w:eastAsia="Arial" w:hAnsi="Arial"/>
                <w:sz w:val="25"/>
                <w:szCs w:val="25"/>
                <w:b w:val="1"/>
                <w:bCs w:val="1"/>
                <w:color w:val="414042"/>
              </w:rPr>
              <w:t>EXHIBITS AND FINANCIAL STATEMENT SCHEDULES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7"/>
        </w:trPr>
        <w:tc>
          <w:tcPr>
            <w:tcW w:w="8420" w:type="dxa"/>
            <w:vAlign w:val="bottom"/>
            <w:gridSpan w:val="12"/>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67"/>
        </w:trPr>
        <w:tc>
          <w:tcPr>
            <w:tcW w:w="680" w:type="dxa"/>
            <w:vAlign w:val="bottom"/>
          </w:tcPr>
          <w:p>
            <w:pPr>
              <w:spacing w:after="0"/>
              <w:rPr>
                <w:sz w:val="24"/>
                <w:szCs w:val="24"/>
                <w:color w:val="auto"/>
              </w:rPr>
            </w:pPr>
          </w:p>
        </w:tc>
        <w:tc>
          <w:tcPr>
            <w:tcW w:w="7740" w:type="dxa"/>
            <w:vAlign w:val="bottom"/>
            <w:gridSpan w:val="11"/>
          </w:tcPr>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414042"/>
              </w:rPr>
              <w:t>Financial Statements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8"/>
        </w:trPr>
        <w:tc>
          <w:tcPr>
            <w:tcW w:w="6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Page</w:t>
            </w:r>
          </w:p>
        </w:tc>
      </w:tr>
      <w:tr>
        <w:trPr>
          <w:trHeight w:val="203"/>
        </w:trPr>
        <w:tc>
          <w:tcPr>
            <w:tcW w:w="680" w:type="dxa"/>
            <w:vAlign w:val="bottom"/>
            <w:tcBorders>
              <w:right w:val="single" w:sz="8" w:color="DBDBDB"/>
            </w:tcBorders>
          </w:tcPr>
          <w:p>
            <w:pPr>
              <w:spacing w:after="0"/>
              <w:rPr>
                <w:sz w:val="17"/>
                <w:szCs w:val="17"/>
                <w:color w:val="auto"/>
              </w:rPr>
            </w:pPr>
          </w:p>
        </w:tc>
        <w:tc>
          <w:tcPr>
            <w:tcW w:w="7740" w:type="dxa"/>
            <w:vAlign w:val="bottom"/>
            <w:gridSpan w:val="11"/>
            <w:shd w:val="clear" w:color="auto" w:fill="DBDBDB"/>
          </w:tcPr>
          <w:p>
            <w:pPr>
              <w:spacing w:after="0" w:line="202" w:lineRule="exact"/>
              <w:rPr>
                <w:sz w:val="20"/>
                <w:szCs w:val="20"/>
                <w:color w:val="auto"/>
              </w:rPr>
            </w:pPr>
            <w:r>
              <w:rPr>
                <w:rFonts w:ascii="Arial" w:cs="Arial" w:eastAsia="Arial" w:hAnsi="Arial"/>
                <w:sz w:val="18"/>
                <w:szCs w:val="18"/>
                <w:color w:val="auto"/>
              </w:rPr>
              <w:t>Report of Independent Registered Public Accounting Firm (PCAOB ID No. 34)</w:t>
            </w:r>
          </w:p>
        </w:tc>
        <w:tc>
          <w:tcPr>
            <w:tcW w:w="1920" w:type="dxa"/>
            <w:vAlign w:val="bottom"/>
            <w:gridSpan w:val="3"/>
            <w:shd w:val="clear" w:color="auto" w:fill="DBDBDB"/>
          </w:tcPr>
          <w:p>
            <w:pPr>
              <w:jc w:val="center"/>
              <w:ind w:right="240"/>
              <w:spacing w:after="0" w:line="202" w:lineRule="exact"/>
              <w:rPr>
                <w:sz w:val="20"/>
                <w:szCs w:val="20"/>
                <w:color w:val="auto"/>
              </w:rPr>
            </w:pPr>
            <w:r>
              <w:rPr>
                <w:rFonts w:ascii="Arial" w:cs="Arial" w:eastAsia="Arial" w:hAnsi="Arial"/>
                <w:sz w:val="18"/>
                <w:szCs w:val="18"/>
                <w:color w:val="auto"/>
                <w:w w:val="99"/>
              </w:rPr>
              <w:t>51</w:t>
            </w:r>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140" w:type="dxa"/>
            <w:vAlign w:val="bottom"/>
            <w:tcBorders>
              <w:top w:val="single" w:sz="8" w:color="auto"/>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r>
        <w:trPr>
          <w:trHeight w:val="203"/>
        </w:trPr>
        <w:tc>
          <w:tcPr>
            <w:tcW w:w="680" w:type="dxa"/>
            <w:vAlign w:val="bottom"/>
          </w:tcPr>
          <w:p>
            <w:pPr>
              <w:spacing w:after="0"/>
              <w:rPr>
                <w:sz w:val="17"/>
                <w:szCs w:val="17"/>
                <w:color w:val="auto"/>
              </w:rPr>
            </w:pPr>
          </w:p>
        </w:tc>
        <w:tc>
          <w:tcPr>
            <w:tcW w:w="6200" w:type="dxa"/>
            <w:vAlign w:val="bottom"/>
            <w:gridSpan w:val="10"/>
          </w:tcPr>
          <w:p>
            <w:pPr>
              <w:spacing w:after="0" w:line="202" w:lineRule="exact"/>
              <w:rPr>
                <w:sz w:val="20"/>
                <w:szCs w:val="20"/>
                <w:color w:val="auto"/>
              </w:rPr>
            </w:pPr>
            <w:r>
              <w:rPr>
                <w:rFonts w:ascii="Arial" w:cs="Arial" w:eastAsia="Arial" w:hAnsi="Arial"/>
                <w:sz w:val="18"/>
                <w:szCs w:val="18"/>
                <w:color w:val="auto"/>
              </w:rPr>
              <w:t>Consolidated Balance Sheets</w:t>
            </w: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gridSpan w:val="2"/>
          </w:tcPr>
          <w:p>
            <w:pPr>
              <w:jc w:val="center"/>
              <w:ind w:right="980"/>
              <w:spacing w:after="0" w:line="202" w:lineRule="exact"/>
              <w:rPr>
                <w:sz w:val="20"/>
                <w:szCs w:val="20"/>
                <w:color w:val="auto"/>
              </w:rPr>
            </w:pPr>
            <w:r>
              <w:rPr>
                <w:rFonts w:ascii="Arial" w:cs="Arial" w:eastAsia="Arial" w:hAnsi="Arial"/>
                <w:sz w:val="18"/>
                <w:szCs w:val="18"/>
                <w:color w:val="auto"/>
                <w:w w:val="99"/>
              </w:rPr>
              <w:t>52</w:t>
            </w:r>
          </w:p>
        </w:tc>
      </w:tr>
      <w:tr>
        <w:trPr>
          <w:trHeight w:val="48"/>
        </w:trPr>
        <w:tc>
          <w:tcPr>
            <w:tcW w:w="6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r>
      <w:tr>
        <w:trPr>
          <w:trHeight w:val="203"/>
        </w:trPr>
        <w:tc>
          <w:tcPr>
            <w:tcW w:w="680" w:type="dxa"/>
            <w:vAlign w:val="bottom"/>
            <w:tcBorders>
              <w:right w:val="single" w:sz="8" w:color="DBDBDB"/>
            </w:tcBorders>
          </w:tcPr>
          <w:p>
            <w:pPr>
              <w:spacing w:after="0"/>
              <w:rPr>
                <w:sz w:val="17"/>
                <w:szCs w:val="17"/>
                <w:color w:val="auto"/>
              </w:rPr>
            </w:pPr>
          </w:p>
        </w:tc>
        <w:tc>
          <w:tcPr>
            <w:tcW w:w="3140" w:type="dxa"/>
            <w:vAlign w:val="bottom"/>
            <w:gridSpan w:val="3"/>
            <w:shd w:val="clear" w:color="auto" w:fill="DBDBDB"/>
          </w:tcPr>
          <w:p>
            <w:pPr>
              <w:spacing w:after="0" w:line="202" w:lineRule="exact"/>
              <w:rPr>
                <w:sz w:val="20"/>
                <w:szCs w:val="20"/>
                <w:color w:val="auto"/>
              </w:rPr>
            </w:pPr>
            <w:r>
              <w:rPr>
                <w:rFonts w:ascii="Arial" w:cs="Arial" w:eastAsia="Arial" w:hAnsi="Arial"/>
                <w:sz w:val="18"/>
                <w:szCs w:val="18"/>
                <w:color w:val="auto"/>
                <w:w w:val="99"/>
              </w:rPr>
              <w:t>Consolidated Statements of Operations</w:t>
            </w:r>
          </w:p>
        </w:tc>
        <w:tc>
          <w:tcPr>
            <w:tcW w:w="4600" w:type="dxa"/>
            <w:vAlign w:val="bottom"/>
            <w:gridSpan w:val="8"/>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center"/>
              <w:ind w:right="980"/>
              <w:spacing w:after="0" w:line="202" w:lineRule="exact"/>
              <w:rPr>
                <w:sz w:val="20"/>
                <w:szCs w:val="20"/>
                <w:color w:val="auto"/>
              </w:rPr>
            </w:pPr>
            <w:r>
              <w:rPr>
                <w:rFonts w:ascii="Arial" w:cs="Arial" w:eastAsia="Arial" w:hAnsi="Arial"/>
                <w:sz w:val="18"/>
                <w:szCs w:val="18"/>
                <w:color w:val="auto"/>
                <w:w w:val="99"/>
              </w:rPr>
              <w:t>53</w:t>
            </w:r>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r>
        <w:trPr>
          <w:trHeight w:val="203"/>
        </w:trPr>
        <w:tc>
          <w:tcPr>
            <w:tcW w:w="680" w:type="dxa"/>
            <w:vAlign w:val="bottom"/>
          </w:tcPr>
          <w:p>
            <w:pPr>
              <w:spacing w:after="0"/>
              <w:rPr>
                <w:sz w:val="17"/>
                <w:szCs w:val="17"/>
                <w:color w:val="auto"/>
              </w:rPr>
            </w:pPr>
          </w:p>
        </w:tc>
        <w:tc>
          <w:tcPr>
            <w:tcW w:w="7740" w:type="dxa"/>
            <w:vAlign w:val="bottom"/>
            <w:gridSpan w:val="11"/>
          </w:tcPr>
          <w:p>
            <w:pPr>
              <w:spacing w:after="0" w:line="202" w:lineRule="exact"/>
              <w:rPr>
                <w:sz w:val="20"/>
                <w:szCs w:val="20"/>
                <w:color w:val="auto"/>
              </w:rPr>
            </w:pPr>
            <w:r>
              <w:rPr>
                <w:rFonts w:ascii="Arial" w:cs="Arial" w:eastAsia="Arial" w:hAnsi="Arial"/>
                <w:sz w:val="18"/>
                <w:szCs w:val="18"/>
                <w:color w:val="auto"/>
              </w:rPr>
              <w:t>Consolidated Statements of Stockholders' and Members</w:t>
            </w:r>
            <w:r>
              <w:rPr>
                <w:rFonts w:ascii="Arial" w:cs="Arial" w:eastAsia="Arial" w:hAnsi="Arial"/>
                <w:sz w:val="18"/>
                <w:szCs w:val="18"/>
                <w:u w:val="single" w:color="auto"/>
                <w:color w:val="0000FF"/>
              </w:rPr>
              <w:t>'</w:t>
            </w:r>
            <w:r>
              <w:rPr>
                <w:rFonts w:ascii="Arial" w:cs="Arial" w:eastAsia="Arial" w:hAnsi="Arial"/>
                <w:sz w:val="18"/>
                <w:szCs w:val="18"/>
                <w:color w:val="auto"/>
              </w:rPr>
              <w:t xml:space="preserve"> Equity</w:t>
            </w:r>
          </w:p>
        </w:tc>
        <w:tc>
          <w:tcPr>
            <w:tcW w:w="1920" w:type="dxa"/>
            <w:vAlign w:val="bottom"/>
            <w:gridSpan w:val="3"/>
          </w:tcPr>
          <w:p>
            <w:pPr>
              <w:jc w:val="center"/>
              <w:ind w:right="240"/>
              <w:spacing w:after="0" w:line="202" w:lineRule="exact"/>
              <w:rPr>
                <w:sz w:val="20"/>
                <w:szCs w:val="20"/>
                <w:color w:val="auto"/>
              </w:rPr>
            </w:pPr>
            <w:r>
              <w:rPr>
                <w:rFonts w:ascii="Arial" w:cs="Arial" w:eastAsia="Arial" w:hAnsi="Arial"/>
                <w:sz w:val="18"/>
                <w:szCs w:val="18"/>
                <w:color w:val="auto"/>
                <w:w w:val="99"/>
              </w:rPr>
              <w:t>54</w:t>
            </w:r>
          </w:p>
        </w:tc>
      </w:tr>
      <w:tr>
        <w:trPr>
          <w:trHeight w:val="48"/>
        </w:trPr>
        <w:tc>
          <w:tcPr>
            <w:tcW w:w="6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r>
      <w:tr>
        <w:trPr>
          <w:trHeight w:val="203"/>
        </w:trPr>
        <w:tc>
          <w:tcPr>
            <w:tcW w:w="680" w:type="dxa"/>
            <w:vAlign w:val="bottom"/>
            <w:tcBorders>
              <w:right w:val="single" w:sz="8" w:color="DBDBDB"/>
            </w:tcBorders>
          </w:tcPr>
          <w:p>
            <w:pPr>
              <w:spacing w:after="0"/>
              <w:rPr>
                <w:sz w:val="17"/>
                <w:szCs w:val="17"/>
                <w:color w:val="auto"/>
              </w:rPr>
            </w:pPr>
          </w:p>
        </w:tc>
        <w:tc>
          <w:tcPr>
            <w:tcW w:w="3200" w:type="dxa"/>
            <w:vAlign w:val="bottom"/>
            <w:gridSpan w:val="4"/>
            <w:shd w:val="clear" w:color="auto" w:fill="DBDBDB"/>
          </w:tcPr>
          <w:p>
            <w:pPr>
              <w:spacing w:after="0" w:line="202" w:lineRule="exact"/>
              <w:rPr>
                <w:sz w:val="20"/>
                <w:szCs w:val="20"/>
                <w:color w:val="auto"/>
              </w:rPr>
            </w:pPr>
            <w:r>
              <w:rPr>
                <w:rFonts w:ascii="Arial" w:cs="Arial" w:eastAsia="Arial" w:hAnsi="Arial"/>
                <w:sz w:val="18"/>
                <w:szCs w:val="18"/>
                <w:color w:val="auto"/>
                <w:w w:val="99"/>
              </w:rPr>
              <w:t>Consolidated Statements of Cash Flows</w:t>
            </w:r>
          </w:p>
        </w:tc>
        <w:tc>
          <w:tcPr>
            <w:tcW w:w="4540" w:type="dxa"/>
            <w:vAlign w:val="bottom"/>
            <w:gridSpan w:val="7"/>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1180" w:type="dxa"/>
            <w:vAlign w:val="bottom"/>
            <w:gridSpan w:val="2"/>
            <w:shd w:val="clear" w:color="auto" w:fill="DBDBDB"/>
          </w:tcPr>
          <w:p>
            <w:pPr>
              <w:jc w:val="center"/>
              <w:ind w:right="980"/>
              <w:spacing w:after="0" w:line="202" w:lineRule="exact"/>
              <w:rPr>
                <w:sz w:val="20"/>
                <w:szCs w:val="20"/>
                <w:color w:val="auto"/>
              </w:rPr>
            </w:pPr>
            <w:r>
              <w:rPr>
                <w:rFonts w:ascii="Arial" w:cs="Arial" w:eastAsia="Arial" w:hAnsi="Arial"/>
                <w:sz w:val="18"/>
                <w:szCs w:val="18"/>
                <w:color w:val="auto"/>
                <w:w w:val="99"/>
              </w:rPr>
              <w:t>56</w:t>
            </w:r>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r>
        <w:trPr>
          <w:trHeight w:val="203"/>
        </w:trPr>
        <w:tc>
          <w:tcPr>
            <w:tcW w:w="680" w:type="dxa"/>
            <w:vAlign w:val="bottom"/>
          </w:tcPr>
          <w:p>
            <w:pPr>
              <w:spacing w:after="0"/>
              <w:rPr>
                <w:sz w:val="17"/>
                <w:szCs w:val="17"/>
                <w:color w:val="auto"/>
              </w:rPr>
            </w:pPr>
          </w:p>
        </w:tc>
        <w:tc>
          <w:tcPr>
            <w:tcW w:w="3500" w:type="dxa"/>
            <w:vAlign w:val="bottom"/>
            <w:gridSpan w:val="5"/>
          </w:tcPr>
          <w:p>
            <w:pPr>
              <w:spacing w:after="0" w:line="202" w:lineRule="exact"/>
              <w:rPr>
                <w:sz w:val="20"/>
                <w:szCs w:val="20"/>
                <w:color w:val="auto"/>
              </w:rPr>
            </w:pPr>
            <w:r>
              <w:rPr>
                <w:rFonts w:ascii="Arial" w:cs="Arial" w:eastAsia="Arial" w:hAnsi="Arial"/>
                <w:sz w:val="18"/>
                <w:szCs w:val="18"/>
                <w:color w:val="auto"/>
                <w:w w:val="99"/>
              </w:rPr>
              <w:t>Notes to Consolidated Financial Statements</w:t>
            </w:r>
          </w:p>
        </w:tc>
        <w:tc>
          <w:tcPr>
            <w:tcW w:w="4240" w:type="dxa"/>
            <w:vAlign w:val="bottom"/>
            <w:gridSpan w:val="6"/>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gridSpan w:val="2"/>
          </w:tcPr>
          <w:p>
            <w:pPr>
              <w:jc w:val="center"/>
              <w:ind w:right="980"/>
              <w:spacing w:after="0" w:line="202" w:lineRule="exact"/>
              <w:rPr>
                <w:sz w:val="20"/>
                <w:szCs w:val="20"/>
                <w:color w:val="auto"/>
              </w:rPr>
            </w:pPr>
            <w:r>
              <w:rPr>
                <w:rFonts w:ascii="Arial" w:cs="Arial" w:eastAsia="Arial" w:hAnsi="Arial"/>
                <w:sz w:val="18"/>
                <w:szCs w:val="18"/>
                <w:color w:val="auto"/>
                <w:w w:val="99"/>
              </w:rPr>
              <w:t>58</w:t>
            </w:r>
          </w:p>
        </w:tc>
      </w:tr>
      <w:tr>
        <w:trPr>
          <w:trHeight w:val="20"/>
        </w:trPr>
        <w:tc>
          <w:tcPr>
            <w:tcW w:w="680" w:type="dxa"/>
            <w:vAlign w:val="bottom"/>
          </w:tcPr>
          <w:p>
            <w:pPr>
              <w:spacing w:after="0" w:line="20" w:lineRule="exact"/>
              <w:rPr>
                <w:sz w:val="1"/>
                <w:szCs w:val="1"/>
                <w:color w:val="auto"/>
              </w:rPr>
            </w:pPr>
          </w:p>
        </w:tc>
        <w:tc>
          <w:tcPr>
            <w:tcW w:w="3500" w:type="dxa"/>
            <w:vAlign w:val="bottom"/>
            <w:gridSpan w:val="5"/>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13"/>
        </w:trPr>
        <w:tc>
          <w:tcPr>
            <w:tcW w:w="680" w:type="dxa"/>
            <w:vAlign w:val="bottom"/>
          </w:tcPr>
          <w:p>
            <w:pPr>
              <w:spacing w:after="0"/>
              <w:rPr>
                <w:sz w:val="24"/>
                <w:szCs w:val="24"/>
                <w:color w:val="auto"/>
              </w:rPr>
            </w:pPr>
          </w:p>
        </w:tc>
        <w:tc>
          <w:tcPr>
            <w:tcW w:w="7740" w:type="dxa"/>
            <w:vAlign w:val="bottom"/>
            <w:gridSpan w:val="11"/>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414042"/>
              </w:rPr>
              <w:t>Financial Statement Schedules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8"/>
        </w:trPr>
        <w:tc>
          <w:tcPr>
            <w:tcW w:w="6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7"/>
              </w:rPr>
              <w:t>Page</w:t>
            </w:r>
          </w:p>
        </w:tc>
      </w:tr>
      <w:tr>
        <w:trPr>
          <w:trHeight w:val="202"/>
        </w:trPr>
        <w:tc>
          <w:tcPr>
            <w:tcW w:w="680" w:type="dxa"/>
            <w:vAlign w:val="bottom"/>
            <w:tcBorders>
              <w:right w:val="single" w:sz="8" w:color="DBDBDB"/>
            </w:tcBorders>
          </w:tcPr>
          <w:p>
            <w:pPr>
              <w:spacing w:after="0"/>
              <w:rPr>
                <w:sz w:val="17"/>
                <w:szCs w:val="17"/>
                <w:color w:val="auto"/>
              </w:rPr>
            </w:pPr>
          </w:p>
        </w:tc>
        <w:tc>
          <w:tcPr>
            <w:tcW w:w="7740" w:type="dxa"/>
            <w:vAlign w:val="bottom"/>
            <w:gridSpan w:val="11"/>
            <w:shd w:val="clear" w:color="auto" w:fill="DBDBDB"/>
          </w:tcPr>
          <w:p>
            <w:pPr>
              <w:spacing w:after="0" w:line="202" w:lineRule="exact"/>
              <w:rPr>
                <w:sz w:val="20"/>
                <w:szCs w:val="20"/>
                <w:color w:val="auto"/>
              </w:rPr>
            </w:pPr>
            <w:r>
              <w:rPr>
                <w:rFonts w:ascii="Arial" w:cs="Arial" w:eastAsia="Arial" w:hAnsi="Arial"/>
                <w:sz w:val="18"/>
                <w:szCs w:val="18"/>
                <w:color w:val="auto"/>
              </w:rPr>
              <w:t>Schedule II: Valuation and Qualifying Accounts</w:t>
            </w:r>
          </w:p>
        </w:tc>
        <w:tc>
          <w:tcPr>
            <w:tcW w:w="1920" w:type="dxa"/>
            <w:vAlign w:val="bottom"/>
            <w:gridSpan w:val="3"/>
            <w:shd w:val="clear" w:color="auto" w:fill="DBDBDB"/>
          </w:tcPr>
          <w:p>
            <w:pPr>
              <w:jc w:val="center"/>
              <w:ind w:right="240"/>
              <w:spacing w:after="0" w:line="202" w:lineRule="exact"/>
              <w:rPr>
                <w:sz w:val="20"/>
                <w:szCs w:val="20"/>
                <w:color w:val="auto"/>
              </w:rPr>
            </w:pPr>
            <w:r>
              <w:rPr>
                <w:rFonts w:ascii="Arial" w:cs="Arial" w:eastAsia="Arial" w:hAnsi="Arial"/>
                <w:sz w:val="18"/>
                <w:szCs w:val="18"/>
                <w:color w:val="auto"/>
                <w:w w:val="99"/>
              </w:rPr>
              <w:t>87</w:t>
            </w:r>
          </w:p>
        </w:tc>
      </w:tr>
      <w:tr>
        <w:trPr>
          <w:trHeight w:val="48"/>
        </w:trPr>
        <w:tc>
          <w:tcPr>
            <w:tcW w:w="680" w:type="dxa"/>
            <w:vAlign w:val="bottom"/>
            <w:tcBorders>
              <w:right w:val="single" w:sz="8" w:color="DBDBDB"/>
            </w:tcBorders>
          </w:tcPr>
          <w:p>
            <w:pPr>
              <w:spacing w:after="0"/>
              <w:rPr>
                <w:sz w:val="4"/>
                <w:szCs w:val="4"/>
                <w:color w:val="auto"/>
              </w:rPr>
            </w:pPr>
          </w:p>
        </w:tc>
        <w:tc>
          <w:tcPr>
            <w:tcW w:w="520" w:type="dxa"/>
            <w:vAlign w:val="bottom"/>
            <w:tcBorders>
              <w:top w:val="single" w:sz="8" w:color="auto"/>
            </w:tcBorders>
            <w:shd w:val="clear" w:color="auto" w:fill="DBDBDB"/>
          </w:tcPr>
          <w:p>
            <w:pPr>
              <w:spacing w:after="0"/>
              <w:rPr>
                <w:sz w:val="4"/>
                <w:szCs w:val="4"/>
                <w:color w:val="auto"/>
              </w:rPr>
            </w:pPr>
          </w:p>
        </w:tc>
        <w:tc>
          <w:tcPr>
            <w:tcW w:w="184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76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114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tcBorders>
            <w:shd w:val="clear" w:color="auto" w:fill="DBDBDB"/>
          </w:tcPr>
          <w:p>
            <w:pPr>
              <w:spacing w:after="0"/>
              <w:rPr>
                <w:sz w:val="4"/>
                <w:szCs w:val="4"/>
                <w:color w:val="auto"/>
              </w:rPr>
            </w:pPr>
          </w:p>
        </w:tc>
        <w:tc>
          <w:tcPr>
            <w:tcW w:w="74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DBDBDB"/>
            </w:tcBorders>
            <w:shd w:val="clear" w:color="auto" w:fill="DBDBDB"/>
          </w:tcPr>
          <w:p>
            <w:pPr>
              <w:spacing w:after="0"/>
              <w:rPr>
                <w:sz w:val="4"/>
                <w:szCs w:val="4"/>
                <w:color w:val="auto"/>
              </w:rPr>
            </w:pPr>
          </w:p>
        </w:tc>
      </w:tr>
    </w:tbl>
    <w:p>
      <w:pPr>
        <w:spacing w:after="0" w:line="305" w:lineRule="exact"/>
        <w:rPr>
          <w:sz w:val="20"/>
          <w:szCs w:val="20"/>
          <w:color w:val="auto"/>
        </w:rPr>
      </w:pPr>
    </w:p>
    <w:p>
      <w:pPr>
        <w:ind w:left="660" w:right="320"/>
        <w:spacing w:after="0" w:line="287" w:lineRule="auto"/>
        <w:rPr>
          <w:sz w:val="20"/>
          <w:szCs w:val="20"/>
          <w:color w:val="auto"/>
        </w:rPr>
      </w:pPr>
      <w:r>
        <w:rPr>
          <w:rFonts w:ascii="Arial" w:cs="Arial" w:eastAsia="Arial" w:hAnsi="Arial"/>
          <w:sz w:val="18"/>
          <w:szCs w:val="18"/>
          <w:color w:val="auto"/>
        </w:rPr>
        <w:t>All other financial statement schedules are omitted since they are not required or are not applicable, or the required information is included in the Consolidated Financial Statements or notes thereto.</w:t>
      </w:r>
    </w:p>
    <w:p>
      <w:pPr>
        <w:spacing w:after="0" w:line="180" w:lineRule="exact"/>
        <w:rPr>
          <w:sz w:val="20"/>
          <w:szCs w:val="20"/>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414042"/>
        </w:rPr>
        <w:t>Exhibits</w:t>
      </w:r>
    </w:p>
    <w:p>
      <w:pPr>
        <w:spacing w:after="0" w:line="252"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174" w:lineRule="exact"/>
        <w:rPr>
          <w:sz w:val="20"/>
          <w:szCs w:val="20"/>
          <w:color w:val="auto"/>
        </w:rPr>
      </w:pPr>
    </w:p>
    <w:p>
      <w:pPr>
        <w:spacing w:after="0"/>
        <w:tabs>
          <w:tab w:leader="none" w:pos="1360" w:val="left"/>
        </w:tabs>
        <w:rPr>
          <w:sz w:val="20"/>
          <w:szCs w:val="20"/>
          <w:color w:val="auto"/>
        </w:rPr>
      </w:pPr>
      <w:r>
        <w:rPr>
          <w:rFonts w:ascii="Arial" w:cs="Arial" w:eastAsia="Arial" w:hAnsi="Arial"/>
          <w:sz w:val="25"/>
          <w:szCs w:val="25"/>
          <w:b w:val="1"/>
          <w:bCs w:val="1"/>
          <w:color w:val="414042"/>
        </w:rPr>
        <w:t>ITEM 16.</w:t>
        <w:tab/>
        <w:t>FORM 10-K SUMMARY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Exhibit Index</w:t>
      </w:r>
    </w:p>
    <w:p>
      <w:pPr>
        <w:sectPr>
          <w:pgSz w:w="11900" w:h="16838" w:orient="portrait"/>
          <w:cols w:equalWidth="0" w:num="1">
            <w:col w:w="11240"/>
          </w:cols>
          <w:pgMar w:left="320" w:top="364" w:right="339" w:bottom="1440" w:gutter="0" w:footer="0" w:header="0"/>
        </w:sectPr>
      </w:pP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691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55" w:lineRule="exact"/>
        <w:rPr>
          <w:sz w:val="20"/>
          <w:szCs w:val="20"/>
          <w:color w:val="auto"/>
        </w:rPr>
      </w:pPr>
    </w:p>
    <w:p>
      <w:pPr>
        <w:ind w:left="20"/>
        <w:spacing w:after="0"/>
        <w:rPr>
          <w:rFonts w:ascii="Arial" w:cs="Arial" w:eastAsia="Arial" w:hAnsi="Arial"/>
          <w:sz w:val="18"/>
          <w:szCs w:val="18"/>
          <w:u w:val="single" w:color="auto"/>
          <w:color w:val="auto"/>
        </w:rPr>
      </w:pPr>
      <w:hyperlink r:id="rId249">
        <w:r>
          <w:rPr>
            <w:rFonts w:ascii="Arial" w:cs="Arial" w:eastAsia="Arial" w:hAnsi="Arial"/>
            <w:sz w:val="18"/>
            <w:szCs w:val="18"/>
            <w:u w:val="single" w:color="auto"/>
            <w:color w:val="auto"/>
          </w:rPr>
          <w:t>3.1</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auto"/>
        </w:rPr>
      </w:pPr>
      <w:hyperlink r:id="rId250">
        <w:r>
          <w:rPr>
            <w:rFonts w:ascii="Arial" w:cs="Arial" w:eastAsia="Arial" w:hAnsi="Arial"/>
            <w:sz w:val="18"/>
            <w:szCs w:val="18"/>
            <w:u w:val="single" w:color="auto"/>
            <w:color w:val="auto"/>
          </w:rPr>
          <w:t>3.2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auto"/>
        </w:rPr>
      </w:pPr>
      <w:hyperlink r:id="rId251">
        <w:r>
          <w:rPr>
            <w:rFonts w:ascii="Arial" w:cs="Arial" w:eastAsia="Arial" w:hAnsi="Arial"/>
            <w:sz w:val="18"/>
            <w:szCs w:val="18"/>
            <w:u w:val="single" w:color="auto"/>
            <w:color w:val="auto"/>
          </w:rPr>
          <w:t>4.1</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auto"/>
        </w:rPr>
      </w:pPr>
      <w:hyperlink r:id="rId252">
        <w:r>
          <w:rPr>
            <w:rFonts w:ascii="Arial" w:cs="Arial" w:eastAsia="Arial" w:hAnsi="Arial"/>
            <w:sz w:val="18"/>
            <w:szCs w:val="18"/>
            <w:u w:val="single" w:color="auto"/>
            <w:color w:val="auto"/>
          </w:rPr>
          <w:t>10.1</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53">
        <w:r>
          <w:rPr>
            <w:rFonts w:ascii="Arial" w:cs="Arial" w:eastAsia="Arial" w:hAnsi="Arial"/>
            <w:sz w:val="18"/>
            <w:szCs w:val="18"/>
            <w:u w:val="single" w:color="auto"/>
            <w:color w:val="auto"/>
          </w:rPr>
          <w:t>10.2</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54">
        <w:r>
          <w:rPr>
            <w:rFonts w:ascii="Arial" w:cs="Arial" w:eastAsia="Arial" w:hAnsi="Arial"/>
            <w:sz w:val="18"/>
            <w:szCs w:val="18"/>
            <w:u w:val="single" w:color="auto"/>
            <w:color w:val="auto"/>
          </w:rPr>
          <w:t>10.3</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55">
        <w:r>
          <w:rPr>
            <w:rFonts w:ascii="Arial" w:cs="Arial" w:eastAsia="Arial" w:hAnsi="Arial"/>
            <w:sz w:val="18"/>
            <w:szCs w:val="18"/>
            <w:u w:val="single" w:color="auto"/>
            <w:color w:val="auto"/>
          </w:rPr>
          <w:t>10.4</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56">
        <w:r>
          <w:rPr>
            <w:rFonts w:ascii="Arial" w:cs="Arial" w:eastAsia="Arial" w:hAnsi="Arial"/>
            <w:sz w:val="18"/>
            <w:szCs w:val="18"/>
            <w:u w:val="single" w:color="auto"/>
            <w:color w:val="auto"/>
          </w:rPr>
          <w:t>10.5</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57">
        <w:r>
          <w:rPr>
            <w:rFonts w:ascii="Arial" w:cs="Arial" w:eastAsia="Arial" w:hAnsi="Arial"/>
            <w:sz w:val="18"/>
            <w:szCs w:val="18"/>
            <w:u w:val="single" w:color="auto"/>
            <w:color w:val="auto"/>
          </w:rPr>
          <w:t>10.6</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258">
        <w:r>
          <w:rPr>
            <w:rFonts w:ascii="Arial" w:cs="Arial" w:eastAsia="Arial" w:hAnsi="Arial"/>
            <w:sz w:val="18"/>
            <w:szCs w:val="18"/>
            <w:u w:val="single" w:color="auto"/>
            <w:color w:val="auto"/>
          </w:rPr>
          <w:t>10.7</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rFonts w:ascii="Arial" w:cs="Arial" w:eastAsia="Arial" w:hAnsi="Arial"/>
          <w:sz w:val="18"/>
          <w:szCs w:val="18"/>
          <w:u w:val="single" w:color="auto"/>
          <w:color w:val="auto"/>
        </w:rPr>
      </w:pPr>
      <w:hyperlink r:id="rId259">
        <w:r>
          <w:rPr>
            <w:rFonts w:ascii="Arial" w:cs="Arial" w:eastAsia="Arial" w:hAnsi="Arial"/>
            <w:sz w:val="18"/>
            <w:szCs w:val="18"/>
            <w:u w:val="single" w:color="auto"/>
            <w:color w:val="auto"/>
          </w:rPr>
          <w:t>10.8</w:t>
        </w:r>
      </w:hyperlink>
    </w:p>
    <w:p>
      <w:pPr>
        <w:spacing w:after="0" w:line="171" w:lineRule="exact"/>
        <w:rPr>
          <w:sz w:val="20"/>
          <w:szCs w:val="20"/>
          <w:color w:val="auto"/>
        </w:rPr>
      </w:pPr>
    </w:p>
    <w:p>
      <w:pPr>
        <w:ind w:left="20"/>
        <w:spacing w:after="0"/>
        <w:rPr>
          <w:rFonts w:ascii="Arial" w:cs="Arial" w:eastAsia="Arial" w:hAnsi="Arial"/>
          <w:sz w:val="18"/>
          <w:szCs w:val="18"/>
          <w:u w:val="single" w:color="auto"/>
          <w:color w:val="auto"/>
        </w:rPr>
      </w:pPr>
      <w:hyperlink r:id="rId260">
        <w:r>
          <w:rPr>
            <w:rFonts w:ascii="Arial" w:cs="Arial" w:eastAsia="Arial" w:hAnsi="Arial"/>
            <w:sz w:val="18"/>
            <w:szCs w:val="18"/>
            <w:u w:val="single" w:color="auto"/>
            <w:color w:val="auto"/>
          </w:rPr>
          <w:t>10.9</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auto"/>
        </w:rPr>
      </w:pPr>
      <w:hyperlink r:id="rId261">
        <w:r>
          <w:rPr>
            <w:rFonts w:ascii="Arial" w:cs="Arial" w:eastAsia="Arial" w:hAnsi="Arial"/>
            <w:sz w:val="18"/>
            <w:szCs w:val="18"/>
            <w:u w:val="single" w:color="auto"/>
            <w:color w:val="auto"/>
          </w:rPr>
          <w:t>10.10</w:t>
        </w:r>
      </w:hyperlink>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Filed</w:t>
      </w:r>
    </w:p>
    <w:p>
      <w:pPr>
        <w:spacing w:after="0" w:line="27" w:lineRule="exact"/>
        <w:rPr>
          <w:sz w:val="20"/>
          <w:szCs w:val="20"/>
          <w:color w:val="auto"/>
        </w:rPr>
      </w:pPr>
    </w:p>
    <w:p>
      <w:pPr>
        <w:jc w:val="both"/>
        <w:ind w:left="4120"/>
        <w:spacing w:after="0"/>
        <w:tabs>
          <w:tab w:leader="none" w:pos="9220" w:val="left"/>
        </w:tabs>
        <w:rPr>
          <w:sz w:val="20"/>
          <w:szCs w:val="20"/>
          <w:color w:val="auto"/>
        </w:rPr>
      </w:pP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23495</wp:posOffset>
            </wp:positionV>
            <wp:extent cx="6283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39" w:lineRule="exact"/>
        <w:rPr>
          <w:sz w:val="20"/>
          <w:szCs w:val="20"/>
          <w:color w:val="auto"/>
        </w:rPr>
      </w:pPr>
    </w:p>
    <w:p>
      <w:pPr>
        <w:ind w:left="200" w:right="1900"/>
        <w:spacing w:after="0" w:line="281" w:lineRule="auto"/>
        <w:rPr>
          <w:rFonts w:ascii="Arial" w:cs="Arial" w:eastAsia="Arial" w:hAnsi="Arial"/>
          <w:sz w:val="18"/>
          <w:szCs w:val="18"/>
          <w:u w:val="single" w:color="auto"/>
          <w:color w:val="auto"/>
        </w:rPr>
      </w:pPr>
      <w:hyperlink r:id="rId249">
        <w:r>
          <w:rPr>
            <w:rFonts w:ascii="Arial" w:cs="Arial" w:eastAsia="Arial" w:hAnsi="Arial"/>
            <w:sz w:val="18"/>
            <w:szCs w:val="18"/>
            <w:u w:val="single" w:color="auto"/>
            <w:color w:val="auto"/>
          </w:rPr>
          <w:t>Amended and Restated Certificate of Incorporation of Portillo's Inc. (incorporated by reference to the</w:t>
        </w:r>
      </w:hyperlink>
      <w:r>
        <w:rPr>
          <w:rFonts w:ascii="Arial" w:cs="Arial" w:eastAsia="Arial" w:hAnsi="Arial"/>
          <w:sz w:val="18"/>
          <w:szCs w:val="18"/>
          <w:u w:val="single" w:color="auto"/>
          <w:color w:val="auto"/>
        </w:rPr>
        <w:t xml:space="preserve"> </w:t>
      </w:r>
      <w:hyperlink r:id="rId249">
        <w:r>
          <w:rPr>
            <w:rFonts w:ascii="Arial" w:cs="Arial" w:eastAsia="Arial" w:hAnsi="Arial"/>
            <w:sz w:val="18"/>
            <w:szCs w:val="18"/>
            <w:u w:val="single" w:color="auto"/>
            <w:color w:val="auto"/>
          </w:rPr>
          <w:t>Company's Form 10-Q filed on November 18, 2021).</w:t>
        </w:r>
      </w:hyperlink>
    </w:p>
    <w:p>
      <w:pPr>
        <w:spacing w:after="0" w:line="1" w:lineRule="exact"/>
        <w:rPr>
          <w:sz w:val="20"/>
          <w:szCs w:val="20"/>
          <w:color w:val="auto"/>
        </w:rPr>
      </w:pPr>
    </w:p>
    <w:p>
      <w:pPr>
        <w:ind w:left="200" w:right="1200"/>
        <w:spacing w:after="0" w:line="281" w:lineRule="auto"/>
        <w:rPr>
          <w:rFonts w:ascii="Arial" w:cs="Arial" w:eastAsia="Arial" w:hAnsi="Arial"/>
          <w:sz w:val="18"/>
          <w:szCs w:val="18"/>
          <w:u w:val="single" w:color="auto"/>
          <w:color w:val="auto"/>
        </w:rPr>
      </w:pPr>
      <w:hyperlink r:id="rId250">
        <w:r>
          <w:rPr>
            <w:rFonts w:ascii="Arial" w:cs="Arial" w:eastAsia="Arial" w:hAnsi="Arial"/>
            <w:sz w:val="18"/>
            <w:szCs w:val="18"/>
            <w:u w:val="single" w:color="auto"/>
            <w:color w:val="auto"/>
          </w:rPr>
          <w:t>Amended and Restated Bylaws of Portillo’s Inc. (incorporated by reference to the Company's Form 10-Q filed</w:t>
        </w:r>
      </w:hyperlink>
      <w:r>
        <w:rPr>
          <w:rFonts w:ascii="Arial" w:cs="Arial" w:eastAsia="Arial" w:hAnsi="Arial"/>
          <w:sz w:val="18"/>
          <w:szCs w:val="18"/>
          <w:u w:val="single" w:color="auto"/>
          <w:color w:val="auto"/>
        </w:rPr>
        <w:t xml:space="preserve"> </w:t>
      </w:r>
      <w:hyperlink r:id="rId250">
        <w:r>
          <w:rPr>
            <w:rFonts w:ascii="Arial" w:cs="Arial" w:eastAsia="Arial" w:hAnsi="Arial"/>
            <w:sz w:val="18"/>
            <w:szCs w:val="18"/>
            <w:u w:val="single" w:color="auto"/>
            <w:color w:val="auto"/>
          </w:rPr>
          <w:t>on November 18, 2021).</w:t>
        </w:r>
      </w:hyperlink>
    </w:p>
    <w:p>
      <w:pPr>
        <w:spacing w:after="0" w:line="1" w:lineRule="exact"/>
        <w:rPr>
          <w:sz w:val="20"/>
          <w:szCs w:val="20"/>
          <w:color w:val="auto"/>
        </w:rPr>
      </w:pPr>
    </w:p>
    <w:p>
      <w:pPr>
        <w:ind w:left="200"/>
        <w:spacing w:after="0"/>
        <w:rPr>
          <w:rFonts w:ascii="Arial" w:cs="Arial" w:eastAsia="Arial" w:hAnsi="Arial"/>
          <w:sz w:val="18"/>
          <w:szCs w:val="18"/>
          <w:u w:val="single" w:color="auto"/>
          <w:color w:val="auto"/>
        </w:rPr>
      </w:pPr>
      <w:hyperlink r:id="rId251">
        <w:r>
          <w:rPr>
            <w:rFonts w:ascii="Arial" w:cs="Arial" w:eastAsia="Arial" w:hAnsi="Arial"/>
            <w:sz w:val="18"/>
            <w:szCs w:val="18"/>
            <w:u w:val="single" w:color="auto"/>
            <w:color w:val="auto"/>
          </w:rPr>
          <w:t>Description of Capital Stock (incorporated by reference to the Company's Form 10-K filed on March 10, 2022).</w:t>
        </w:r>
      </w:hyperlink>
    </w:p>
    <w:p>
      <w:pPr>
        <w:spacing w:after="0" w:line="63" w:lineRule="exact"/>
        <w:rPr>
          <w:sz w:val="20"/>
          <w:szCs w:val="20"/>
          <w:color w:val="auto"/>
        </w:rPr>
      </w:pPr>
    </w:p>
    <w:p>
      <w:pPr>
        <w:jc w:val="both"/>
        <w:ind w:left="200" w:right="1300"/>
        <w:spacing w:after="0" w:line="262" w:lineRule="auto"/>
        <w:rPr>
          <w:rFonts w:ascii="Arial" w:cs="Arial" w:eastAsia="Arial" w:hAnsi="Arial"/>
          <w:sz w:val="18"/>
          <w:szCs w:val="18"/>
          <w:u w:val="single" w:color="auto"/>
          <w:color w:val="auto"/>
        </w:rPr>
      </w:pPr>
      <w:hyperlink r:id="rId252">
        <w:r>
          <w:rPr>
            <w:rFonts w:ascii="Arial" w:cs="Arial" w:eastAsia="Arial" w:hAnsi="Arial"/>
            <w:sz w:val="18"/>
            <w:szCs w:val="18"/>
            <w:u w:val="single" w:color="auto"/>
            <w:color w:val="auto"/>
          </w:rPr>
          <w:t>First Lien Credit Agreement, dated as of August 1, 2014, among Portillo's Holdings, LLC, as Borrower, PHD</w:t>
        </w:r>
      </w:hyperlink>
      <w:r>
        <w:rPr>
          <w:rFonts w:ascii="Arial" w:cs="Arial" w:eastAsia="Arial" w:hAnsi="Arial"/>
          <w:sz w:val="18"/>
          <w:szCs w:val="18"/>
          <w:u w:val="single" w:color="auto"/>
          <w:color w:val="auto"/>
        </w:rPr>
        <w:t xml:space="preserve"> </w:t>
      </w:r>
      <w:hyperlink r:id="rId252">
        <w:r>
          <w:rPr>
            <w:rFonts w:ascii="Arial" w:cs="Arial" w:eastAsia="Arial" w:hAnsi="Arial"/>
            <w:sz w:val="18"/>
            <w:szCs w:val="18"/>
            <w:u w:val="single" w:color="auto"/>
            <w:color w:val="auto"/>
          </w:rPr>
          <w:t>Intermediate LLC, UBS AG, Stamford Branch, as administrative agent and collateral agent and ledgers from</w:t>
        </w:r>
      </w:hyperlink>
      <w:r>
        <w:rPr>
          <w:rFonts w:ascii="Arial" w:cs="Arial" w:eastAsia="Arial" w:hAnsi="Arial"/>
          <w:sz w:val="18"/>
          <w:szCs w:val="18"/>
          <w:u w:val="single" w:color="auto"/>
          <w:color w:val="auto"/>
        </w:rPr>
        <w:t xml:space="preserve"> </w:t>
      </w:r>
      <w:hyperlink r:id="rId252">
        <w:r>
          <w:rPr>
            <w:rFonts w:ascii="Arial" w:cs="Arial" w:eastAsia="Arial" w:hAnsi="Arial"/>
            <w:sz w:val="18"/>
            <w:szCs w:val="18"/>
            <w:u w:val="single" w:color="auto"/>
            <w:color w:val="auto"/>
          </w:rPr>
          <w:t>time to time party thereto (incorporated by reference to the Company's Registration Statement on Form S-1</w:t>
        </w:r>
      </w:hyperlink>
      <w:r>
        <w:rPr>
          <w:rFonts w:ascii="Arial" w:cs="Arial" w:eastAsia="Arial" w:hAnsi="Arial"/>
          <w:sz w:val="18"/>
          <w:szCs w:val="18"/>
          <w:u w:val="single" w:color="auto"/>
          <w:color w:val="auto"/>
        </w:rPr>
        <w:t xml:space="preserve"> </w:t>
      </w:r>
      <w:hyperlink r:id="rId252">
        <w:r>
          <w:rPr>
            <w:rFonts w:ascii="Arial" w:cs="Arial" w:eastAsia="Arial" w:hAnsi="Arial"/>
            <w:sz w:val="18"/>
            <w:szCs w:val="18"/>
            <w:u w:val="single" w:color="auto"/>
            <w:color w:val="auto"/>
          </w:rPr>
          <w:t>filed on September 27, 2021).</w:t>
        </w:r>
      </w:hyperlink>
    </w:p>
    <w:p>
      <w:pPr>
        <w:spacing w:after="0" w:line="14" w:lineRule="exact"/>
        <w:rPr>
          <w:rFonts w:ascii="Arial" w:cs="Arial" w:eastAsia="Arial" w:hAnsi="Arial"/>
          <w:sz w:val="18"/>
          <w:szCs w:val="18"/>
          <w:u w:val="single" w:color="auto"/>
          <w:color w:val="auto"/>
        </w:rPr>
      </w:pPr>
    </w:p>
    <w:p>
      <w:pPr>
        <w:ind w:left="200" w:right="1280"/>
        <w:spacing w:after="0" w:line="262" w:lineRule="auto"/>
        <w:rPr>
          <w:rFonts w:ascii="Arial" w:cs="Arial" w:eastAsia="Arial" w:hAnsi="Arial"/>
          <w:sz w:val="18"/>
          <w:szCs w:val="18"/>
          <w:u w:val="single" w:color="auto"/>
          <w:color w:val="auto"/>
        </w:rPr>
      </w:pPr>
      <w:hyperlink r:id="rId253">
        <w:r>
          <w:rPr>
            <w:rFonts w:ascii="Arial" w:cs="Arial" w:eastAsia="Arial" w:hAnsi="Arial"/>
            <w:sz w:val="18"/>
            <w:szCs w:val="18"/>
            <w:u w:val="single" w:color="auto"/>
            <w:color w:val="auto"/>
          </w:rPr>
          <w:t>First Amendment to First Lien Credit Agreement, dated as of October 25, 2016, among Portillo’s Holdings,</w:t>
        </w:r>
      </w:hyperlink>
      <w:r>
        <w:rPr>
          <w:rFonts w:ascii="Arial" w:cs="Arial" w:eastAsia="Arial" w:hAnsi="Arial"/>
          <w:sz w:val="18"/>
          <w:szCs w:val="18"/>
          <w:u w:val="single" w:color="auto"/>
          <w:color w:val="auto"/>
        </w:rPr>
        <w:t xml:space="preserve"> </w:t>
      </w:r>
      <w:hyperlink r:id="rId253">
        <w:r>
          <w:rPr>
            <w:rFonts w:ascii="Arial" w:cs="Arial" w:eastAsia="Arial" w:hAnsi="Arial"/>
            <w:sz w:val="18"/>
            <w:szCs w:val="18"/>
            <w:u w:val="single" w:color="auto"/>
            <w:color w:val="auto"/>
          </w:rPr>
          <w:t>LLC, as Borrower, PHD Intermediate LLC, UBS AG, Stamford Branch, as administrative agent and collateral</w:t>
        </w:r>
      </w:hyperlink>
      <w:r>
        <w:rPr>
          <w:rFonts w:ascii="Arial" w:cs="Arial" w:eastAsia="Arial" w:hAnsi="Arial"/>
          <w:sz w:val="18"/>
          <w:szCs w:val="18"/>
          <w:u w:val="single" w:color="auto"/>
          <w:color w:val="auto"/>
        </w:rPr>
        <w:t xml:space="preserve"> </w:t>
      </w:r>
      <w:hyperlink r:id="rId253">
        <w:r>
          <w:rPr>
            <w:rFonts w:ascii="Arial" w:cs="Arial" w:eastAsia="Arial" w:hAnsi="Arial"/>
            <w:sz w:val="18"/>
            <w:szCs w:val="18"/>
            <w:u w:val="single" w:color="auto"/>
            <w:color w:val="auto"/>
          </w:rPr>
          <w:t>agent, and the lenders from time to time party thereto (incorporated by reference to the Company’s</w:t>
        </w:r>
      </w:hyperlink>
      <w:r>
        <w:rPr>
          <w:rFonts w:ascii="Arial" w:cs="Arial" w:eastAsia="Arial" w:hAnsi="Arial"/>
          <w:sz w:val="18"/>
          <w:szCs w:val="18"/>
          <w:u w:val="single" w:color="auto"/>
          <w:color w:val="auto"/>
        </w:rPr>
        <w:t xml:space="preserve"> </w:t>
      </w:r>
      <w:hyperlink r:id="rId253">
        <w:r>
          <w:rPr>
            <w:rFonts w:ascii="Arial" w:cs="Arial" w:eastAsia="Arial" w:hAnsi="Arial"/>
            <w:sz w:val="18"/>
            <w:szCs w:val="18"/>
            <w:u w:val="single" w:color="auto"/>
            <w:color w:val="auto"/>
          </w:rPr>
          <w:t>Registration Statement on Form S-1 filed on September 27, 2021).</w:t>
        </w:r>
      </w:hyperlink>
    </w:p>
    <w:p>
      <w:pPr>
        <w:spacing w:after="0" w:line="14" w:lineRule="exact"/>
        <w:rPr>
          <w:rFonts w:ascii="Arial" w:cs="Arial" w:eastAsia="Arial" w:hAnsi="Arial"/>
          <w:sz w:val="18"/>
          <w:szCs w:val="18"/>
          <w:u w:val="single" w:color="auto"/>
          <w:color w:val="auto"/>
        </w:rPr>
      </w:pPr>
    </w:p>
    <w:p>
      <w:pPr>
        <w:ind w:left="200" w:right="1060"/>
        <w:spacing w:after="0" w:line="262" w:lineRule="auto"/>
        <w:rPr>
          <w:rFonts w:ascii="Arial" w:cs="Arial" w:eastAsia="Arial" w:hAnsi="Arial"/>
          <w:sz w:val="18"/>
          <w:szCs w:val="18"/>
          <w:u w:val="single" w:color="auto"/>
          <w:color w:val="auto"/>
        </w:rPr>
      </w:pPr>
      <w:hyperlink r:id="rId254">
        <w:r>
          <w:rPr>
            <w:rFonts w:ascii="Arial" w:cs="Arial" w:eastAsia="Arial" w:hAnsi="Arial"/>
            <w:sz w:val="18"/>
            <w:szCs w:val="18"/>
            <w:u w:val="single" w:color="auto"/>
            <w:color w:val="auto"/>
          </w:rPr>
          <w:t>Second Amendment to First Lien Credit Agreement, dated as of May 18, 2018, among Portillo's Holdings, LLC,</w:t>
        </w:r>
      </w:hyperlink>
      <w:r>
        <w:rPr>
          <w:rFonts w:ascii="Arial" w:cs="Arial" w:eastAsia="Arial" w:hAnsi="Arial"/>
          <w:sz w:val="18"/>
          <w:szCs w:val="18"/>
          <w:u w:val="single" w:color="auto"/>
          <w:color w:val="auto"/>
        </w:rPr>
        <w:t xml:space="preserve"> </w:t>
      </w:r>
      <w:hyperlink r:id="rId254">
        <w:r>
          <w:rPr>
            <w:rFonts w:ascii="Arial" w:cs="Arial" w:eastAsia="Arial" w:hAnsi="Arial"/>
            <w:sz w:val="18"/>
            <w:szCs w:val="18"/>
            <w:u w:val="single" w:color="auto"/>
            <w:color w:val="auto"/>
          </w:rPr>
          <w:t>as Borrower, PHD Intermediate LLC, UBS AG, Stamford Branch, as administrative agent and collateral agent,</w:t>
        </w:r>
      </w:hyperlink>
      <w:r>
        <w:rPr>
          <w:rFonts w:ascii="Arial" w:cs="Arial" w:eastAsia="Arial" w:hAnsi="Arial"/>
          <w:sz w:val="18"/>
          <w:szCs w:val="18"/>
          <w:u w:val="single" w:color="auto"/>
          <w:color w:val="auto"/>
        </w:rPr>
        <w:t xml:space="preserve"> </w:t>
      </w:r>
      <w:hyperlink r:id="rId254">
        <w:r>
          <w:rPr>
            <w:rFonts w:ascii="Arial" w:cs="Arial" w:eastAsia="Arial" w:hAnsi="Arial"/>
            <w:sz w:val="18"/>
            <w:szCs w:val="18"/>
            <w:u w:val="single" w:color="auto"/>
            <w:color w:val="auto"/>
          </w:rPr>
          <w:t>and the lenders from time to time party thereto (incorporated by reference to the Company's Registration</w:t>
        </w:r>
      </w:hyperlink>
      <w:r>
        <w:rPr>
          <w:rFonts w:ascii="Arial" w:cs="Arial" w:eastAsia="Arial" w:hAnsi="Arial"/>
          <w:sz w:val="18"/>
          <w:szCs w:val="18"/>
          <w:u w:val="single" w:color="auto"/>
          <w:color w:val="auto"/>
        </w:rPr>
        <w:t xml:space="preserve"> </w:t>
      </w:r>
      <w:hyperlink r:id="rId254">
        <w:r>
          <w:rPr>
            <w:rFonts w:ascii="Arial" w:cs="Arial" w:eastAsia="Arial" w:hAnsi="Arial"/>
            <w:sz w:val="18"/>
            <w:szCs w:val="18"/>
            <w:u w:val="single" w:color="auto"/>
            <w:color w:val="auto"/>
          </w:rPr>
          <w:t>Statement on Form S-1 filed on September 27, 2021).</w:t>
        </w:r>
      </w:hyperlink>
    </w:p>
    <w:p>
      <w:pPr>
        <w:spacing w:after="0" w:line="14" w:lineRule="exact"/>
        <w:rPr>
          <w:rFonts w:ascii="Arial" w:cs="Arial" w:eastAsia="Arial" w:hAnsi="Arial"/>
          <w:sz w:val="18"/>
          <w:szCs w:val="18"/>
          <w:u w:val="single" w:color="auto"/>
          <w:color w:val="auto"/>
        </w:rPr>
      </w:pPr>
    </w:p>
    <w:p>
      <w:pPr>
        <w:ind w:left="200" w:right="1280"/>
        <w:spacing w:after="0" w:line="262" w:lineRule="auto"/>
        <w:rPr>
          <w:rFonts w:ascii="Arial" w:cs="Arial" w:eastAsia="Arial" w:hAnsi="Arial"/>
          <w:sz w:val="18"/>
          <w:szCs w:val="18"/>
          <w:color w:val="auto"/>
        </w:rPr>
      </w:pPr>
      <w:hyperlink r:id="rId255">
        <w:r>
          <w:rPr>
            <w:rFonts w:ascii="Arial" w:cs="Arial" w:eastAsia="Arial" w:hAnsi="Arial"/>
            <w:sz w:val="18"/>
            <w:szCs w:val="18"/>
            <w:u w:val="single" w:color="auto"/>
            <w:color w:val="auto"/>
          </w:rPr>
          <w:t>Third Amendment to First Lien Credit Agreement, dated as of December 6, 2019, among Portillo’s Holdings,</w:t>
        </w:r>
      </w:hyperlink>
      <w:r>
        <w:rPr>
          <w:rFonts w:ascii="Arial" w:cs="Arial" w:eastAsia="Arial" w:hAnsi="Arial"/>
          <w:sz w:val="18"/>
          <w:szCs w:val="18"/>
          <w:u w:val="single" w:color="auto"/>
          <w:color w:val="auto"/>
        </w:rPr>
        <w:t xml:space="preserve"> </w:t>
      </w:r>
      <w:hyperlink r:id="rId255">
        <w:r>
          <w:rPr>
            <w:rFonts w:ascii="Arial" w:cs="Arial" w:eastAsia="Arial" w:hAnsi="Arial"/>
            <w:sz w:val="18"/>
            <w:szCs w:val="18"/>
            <w:u w:val="single" w:color="auto"/>
            <w:color w:val="auto"/>
          </w:rPr>
          <w:t>LLC, as Borrower, PHD Intermediate LLC, UBS AG, Stamford Branch, as administrative agent and collateral</w:t>
        </w:r>
      </w:hyperlink>
      <w:r>
        <w:rPr>
          <w:rFonts w:ascii="Arial" w:cs="Arial" w:eastAsia="Arial" w:hAnsi="Arial"/>
          <w:sz w:val="18"/>
          <w:szCs w:val="18"/>
          <w:u w:val="single" w:color="auto"/>
          <w:color w:val="auto"/>
        </w:rPr>
        <w:t xml:space="preserve"> </w:t>
      </w:r>
      <w:hyperlink r:id="rId255">
        <w:r>
          <w:rPr>
            <w:rFonts w:ascii="Arial" w:cs="Arial" w:eastAsia="Arial" w:hAnsi="Arial"/>
            <w:sz w:val="18"/>
            <w:szCs w:val="18"/>
            <w:u w:val="single" w:color="auto"/>
            <w:color w:val="auto"/>
          </w:rPr>
          <w:t>agent, and the lenders from time to time party thereto (incorporated by reference to the Company's</w:t>
        </w:r>
      </w:hyperlink>
      <w:r>
        <w:rPr>
          <w:rFonts w:ascii="Arial" w:cs="Arial" w:eastAsia="Arial" w:hAnsi="Arial"/>
          <w:sz w:val="18"/>
          <w:szCs w:val="18"/>
          <w:u w:val="single" w:color="auto"/>
          <w:color w:val="auto"/>
        </w:rPr>
        <w:t xml:space="preserve"> </w:t>
      </w:r>
      <w:hyperlink r:id="rId255">
        <w:r>
          <w:rPr>
            <w:rFonts w:ascii="Arial" w:cs="Arial" w:eastAsia="Arial" w:hAnsi="Arial"/>
            <w:sz w:val="18"/>
            <w:szCs w:val="18"/>
            <w:u w:val="single" w:color="auto"/>
            <w:color w:val="auto"/>
          </w:rPr>
          <w:t>Registration Statement on Form S-1 filed on September 27, 2021</w:t>
        </w:r>
        <w:r>
          <w:rPr>
            <w:rFonts w:ascii="Arial" w:cs="Arial" w:eastAsia="Arial" w:hAnsi="Arial"/>
            <w:sz w:val="18"/>
            <w:szCs w:val="18"/>
            <w:color w:val="auto"/>
          </w:rPr>
          <w:t>)</w:t>
        </w:r>
        <w:r>
          <w:rPr>
            <w:rFonts w:ascii="Arial" w:cs="Arial" w:eastAsia="Arial" w:hAnsi="Arial"/>
            <w:sz w:val="18"/>
            <w:szCs w:val="18"/>
            <w:u w:val="single" w:color="auto"/>
            <w:color w:val="auto"/>
          </w:rPr>
          <w:t>.</w:t>
        </w:r>
      </w:hyperlink>
    </w:p>
    <w:p>
      <w:pPr>
        <w:spacing w:after="0" w:line="14" w:lineRule="exact"/>
        <w:rPr>
          <w:rFonts w:ascii="Arial" w:cs="Arial" w:eastAsia="Arial" w:hAnsi="Arial"/>
          <w:sz w:val="18"/>
          <w:szCs w:val="18"/>
          <w:u w:val="single" w:color="auto"/>
          <w:color w:val="auto"/>
        </w:rPr>
      </w:pPr>
    </w:p>
    <w:p>
      <w:pPr>
        <w:ind w:left="200" w:right="1080"/>
        <w:spacing w:after="0" w:line="262" w:lineRule="auto"/>
        <w:rPr>
          <w:rFonts w:ascii="Arial" w:cs="Arial" w:eastAsia="Arial" w:hAnsi="Arial"/>
          <w:sz w:val="18"/>
          <w:szCs w:val="18"/>
          <w:u w:val="single" w:color="auto"/>
          <w:color w:val="auto"/>
        </w:rPr>
      </w:pPr>
      <w:hyperlink r:id="rId256">
        <w:r>
          <w:rPr>
            <w:rFonts w:ascii="Arial" w:cs="Arial" w:eastAsia="Arial" w:hAnsi="Arial"/>
            <w:sz w:val="18"/>
            <w:szCs w:val="18"/>
            <w:u w:val="single" w:color="auto"/>
            <w:color w:val="auto"/>
          </w:rPr>
          <w:t>Second Lien Credit Agreement, dated as of August 1, 2014, among Portillo's Holdings, LLC, as Borrower, PHD</w:t>
        </w:r>
      </w:hyperlink>
      <w:r>
        <w:rPr>
          <w:rFonts w:ascii="Arial" w:cs="Arial" w:eastAsia="Arial" w:hAnsi="Arial"/>
          <w:sz w:val="18"/>
          <w:szCs w:val="18"/>
          <w:u w:val="single" w:color="auto"/>
          <w:color w:val="auto"/>
        </w:rPr>
        <w:t xml:space="preserve"> </w:t>
      </w:r>
      <w:hyperlink r:id="rId256">
        <w:r>
          <w:rPr>
            <w:rFonts w:ascii="Arial" w:cs="Arial" w:eastAsia="Arial" w:hAnsi="Arial"/>
            <w:sz w:val="18"/>
            <w:szCs w:val="18"/>
            <w:u w:val="single" w:color="auto"/>
            <w:color w:val="auto"/>
          </w:rPr>
          <w:t>Intermediate LLC, UBS AG, Stamford Branch, as administrative agent and collateral agent and the lenders</w:t>
        </w:r>
      </w:hyperlink>
      <w:r>
        <w:rPr>
          <w:rFonts w:ascii="Arial" w:cs="Arial" w:eastAsia="Arial" w:hAnsi="Arial"/>
          <w:sz w:val="18"/>
          <w:szCs w:val="18"/>
          <w:u w:val="single" w:color="auto"/>
          <w:color w:val="auto"/>
        </w:rPr>
        <w:t xml:space="preserve"> </w:t>
      </w:r>
      <w:hyperlink r:id="rId256">
        <w:r>
          <w:rPr>
            <w:rFonts w:ascii="Arial" w:cs="Arial" w:eastAsia="Arial" w:hAnsi="Arial"/>
            <w:sz w:val="18"/>
            <w:szCs w:val="18"/>
            <w:u w:val="single" w:color="auto"/>
            <w:color w:val="auto"/>
          </w:rPr>
          <w:t>from time to time party thereto (incorporated by reference to the Company's Registration Statement on Form</w:t>
        </w:r>
      </w:hyperlink>
      <w:r>
        <w:rPr>
          <w:rFonts w:ascii="Arial" w:cs="Arial" w:eastAsia="Arial" w:hAnsi="Arial"/>
          <w:sz w:val="18"/>
          <w:szCs w:val="18"/>
          <w:u w:val="single" w:color="auto"/>
          <w:color w:val="auto"/>
        </w:rPr>
        <w:t xml:space="preserve"> </w:t>
      </w:r>
      <w:hyperlink r:id="rId256">
        <w:r>
          <w:rPr>
            <w:rFonts w:ascii="Arial" w:cs="Arial" w:eastAsia="Arial" w:hAnsi="Arial"/>
            <w:sz w:val="18"/>
            <w:szCs w:val="18"/>
            <w:u w:val="single" w:color="auto"/>
            <w:color w:val="auto"/>
          </w:rPr>
          <w:t>S-1 filed on September 27, 2021).</w:t>
        </w:r>
      </w:hyperlink>
    </w:p>
    <w:p>
      <w:pPr>
        <w:spacing w:after="0" w:line="14" w:lineRule="exact"/>
        <w:rPr>
          <w:rFonts w:ascii="Arial" w:cs="Arial" w:eastAsia="Arial" w:hAnsi="Arial"/>
          <w:sz w:val="18"/>
          <w:szCs w:val="18"/>
          <w:u w:val="single" w:color="auto"/>
          <w:color w:val="auto"/>
        </w:rPr>
      </w:pPr>
    </w:p>
    <w:p>
      <w:pPr>
        <w:ind w:left="200" w:right="1080"/>
        <w:spacing w:after="0" w:line="262" w:lineRule="auto"/>
        <w:rPr>
          <w:rFonts w:ascii="Arial" w:cs="Arial" w:eastAsia="Arial" w:hAnsi="Arial"/>
          <w:sz w:val="18"/>
          <w:szCs w:val="18"/>
          <w:u w:val="single" w:color="auto"/>
          <w:color w:val="auto"/>
        </w:rPr>
      </w:pPr>
      <w:hyperlink r:id="rId257">
        <w:r>
          <w:rPr>
            <w:rFonts w:ascii="Arial" w:cs="Arial" w:eastAsia="Arial" w:hAnsi="Arial"/>
            <w:sz w:val="18"/>
            <w:szCs w:val="18"/>
            <w:u w:val="single" w:color="auto"/>
            <w:color w:val="auto"/>
          </w:rPr>
          <w:t>First Amendment to Second Lien Credit Agreement, dated as of October 25, 2014, among Portillo's Holdings,</w:t>
        </w:r>
      </w:hyperlink>
      <w:r>
        <w:rPr>
          <w:rFonts w:ascii="Arial" w:cs="Arial" w:eastAsia="Arial" w:hAnsi="Arial"/>
          <w:sz w:val="18"/>
          <w:szCs w:val="18"/>
          <w:u w:val="single" w:color="auto"/>
          <w:color w:val="auto"/>
        </w:rPr>
        <w:t xml:space="preserve"> </w:t>
      </w:r>
      <w:hyperlink r:id="rId257">
        <w:r>
          <w:rPr>
            <w:rFonts w:ascii="Arial" w:cs="Arial" w:eastAsia="Arial" w:hAnsi="Arial"/>
            <w:sz w:val="18"/>
            <w:szCs w:val="18"/>
            <w:u w:val="single" w:color="auto"/>
            <w:color w:val="auto"/>
          </w:rPr>
          <w:t>LLC, as Borrower, PHD Intermediate LLC, UBS AG, Stamford Branch, as administrative agent and collateral</w:t>
        </w:r>
      </w:hyperlink>
      <w:r>
        <w:rPr>
          <w:rFonts w:ascii="Arial" w:cs="Arial" w:eastAsia="Arial" w:hAnsi="Arial"/>
          <w:sz w:val="18"/>
          <w:szCs w:val="18"/>
          <w:u w:val="single" w:color="auto"/>
          <w:color w:val="auto"/>
        </w:rPr>
        <w:t xml:space="preserve"> </w:t>
      </w:r>
      <w:hyperlink r:id="rId257">
        <w:r>
          <w:rPr>
            <w:rFonts w:ascii="Arial" w:cs="Arial" w:eastAsia="Arial" w:hAnsi="Arial"/>
            <w:sz w:val="18"/>
            <w:szCs w:val="18"/>
            <w:u w:val="single" w:color="auto"/>
            <w:color w:val="auto"/>
          </w:rPr>
          <w:t>agent and the lenders from time to time party thereto (incorporated by reference to the Company's Registration</w:t>
        </w:r>
      </w:hyperlink>
      <w:r>
        <w:rPr>
          <w:rFonts w:ascii="Arial" w:cs="Arial" w:eastAsia="Arial" w:hAnsi="Arial"/>
          <w:sz w:val="18"/>
          <w:szCs w:val="18"/>
          <w:u w:val="single" w:color="auto"/>
          <w:color w:val="auto"/>
        </w:rPr>
        <w:t xml:space="preserve"> </w:t>
      </w:r>
      <w:hyperlink r:id="rId257">
        <w:r>
          <w:rPr>
            <w:rFonts w:ascii="Arial" w:cs="Arial" w:eastAsia="Arial" w:hAnsi="Arial"/>
            <w:sz w:val="18"/>
            <w:szCs w:val="18"/>
            <w:u w:val="single" w:color="auto"/>
            <w:color w:val="auto"/>
          </w:rPr>
          <w:t>Statement on Form S-1 filed on September 27, 2021).</w:t>
        </w:r>
      </w:hyperlink>
    </w:p>
    <w:p>
      <w:pPr>
        <w:spacing w:after="0" w:line="14" w:lineRule="exact"/>
        <w:rPr>
          <w:rFonts w:ascii="Arial" w:cs="Arial" w:eastAsia="Arial" w:hAnsi="Arial"/>
          <w:sz w:val="18"/>
          <w:szCs w:val="18"/>
          <w:u w:val="single" w:color="auto"/>
          <w:color w:val="auto"/>
        </w:rPr>
      </w:pPr>
    </w:p>
    <w:p>
      <w:pPr>
        <w:ind w:left="200" w:right="1240"/>
        <w:spacing w:after="0" w:line="262" w:lineRule="auto"/>
        <w:rPr>
          <w:rFonts w:ascii="Arial" w:cs="Arial" w:eastAsia="Arial" w:hAnsi="Arial"/>
          <w:sz w:val="18"/>
          <w:szCs w:val="18"/>
          <w:u w:val="single" w:color="auto"/>
          <w:color w:val="auto"/>
        </w:rPr>
      </w:pPr>
      <w:hyperlink r:id="rId258">
        <w:r>
          <w:rPr>
            <w:rFonts w:ascii="Arial" w:cs="Arial" w:eastAsia="Arial" w:hAnsi="Arial"/>
            <w:sz w:val="18"/>
            <w:szCs w:val="18"/>
            <w:u w:val="single" w:color="auto"/>
            <w:color w:val="auto"/>
          </w:rPr>
          <w:t>Second Amendment to Second Lien Credit Agreement, dated as of December 6, 2019, among Portillo’s</w:t>
        </w:r>
      </w:hyperlink>
      <w:r>
        <w:rPr>
          <w:rFonts w:ascii="Arial" w:cs="Arial" w:eastAsia="Arial" w:hAnsi="Arial"/>
          <w:sz w:val="18"/>
          <w:szCs w:val="18"/>
          <w:u w:val="single" w:color="auto"/>
          <w:color w:val="auto"/>
        </w:rPr>
        <w:t xml:space="preserve"> </w:t>
      </w:r>
      <w:hyperlink r:id="rId258">
        <w:r>
          <w:rPr>
            <w:rFonts w:ascii="Arial" w:cs="Arial" w:eastAsia="Arial" w:hAnsi="Arial"/>
            <w:sz w:val="18"/>
            <w:szCs w:val="18"/>
            <w:u w:val="single" w:color="auto"/>
            <w:color w:val="auto"/>
          </w:rPr>
          <w:t>Holdings, LLC, as Borrower, PHD Intermediate LLC, UBS AG, Stamford Branch, as administrative agent and</w:t>
        </w:r>
      </w:hyperlink>
      <w:r>
        <w:rPr>
          <w:rFonts w:ascii="Arial" w:cs="Arial" w:eastAsia="Arial" w:hAnsi="Arial"/>
          <w:sz w:val="18"/>
          <w:szCs w:val="18"/>
          <w:u w:val="single" w:color="auto"/>
          <w:color w:val="auto"/>
        </w:rPr>
        <w:t xml:space="preserve"> </w:t>
      </w:r>
      <w:hyperlink r:id="rId258">
        <w:r>
          <w:rPr>
            <w:rFonts w:ascii="Arial" w:cs="Arial" w:eastAsia="Arial" w:hAnsi="Arial"/>
            <w:sz w:val="18"/>
            <w:szCs w:val="18"/>
            <w:u w:val="single" w:color="auto"/>
            <w:color w:val="auto"/>
          </w:rPr>
          <w:t>collateral agent, and the lenders from time to time party thereto (incorporated by reference to the Company’s</w:t>
        </w:r>
      </w:hyperlink>
      <w:r>
        <w:rPr>
          <w:rFonts w:ascii="Arial" w:cs="Arial" w:eastAsia="Arial" w:hAnsi="Arial"/>
          <w:sz w:val="18"/>
          <w:szCs w:val="18"/>
          <w:u w:val="single" w:color="auto"/>
          <w:color w:val="auto"/>
        </w:rPr>
        <w:t xml:space="preserve"> </w:t>
      </w:r>
      <w:hyperlink r:id="rId258">
        <w:r>
          <w:rPr>
            <w:rFonts w:ascii="Arial" w:cs="Arial" w:eastAsia="Arial" w:hAnsi="Arial"/>
            <w:sz w:val="18"/>
            <w:szCs w:val="18"/>
            <w:u w:val="single" w:color="auto"/>
            <w:color w:val="auto"/>
          </w:rPr>
          <w:t>Registration Statement on Form S-1 filed on September 27, 2021).</w:t>
        </w:r>
      </w:hyperlink>
    </w:p>
    <w:p>
      <w:pPr>
        <w:spacing w:after="0" w:line="14" w:lineRule="exact"/>
        <w:rPr>
          <w:rFonts w:ascii="Arial" w:cs="Arial" w:eastAsia="Arial" w:hAnsi="Arial"/>
          <w:sz w:val="18"/>
          <w:szCs w:val="18"/>
          <w:u w:val="single" w:color="auto"/>
          <w:color w:val="auto"/>
        </w:rPr>
      </w:pPr>
    </w:p>
    <w:p>
      <w:pPr>
        <w:ind w:left="200"/>
        <w:spacing w:after="0"/>
        <w:rPr>
          <w:rFonts w:ascii="Arial" w:cs="Arial" w:eastAsia="Arial" w:hAnsi="Arial"/>
          <w:sz w:val="18"/>
          <w:szCs w:val="18"/>
          <w:u w:val="single" w:color="auto"/>
          <w:color w:val="auto"/>
        </w:rPr>
      </w:pPr>
      <w:hyperlink r:id="rId259">
        <w:r>
          <w:rPr>
            <w:rFonts w:ascii="Arial" w:cs="Arial" w:eastAsia="Arial" w:hAnsi="Arial"/>
            <w:sz w:val="18"/>
            <w:szCs w:val="18"/>
            <w:u w:val="single" w:color="auto"/>
            <w:color w:val="auto"/>
          </w:rPr>
          <w:t>Portillo’s Inc. 2021 Equity Incentive Plan (incorporated by reference to the Company's Form 10-Q filed on</w:t>
        </w:r>
      </w:hyperlink>
    </w:p>
    <w:p>
      <w:pPr>
        <w:spacing w:after="0" w:line="27" w:lineRule="exact"/>
        <w:rPr>
          <w:rFonts w:ascii="Arial" w:cs="Arial" w:eastAsia="Arial" w:hAnsi="Arial"/>
          <w:sz w:val="18"/>
          <w:szCs w:val="18"/>
          <w:u w:val="single" w:color="auto"/>
          <w:color w:val="auto"/>
        </w:rPr>
      </w:pPr>
    </w:p>
    <w:p>
      <w:pPr>
        <w:ind w:left="200" w:hanging="200"/>
        <w:spacing w:after="0"/>
        <w:tabs>
          <w:tab w:leader="none" w:pos="200" w:val="left"/>
        </w:tabs>
        <w:numPr>
          <w:ilvl w:val="0"/>
          <w:numId w:val="46"/>
        </w:numPr>
        <w:rPr>
          <w:rFonts w:ascii="Arial" w:cs="Arial" w:eastAsia="Arial" w:hAnsi="Arial"/>
          <w:sz w:val="18"/>
          <w:szCs w:val="18"/>
          <w:u w:val="single" w:color="auto"/>
          <w:color w:val="auto"/>
        </w:rPr>
      </w:pPr>
      <w:hyperlink r:id="rId259">
        <w:r>
          <w:rPr>
            <w:rFonts w:ascii="Arial" w:cs="Arial" w:eastAsia="Arial" w:hAnsi="Arial"/>
            <w:sz w:val="18"/>
            <w:szCs w:val="18"/>
            <w:u w:val="single" w:color="auto"/>
            <w:color w:val="auto"/>
          </w:rPr>
          <w:t>November 18, 2021).</w:t>
        </w:r>
      </w:hyperlink>
    </w:p>
    <w:p>
      <w:pPr>
        <w:spacing w:after="0" w:line="45" w:lineRule="exact"/>
        <w:rPr>
          <w:rFonts w:ascii="Arial" w:cs="Arial" w:eastAsia="Arial" w:hAnsi="Arial"/>
          <w:sz w:val="18"/>
          <w:szCs w:val="18"/>
          <w:u w:val="single" w:color="auto"/>
          <w:color w:val="auto"/>
        </w:rPr>
      </w:pPr>
    </w:p>
    <w:p>
      <w:pPr>
        <w:ind w:left="200" w:right="1580"/>
        <w:spacing w:after="0" w:line="281" w:lineRule="auto"/>
        <w:rPr>
          <w:rFonts w:ascii="Arial" w:cs="Arial" w:eastAsia="Arial" w:hAnsi="Arial"/>
          <w:sz w:val="18"/>
          <w:szCs w:val="18"/>
          <w:u w:val="single" w:color="auto"/>
          <w:color w:val="auto"/>
        </w:rPr>
      </w:pPr>
      <w:hyperlink r:id="rId260">
        <w:r>
          <w:rPr>
            <w:rFonts w:ascii="Arial" w:cs="Arial" w:eastAsia="Arial" w:hAnsi="Arial"/>
            <w:sz w:val="18"/>
            <w:szCs w:val="18"/>
            <w:u w:val="single" w:color="auto"/>
            <w:color w:val="auto"/>
          </w:rPr>
          <w:t>Registration Rights Agreement, dated as of October 21, 2021, by and among Portillo's Inc. and the other</w:t>
        </w:r>
      </w:hyperlink>
      <w:r>
        <w:rPr>
          <w:rFonts w:ascii="Arial" w:cs="Arial" w:eastAsia="Arial" w:hAnsi="Arial"/>
          <w:sz w:val="18"/>
          <w:szCs w:val="18"/>
          <w:u w:val="single" w:color="auto"/>
          <w:color w:val="auto"/>
        </w:rPr>
        <w:t xml:space="preserve"> </w:t>
      </w:r>
      <w:hyperlink r:id="rId260">
        <w:r>
          <w:rPr>
            <w:rFonts w:ascii="Arial" w:cs="Arial" w:eastAsia="Arial" w:hAnsi="Arial"/>
            <w:sz w:val="18"/>
            <w:szCs w:val="18"/>
            <w:u w:val="single" w:color="auto"/>
            <w:color w:val="auto"/>
          </w:rPr>
          <w:t>parties hereto (incorporated by reference to the Company's Form 10-K filed on March 10, 2022).</w:t>
        </w:r>
      </w:hyperlink>
    </w:p>
    <w:p>
      <w:pPr>
        <w:spacing w:after="0" w:line="1" w:lineRule="exact"/>
        <w:rPr>
          <w:rFonts w:ascii="Arial" w:cs="Arial" w:eastAsia="Arial" w:hAnsi="Arial"/>
          <w:sz w:val="18"/>
          <w:szCs w:val="18"/>
          <w:u w:val="single" w:color="auto"/>
          <w:color w:val="auto"/>
        </w:rPr>
      </w:pPr>
    </w:p>
    <w:p>
      <w:pPr>
        <w:ind w:left="200"/>
        <w:spacing w:after="0"/>
        <w:rPr>
          <w:rFonts w:ascii="Arial" w:cs="Arial" w:eastAsia="Arial" w:hAnsi="Arial"/>
          <w:sz w:val="18"/>
          <w:szCs w:val="18"/>
          <w:u w:val="single" w:color="auto"/>
          <w:color w:val="auto"/>
        </w:rPr>
      </w:pPr>
      <w:hyperlink r:id="rId261">
        <w:r>
          <w:rPr>
            <w:rFonts w:ascii="Arial" w:cs="Arial" w:eastAsia="Arial" w:hAnsi="Arial"/>
            <w:sz w:val="18"/>
            <w:szCs w:val="18"/>
            <w:u w:val="single" w:color="auto"/>
            <w:color w:val="auto"/>
          </w:rPr>
          <w:t>Form of Restricted Stock Unit Award Agreement under Portillo’s Inc. 2021 Equity Incentive Plan (incorporated</w:t>
        </w:r>
      </w:hyperlink>
    </w:p>
    <w:p>
      <w:pPr>
        <w:spacing w:after="0" w:line="27" w:lineRule="exact"/>
        <w:rPr>
          <w:rFonts w:ascii="Arial" w:cs="Arial" w:eastAsia="Arial" w:hAnsi="Arial"/>
          <w:sz w:val="18"/>
          <w:szCs w:val="18"/>
          <w:u w:val="single" w:color="auto"/>
          <w:color w:val="auto"/>
        </w:rPr>
      </w:pPr>
    </w:p>
    <w:p>
      <w:pPr>
        <w:ind w:left="200" w:hanging="200"/>
        <w:spacing w:after="0"/>
        <w:tabs>
          <w:tab w:leader="none" w:pos="200" w:val="left"/>
        </w:tabs>
        <w:numPr>
          <w:ilvl w:val="0"/>
          <w:numId w:val="46"/>
        </w:numPr>
        <w:rPr>
          <w:rFonts w:ascii="Arial" w:cs="Arial" w:eastAsia="Arial" w:hAnsi="Arial"/>
          <w:sz w:val="18"/>
          <w:szCs w:val="18"/>
          <w:u w:val="single" w:color="auto"/>
          <w:color w:val="auto"/>
        </w:rPr>
      </w:pPr>
      <w:hyperlink r:id="rId261">
        <w:r>
          <w:rPr>
            <w:rFonts w:ascii="Arial" w:cs="Arial" w:eastAsia="Arial" w:hAnsi="Arial"/>
            <w:sz w:val="18"/>
            <w:szCs w:val="18"/>
            <w:u w:val="single" w:color="auto"/>
            <w:color w:val="auto"/>
          </w:rPr>
          <w:t>by reference to the Company's Form 10-Q filed on November 18, 2021).</w:t>
        </w:r>
      </w:hyperlink>
    </w:p>
    <w:p>
      <w:pPr>
        <w:spacing w:after="0" w:line="32" w:lineRule="exact"/>
        <w:rPr>
          <w:rFonts w:ascii="Arial" w:cs="Arial" w:eastAsia="Arial" w:hAnsi="Arial"/>
          <w:sz w:val="18"/>
          <w:szCs w:val="18"/>
          <w:u w:val="single" w:color="auto"/>
          <w:color w:val="auto"/>
        </w:rPr>
      </w:pPr>
    </w:p>
    <w:p>
      <w:pPr>
        <w:sectPr>
          <w:pgSz w:w="11900" w:h="16838" w:orient="portrait"/>
          <w:cols w:equalWidth="0" w:num="2">
            <w:col w:w="880" w:space="280"/>
            <w:col w:w="10080"/>
          </w:cols>
          <w:pgMar w:left="320" w:top="364"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460" w:type="dxa"/>
            <w:vAlign w:val="bottom"/>
            <w:gridSpan w:val="2"/>
            <w:vMerge w:val="restart"/>
          </w:tcPr>
          <w:p>
            <w:pPr>
              <w:spacing w:after="0"/>
              <w:rPr>
                <w:rFonts w:ascii="Arial" w:cs="Arial" w:eastAsia="Arial" w:hAnsi="Arial"/>
                <w:sz w:val="18"/>
                <w:szCs w:val="18"/>
                <w:color w:val="auto"/>
                <w:w w:val="97"/>
              </w:rPr>
            </w:pPr>
            <w:hyperlink r:id="rId263">
              <w:r>
                <w:rPr>
                  <w:rFonts w:ascii="Arial" w:cs="Arial" w:eastAsia="Arial" w:hAnsi="Arial"/>
                  <w:sz w:val="18"/>
                  <w:szCs w:val="18"/>
                  <w:color w:val="auto"/>
                  <w:w w:val="97"/>
                </w:rPr>
                <w:t>10.</w:t>
              </w:r>
              <w:r>
                <w:rPr>
                  <w:rFonts w:ascii="Arial" w:cs="Arial" w:eastAsia="Arial" w:hAnsi="Arial"/>
                  <w:sz w:val="18"/>
                  <w:szCs w:val="18"/>
                  <w:u w:val="single" w:color="auto"/>
                  <w:color w:val="auto"/>
                  <w:w w:val="97"/>
                </w:rPr>
                <w:t>11</w:t>
              </w:r>
            </w:hyperlink>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20" w:type="dxa"/>
            <w:vAlign w:val="bottom"/>
            <w:tcBorders>
              <w:bottom w:val="single" w:sz="8" w:color="auto"/>
            </w:tcBorders>
            <w:gridSpan w:val="6"/>
          </w:tcPr>
          <w:p>
            <w:pPr>
              <w:spacing w:after="0"/>
              <w:rPr>
                <w:rFonts w:ascii="Arial" w:cs="Arial" w:eastAsia="Arial" w:hAnsi="Arial"/>
                <w:sz w:val="18"/>
                <w:szCs w:val="18"/>
                <w:color w:val="auto"/>
                <w:w w:val="99"/>
              </w:rPr>
            </w:pPr>
            <w:hyperlink r:id="rId263">
              <w:r>
                <w:rPr>
                  <w:rFonts w:ascii="Arial" w:cs="Arial" w:eastAsia="Arial" w:hAnsi="Arial"/>
                  <w:sz w:val="18"/>
                  <w:szCs w:val="18"/>
                  <w:color w:val="auto"/>
                  <w:w w:val="99"/>
                </w:rPr>
                <w:t>Form of Option Award Agreement under Portillo’s Inc. 2021 Equity Incentive Plan (incorporated by reference to</w:t>
              </w:r>
            </w:hyperlink>
          </w:p>
        </w:tc>
        <w:tc>
          <w:tcPr>
            <w:tcW w:w="0" w:type="dxa"/>
            <w:vAlign w:val="bottom"/>
          </w:tcPr>
          <w:p>
            <w:pPr>
              <w:spacing w:after="0"/>
              <w:rPr>
                <w:sz w:val="1"/>
                <w:szCs w:val="1"/>
                <w:color w:val="auto"/>
              </w:rPr>
            </w:pPr>
          </w:p>
        </w:tc>
      </w:tr>
      <w:tr>
        <w:trPr>
          <w:trHeight w:val="83"/>
        </w:trPr>
        <w:tc>
          <w:tcPr>
            <w:tcW w:w="4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360" w:type="dxa"/>
            <w:vAlign w:val="bottom"/>
            <w:gridSpan w:val="7"/>
            <w:vMerge w:val="restart"/>
          </w:tcPr>
          <w:p>
            <w:pPr>
              <w:ind w:left="34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263">
              <w:r>
                <w:rPr>
                  <w:rFonts w:ascii="Arial" w:cs="Arial" w:eastAsia="Arial" w:hAnsi="Arial"/>
                  <w:sz w:val="18"/>
                  <w:szCs w:val="18"/>
                  <w:color w:val="auto"/>
                </w:rPr>
                <w:t>the Company's Form 10-Q filed on November 18, 2021).</w:t>
              </w:r>
            </w:hyperlink>
          </w:p>
        </w:tc>
        <w:tc>
          <w:tcPr>
            <w:tcW w:w="0" w:type="dxa"/>
            <w:vAlign w:val="bottom"/>
          </w:tcPr>
          <w:p>
            <w:pPr>
              <w:spacing w:after="0"/>
              <w:rPr>
                <w:sz w:val="1"/>
                <w:szCs w:val="1"/>
                <w:color w:val="auto"/>
              </w:rPr>
            </w:pPr>
          </w:p>
        </w:tc>
      </w:tr>
      <w:tr>
        <w:trPr>
          <w:trHeight w:val="93"/>
        </w:trPr>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gridSpan w:val="3"/>
            <w:vMerge w:val="restart"/>
          </w:tcPr>
          <w:p>
            <w:pPr>
              <w:spacing w:after="0"/>
              <w:rPr>
                <w:rFonts w:ascii="Arial" w:cs="Arial" w:eastAsia="Arial" w:hAnsi="Arial"/>
                <w:sz w:val="18"/>
                <w:szCs w:val="18"/>
                <w:color w:val="auto"/>
              </w:rPr>
            </w:pPr>
            <w:hyperlink r:id="rId264">
              <w:r>
                <w:rPr>
                  <w:rFonts w:ascii="Arial" w:cs="Arial" w:eastAsia="Arial" w:hAnsi="Arial"/>
                  <w:sz w:val="18"/>
                  <w:szCs w:val="18"/>
                  <w:color w:val="auto"/>
                </w:rPr>
                <w:t>10.</w:t>
              </w:r>
              <w:r>
                <w:rPr>
                  <w:rFonts w:ascii="Arial" w:cs="Arial" w:eastAsia="Arial" w:hAnsi="Arial"/>
                  <w:sz w:val="18"/>
                  <w:szCs w:val="18"/>
                  <w:u w:val="single" w:color="auto"/>
                  <w:color w:val="auto"/>
                </w:rPr>
                <w:t>12</w:t>
              </w:r>
            </w:hyperlink>
          </w:p>
        </w:tc>
        <w:tc>
          <w:tcPr>
            <w:tcW w:w="540" w:type="dxa"/>
            <w:vAlign w:val="bottom"/>
          </w:tcPr>
          <w:p>
            <w:pPr>
              <w:spacing w:after="0"/>
              <w:rPr>
                <w:sz w:val="21"/>
                <w:szCs w:val="21"/>
                <w:color w:val="auto"/>
              </w:rPr>
            </w:pPr>
          </w:p>
        </w:tc>
        <w:tc>
          <w:tcPr>
            <w:tcW w:w="8380" w:type="dxa"/>
            <w:vAlign w:val="bottom"/>
            <w:tcBorders>
              <w:bottom w:val="single" w:sz="8" w:color="auto"/>
            </w:tcBorders>
            <w:gridSpan w:val="4"/>
          </w:tcPr>
          <w:p>
            <w:pPr>
              <w:spacing w:after="0"/>
              <w:rPr>
                <w:rFonts w:ascii="Arial" w:cs="Arial" w:eastAsia="Arial" w:hAnsi="Arial"/>
                <w:sz w:val="18"/>
                <w:szCs w:val="18"/>
                <w:color w:val="auto"/>
                <w:w w:val="99"/>
              </w:rPr>
            </w:pPr>
            <w:hyperlink r:id="rId264">
              <w:r>
                <w:rPr>
                  <w:rFonts w:ascii="Arial" w:cs="Arial" w:eastAsia="Arial" w:hAnsi="Arial"/>
                  <w:sz w:val="18"/>
                  <w:szCs w:val="18"/>
                  <w:color w:val="auto"/>
                  <w:w w:val="99"/>
                </w:rPr>
                <w:t>Form of 2021 Executive Officer and Director Indemnification Agreement for Portillo’s Inc. (incorporated by</w:t>
              </w:r>
            </w:hyperlink>
          </w:p>
        </w:tc>
        <w:tc>
          <w:tcPr>
            <w:tcW w:w="4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800" w:type="dxa"/>
            <w:vAlign w:val="bottom"/>
            <w:gridSpan w:val="3"/>
            <w:vMerge w:val="continue"/>
          </w:tcPr>
          <w:p>
            <w:pPr>
              <w:spacing w:after="0"/>
              <w:rPr>
                <w:sz w:val="7"/>
                <w:szCs w:val="7"/>
                <w:color w:val="auto"/>
              </w:rPr>
            </w:pPr>
          </w:p>
        </w:tc>
        <w:tc>
          <w:tcPr>
            <w:tcW w:w="540" w:type="dxa"/>
            <w:vAlign w:val="bottom"/>
          </w:tcPr>
          <w:p>
            <w:pPr>
              <w:spacing w:after="0"/>
              <w:rPr>
                <w:sz w:val="7"/>
                <w:szCs w:val="7"/>
                <w:color w:val="auto"/>
              </w:rPr>
            </w:pPr>
          </w:p>
        </w:tc>
        <w:tc>
          <w:tcPr>
            <w:tcW w:w="7220" w:type="dxa"/>
            <w:vAlign w:val="bottom"/>
            <w:gridSpan w:val="3"/>
            <w:vMerge w:val="restart"/>
          </w:tcPr>
          <w:p>
            <w:pPr>
              <w:spacing w:after="0" w:line="196" w:lineRule="exact"/>
              <w:rPr>
                <w:rFonts w:ascii="Arial" w:cs="Arial" w:eastAsia="Arial" w:hAnsi="Arial"/>
                <w:sz w:val="18"/>
                <w:szCs w:val="18"/>
                <w:color w:val="auto"/>
                <w:w w:val="99"/>
              </w:rPr>
            </w:pPr>
            <w:hyperlink r:id="rId264">
              <w:r>
                <w:rPr>
                  <w:rFonts w:ascii="Arial" w:cs="Arial" w:eastAsia="Arial" w:hAnsi="Arial"/>
                  <w:sz w:val="18"/>
                  <w:szCs w:val="18"/>
                  <w:color w:val="auto"/>
                  <w:w w:val="99"/>
                </w:rPr>
                <w:t>reference to the Company’s Registration Statement on Form S-1 filed on October 6, 2021).</w:t>
              </w:r>
            </w:hyperlink>
          </w:p>
        </w:tc>
        <w:tc>
          <w:tcPr>
            <w:tcW w:w="160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20" w:type="dxa"/>
            <w:vAlign w:val="bottom"/>
            <w:tcBorders>
              <w:bottom w:val="single" w:sz="8" w:color="auto"/>
            </w:tcBorders>
            <w:gridSpan w:val="3"/>
            <w:vMerge w:val="continue"/>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60" w:type="dxa"/>
            <w:vAlign w:val="bottom"/>
            <w:gridSpan w:val="2"/>
            <w:vMerge w:val="restart"/>
          </w:tcPr>
          <w:p>
            <w:pPr>
              <w:spacing w:after="0"/>
              <w:rPr>
                <w:rFonts w:ascii="Arial" w:cs="Arial" w:eastAsia="Arial" w:hAnsi="Arial"/>
                <w:sz w:val="18"/>
                <w:szCs w:val="18"/>
                <w:color w:val="auto"/>
                <w:w w:val="97"/>
              </w:rPr>
            </w:pPr>
            <w:hyperlink r:id="rId265">
              <w:r>
                <w:rPr>
                  <w:rFonts w:ascii="Arial" w:cs="Arial" w:eastAsia="Arial" w:hAnsi="Arial"/>
                  <w:sz w:val="18"/>
                  <w:szCs w:val="18"/>
                  <w:color w:val="auto"/>
                  <w:w w:val="97"/>
                </w:rPr>
                <w:t>10.</w:t>
              </w:r>
              <w:r>
                <w:rPr>
                  <w:rFonts w:ascii="Arial" w:cs="Arial" w:eastAsia="Arial" w:hAnsi="Arial"/>
                  <w:sz w:val="18"/>
                  <w:szCs w:val="18"/>
                  <w:u w:val="single" w:color="auto"/>
                  <w:color w:val="auto"/>
                  <w:w w:val="97"/>
                </w:rPr>
                <w:t>13</w:t>
              </w:r>
            </w:hyperlink>
          </w:p>
        </w:tc>
        <w:tc>
          <w:tcPr>
            <w:tcW w:w="340" w:type="dxa"/>
            <w:vAlign w:val="bottom"/>
            <w:vMerge w:val="restart"/>
          </w:tcPr>
          <w:p>
            <w:pPr>
              <w:spacing w:after="0"/>
              <w:rPr>
                <w:sz w:val="21"/>
                <w:szCs w:val="21"/>
                <w:color w:val="auto"/>
              </w:rPr>
            </w:pPr>
          </w:p>
        </w:tc>
        <w:tc>
          <w:tcPr>
            <w:tcW w:w="540" w:type="dxa"/>
            <w:vAlign w:val="bottom"/>
          </w:tcPr>
          <w:p>
            <w:pPr>
              <w:spacing w:after="0"/>
              <w:rPr>
                <w:sz w:val="21"/>
                <w:szCs w:val="21"/>
                <w:color w:val="auto"/>
              </w:rPr>
            </w:pPr>
          </w:p>
        </w:tc>
        <w:tc>
          <w:tcPr>
            <w:tcW w:w="8820" w:type="dxa"/>
            <w:vAlign w:val="bottom"/>
            <w:tcBorders>
              <w:bottom w:val="single" w:sz="8" w:color="auto"/>
            </w:tcBorders>
            <w:gridSpan w:val="6"/>
          </w:tcPr>
          <w:p>
            <w:pPr>
              <w:spacing w:after="0"/>
              <w:rPr>
                <w:rFonts w:ascii="Arial" w:cs="Arial" w:eastAsia="Arial" w:hAnsi="Arial"/>
                <w:sz w:val="18"/>
                <w:szCs w:val="18"/>
                <w:color w:val="auto"/>
                <w:w w:val="99"/>
              </w:rPr>
            </w:pPr>
            <w:hyperlink r:id="rId265">
              <w:r>
                <w:rPr>
                  <w:rFonts w:ascii="Arial" w:cs="Arial" w:eastAsia="Arial" w:hAnsi="Arial"/>
                  <w:sz w:val="18"/>
                  <w:szCs w:val="18"/>
                  <w:color w:val="auto"/>
                  <w:w w:val="99"/>
                </w:rPr>
                <w:t>Employment Agreement between PHD Group Holdings LLC and Michael Osanloo, entered into as of August 3,</w:t>
              </w:r>
            </w:hyperlink>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800" w:type="dxa"/>
            <w:vAlign w:val="bottom"/>
            <w:tcBorders>
              <w:bottom w:val="single" w:sz="8" w:color="auto"/>
            </w:tcBorders>
            <w:gridSpan w:val="5"/>
          </w:tcPr>
          <w:p>
            <w:pPr>
              <w:spacing w:after="0" w:line="196" w:lineRule="exact"/>
              <w:rPr>
                <w:rFonts w:ascii="Arial" w:cs="Arial" w:eastAsia="Arial" w:hAnsi="Arial"/>
                <w:sz w:val="18"/>
                <w:szCs w:val="18"/>
                <w:color w:val="auto"/>
                <w:w w:val="99"/>
              </w:rPr>
            </w:pPr>
            <w:hyperlink r:id="rId265">
              <w:r>
                <w:rPr>
                  <w:rFonts w:ascii="Arial" w:cs="Arial" w:eastAsia="Arial" w:hAnsi="Arial"/>
                  <w:sz w:val="18"/>
                  <w:szCs w:val="18"/>
                  <w:color w:val="auto"/>
                  <w:w w:val="99"/>
                </w:rPr>
                <w:t>2018 (incorporated by reference to the Company's Registration Statement on Form S-1 filed on September 27,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60" w:type="dxa"/>
            <w:vAlign w:val="bottom"/>
            <w:gridSpan w:val="7"/>
          </w:tcPr>
          <w:p>
            <w:pPr>
              <w:ind w:left="340"/>
              <w:spacing w:after="0" w:line="17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265">
              <w:r>
                <w:rPr>
                  <w:rFonts w:ascii="Arial" w:cs="Arial" w:eastAsia="Arial" w:hAnsi="Arial"/>
                  <w:sz w:val="18"/>
                  <w:szCs w:val="18"/>
                  <w:color w:val="auto"/>
                </w:rPr>
                <w:t>2021).</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58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 w:type="dxa"/>
            <w:vAlign w:val="bottom"/>
            <w:gridSpan w:val="3"/>
            <w:vMerge w:val="restart"/>
          </w:tcPr>
          <w:p>
            <w:pPr>
              <w:spacing w:after="0"/>
              <w:rPr>
                <w:rFonts w:ascii="Arial" w:cs="Arial" w:eastAsia="Arial" w:hAnsi="Arial"/>
                <w:sz w:val="18"/>
                <w:szCs w:val="18"/>
                <w:color w:val="auto"/>
                <w:w w:val="97"/>
              </w:rPr>
            </w:pPr>
            <w:hyperlink r:id="rId268">
              <w:r>
                <w:rPr>
                  <w:rFonts w:ascii="Arial" w:cs="Arial" w:eastAsia="Arial" w:hAnsi="Arial"/>
                  <w:sz w:val="18"/>
                  <w:szCs w:val="18"/>
                  <w:color w:val="auto"/>
                  <w:w w:val="97"/>
                </w:rPr>
                <w:t>10.</w:t>
              </w:r>
              <w:r>
                <w:rPr>
                  <w:rFonts w:ascii="Arial" w:cs="Arial" w:eastAsia="Arial" w:hAnsi="Arial"/>
                  <w:sz w:val="18"/>
                  <w:szCs w:val="18"/>
                  <w:u w:val="single" w:color="auto"/>
                  <w:color w:val="auto"/>
                  <w:w w:val="97"/>
                </w:rPr>
                <w:t>14</w:t>
              </w:r>
            </w:hyperlink>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20" w:type="dxa"/>
            <w:vAlign w:val="bottom"/>
            <w:tcBorders>
              <w:bottom w:val="single" w:sz="8" w:color="auto"/>
            </w:tcBorders>
            <w:gridSpan w:val="19"/>
          </w:tcPr>
          <w:p>
            <w:pPr>
              <w:spacing w:after="0"/>
              <w:rPr>
                <w:rFonts w:ascii="Arial" w:cs="Arial" w:eastAsia="Arial" w:hAnsi="Arial"/>
                <w:sz w:val="18"/>
                <w:szCs w:val="18"/>
                <w:color w:val="auto"/>
                <w:w w:val="99"/>
              </w:rPr>
            </w:pPr>
            <w:hyperlink r:id="rId268">
              <w:r>
                <w:rPr>
                  <w:rFonts w:ascii="Arial" w:cs="Arial" w:eastAsia="Arial" w:hAnsi="Arial"/>
                  <w:sz w:val="18"/>
                  <w:szCs w:val="18"/>
                  <w:color w:val="auto"/>
                  <w:w w:val="99"/>
                </w:rPr>
                <w:t>Employment Agreement between PHD Group Holdings LLC and Sherri Abruscato, entered into as of August 1,</w:t>
              </w:r>
            </w:hyperlink>
          </w:p>
        </w:tc>
        <w:tc>
          <w:tcPr>
            <w:tcW w:w="28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2"/>
          </w:tcPr>
          <w:p>
            <w:pPr>
              <w:spacing w:after="0" w:line="196" w:lineRule="exact"/>
              <w:rPr>
                <w:rFonts w:ascii="Arial" w:cs="Arial" w:eastAsia="Arial" w:hAnsi="Arial"/>
                <w:sz w:val="18"/>
                <w:szCs w:val="18"/>
                <w:color w:val="auto"/>
              </w:rPr>
            </w:pPr>
            <w:hyperlink r:id="rId268">
              <w:r>
                <w:rPr>
                  <w:rFonts w:ascii="Arial" w:cs="Arial" w:eastAsia="Arial" w:hAnsi="Arial"/>
                  <w:sz w:val="18"/>
                  <w:szCs w:val="18"/>
                  <w:color w:val="auto"/>
                </w:rPr>
                <w:t>2014 (incorporated by reference to the Company's Registration Statement on Form S-1 filed on September 27,</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00" w:type="dxa"/>
            <w:vAlign w:val="bottom"/>
            <w:gridSpan w:val="23"/>
          </w:tcPr>
          <w:p>
            <w:pPr>
              <w:ind w:left="20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268">
              <w:r>
                <w:rPr>
                  <w:rFonts w:ascii="Arial" w:cs="Arial" w:eastAsia="Arial" w:hAnsi="Arial"/>
                  <w:sz w:val="18"/>
                  <w:szCs w:val="18"/>
                  <w:color w:val="auto"/>
                </w:rPr>
                <w:t>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269">
              <w:r>
                <w:rPr>
                  <w:rFonts w:ascii="Arial" w:cs="Arial" w:eastAsia="Arial" w:hAnsi="Arial"/>
                  <w:sz w:val="18"/>
                  <w:szCs w:val="18"/>
                  <w:color w:val="auto"/>
                  <w:w w:val="97"/>
                </w:rPr>
                <w:t>10.</w:t>
              </w:r>
              <w:r>
                <w:rPr>
                  <w:rFonts w:ascii="Arial" w:cs="Arial" w:eastAsia="Arial" w:hAnsi="Arial"/>
                  <w:sz w:val="18"/>
                  <w:szCs w:val="18"/>
                  <w:u w:val="single" w:color="auto"/>
                  <w:color w:val="auto"/>
                  <w:w w:val="97"/>
                </w:rPr>
                <w:t>15</w:t>
              </w:r>
            </w:hyperlink>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60" w:type="dxa"/>
            <w:vAlign w:val="bottom"/>
            <w:tcBorders>
              <w:bottom w:val="single" w:sz="8" w:color="auto"/>
            </w:tcBorders>
            <w:gridSpan w:val="21"/>
          </w:tcPr>
          <w:p>
            <w:pPr>
              <w:spacing w:after="0"/>
              <w:rPr>
                <w:rFonts w:ascii="Arial" w:cs="Arial" w:eastAsia="Arial" w:hAnsi="Arial"/>
                <w:sz w:val="18"/>
                <w:szCs w:val="18"/>
                <w:color w:val="auto"/>
              </w:rPr>
            </w:pPr>
            <w:hyperlink r:id="rId269">
              <w:r>
                <w:rPr>
                  <w:rFonts w:ascii="Arial" w:cs="Arial" w:eastAsia="Arial" w:hAnsi="Arial"/>
                  <w:sz w:val="18"/>
                  <w:szCs w:val="18"/>
                  <w:color w:val="auto"/>
                </w:rPr>
                <w:t>Letter Agreement between PHD Group Holdings LLC and Michelle Hook entered into as of November 14, 2020</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2"/>
          </w:tcPr>
          <w:p>
            <w:pPr>
              <w:spacing w:after="0" w:line="196" w:lineRule="exact"/>
              <w:rPr>
                <w:rFonts w:ascii="Arial" w:cs="Arial" w:eastAsia="Arial" w:hAnsi="Arial"/>
                <w:sz w:val="18"/>
                <w:szCs w:val="18"/>
                <w:color w:val="auto"/>
              </w:rPr>
            </w:pPr>
            <w:hyperlink r:id="rId269">
              <w:r>
                <w:rPr>
                  <w:rFonts w:ascii="Arial" w:cs="Arial" w:eastAsia="Arial" w:hAnsi="Arial"/>
                  <w:sz w:val="18"/>
                  <w:szCs w:val="18"/>
                  <w:color w:val="auto"/>
                </w:rPr>
                <w:t>(incorporated by reference to the Company's Registration Statement on Form S-1 filed on September 27,</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00" w:type="dxa"/>
            <w:vAlign w:val="bottom"/>
            <w:gridSpan w:val="23"/>
          </w:tcPr>
          <w:p>
            <w:pPr>
              <w:ind w:left="20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269">
              <w:r>
                <w:rPr>
                  <w:rFonts w:ascii="Arial" w:cs="Arial" w:eastAsia="Arial" w:hAnsi="Arial"/>
                  <w:sz w:val="18"/>
                  <w:szCs w:val="18"/>
                  <w:color w:val="auto"/>
                </w:rPr>
                <w:t>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270">
              <w:r>
                <w:rPr>
                  <w:rFonts w:ascii="Arial" w:cs="Arial" w:eastAsia="Arial" w:hAnsi="Arial"/>
                  <w:sz w:val="18"/>
                  <w:szCs w:val="18"/>
                  <w:color w:val="auto"/>
                  <w:w w:val="97"/>
                </w:rPr>
                <w:t>10.</w:t>
              </w:r>
              <w:r>
                <w:rPr>
                  <w:rFonts w:ascii="Arial" w:cs="Arial" w:eastAsia="Arial" w:hAnsi="Arial"/>
                  <w:sz w:val="18"/>
                  <w:szCs w:val="18"/>
                  <w:u w:val="single" w:color="auto"/>
                  <w:color w:val="auto"/>
                  <w:w w:val="97"/>
                </w:rPr>
                <w:t>16</w:t>
              </w:r>
            </w:hyperlink>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rFonts w:ascii="Arial" w:cs="Arial" w:eastAsia="Arial" w:hAnsi="Arial"/>
                <w:sz w:val="18"/>
                <w:szCs w:val="18"/>
                <w:color w:val="auto"/>
              </w:rPr>
            </w:pPr>
            <w:hyperlink r:id="rId270">
              <w:r>
                <w:rPr>
                  <w:rFonts w:ascii="Arial" w:cs="Arial" w:eastAsia="Arial" w:hAnsi="Arial"/>
                  <w:sz w:val="18"/>
                  <w:szCs w:val="18"/>
                  <w:color w:val="auto"/>
                </w:rPr>
                <w:t>Letter Agreement between PHD Group Holdings LLC and Jill Waite entered into as of May 22, 2019</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2"/>
          </w:tcPr>
          <w:p>
            <w:pPr>
              <w:spacing w:after="0" w:line="196" w:lineRule="exact"/>
              <w:rPr>
                <w:rFonts w:ascii="Arial" w:cs="Arial" w:eastAsia="Arial" w:hAnsi="Arial"/>
                <w:sz w:val="18"/>
                <w:szCs w:val="18"/>
                <w:color w:val="auto"/>
              </w:rPr>
            </w:pPr>
            <w:hyperlink r:id="rId270">
              <w:r>
                <w:rPr>
                  <w:rFonts w:ascii="Arial" w:cs="Arial" w:eastAsia="Arial" w:hAnsi="Arial"/>
                  <w:sz w:val="18"/>
                  <w:szCs w:val="18"/>
                  <w:color w:val="auto"/>
                </w:rPr>
                <w:t>(incorporated by reference to the Company's Registration Statement on Form S-1 filed on September 27,</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00" w:type="dxa"/>
            <w:vAlign w:val="bottom"/>
            <w:gridSpan w:val="23"/>
          </w:tcPr>
          <w:p>
            <w:pPr>
              <w:ind w:left="20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270">
              <w:r>
                <w:rPr>
                  <w:rFonts w:ascii="Arial" w:cs="Arial" w:eastAsia="Arial" w:hAnsi="Arial"/>
                  <w:sz w:val="18"/>
                  <w:szCs w:val="18"/>
                  <w:color w:val="auto"/>
                </w:rPr>
                <w:t>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271">
              <w:r>
                <w:rPr>
                  <w:rFonts w:ascii="Arial" w:cs="Arial" w:eastAsia="Arial" w:hAnsi="Arial"/>
                  <w:sz w:val="18"/>
                  <w:szCs w:val="18"/>
                  <w:color w:val="auto"/>
                  <w:w w:val="97"/>
                </w:rPr>
                <w:t>10.</w:t>
              </w:r>
              <w:r>
                <w:rPr>
                  <w:rFonts w:ascii="Arial" w:cs="Arial" w:eastAsia="Arial" w:hAnsi="Arial"/>
                  <w:sz w:val="18"/>
                  <w:szCs w:val="18"/>
                  <w:u w:val="single" w:color="auto"/>
                  <w:color w:val="auto"/>
                  <w:w w:val="97"/>
                </w:rPr>
                <w:t>17</w:t>
              </w:r>
            </w:hyperlink>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40" w:type="dxa"/>
            <w:vAlign w:val="bottom"/>
            <w:tcBorders>
              <w:bottom w:val="single" w:sz="8" w:color="auto"/>
            </w:tcBorders>
            <w:gridSpan w:val="17"/>
          </w:tcPr>
          <w:p>
            <w:pPr>
              <w:spacing w:after="0"/>
              <w:rPr>
                <w:rFonts w:ascii="Arial" w:cs="Arial" w:eastAsia="Arial" w:hAnsi="Arial"/>
                <w:sz w:val="18"/>
                <w:szCs w:val="18"/>
                <w:color w:val="auto"/>
                <w:w w:val="99"/>
              </w:rPr>
            </w:pPr>
            <w:hyperlink r:id="rId271">
              <w:r>
                <w:rPr>
                  <w:rFonts w:ascii="Arial" w:cs="Arial" w:eastAsia="Arial" w:hAnsi="Arial"/>
                  <w:sz w:val="18"/>
                  <w:szCs w:val="18"/>
                  <w:color w:val="auto"/>
                  <w:w w:val="99"/>
                </w:rPr>
                <w:t>Tax Receivable Agreement among Portillo’s Inc. and the Parties named therein (incorporated by reference to</w:t>
              </w:r>
            </w:hyperlink>
          </w:p>
        </w:tc>
        <w:tc>
          <w:tcPr>
            <w:tcW w:w="46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2"/>
          </w:tcPr>
          <w:p>
            <w:pPr>
              <w:spacing w:after="0" w:line="196" w:lineRule="exact"/>
              <w:rPr>
                <w:rFonts w:ascii="Arial" w:cs="Arial" w:eastAsia="Arial" w:hAnsi="Arial"/>
                <w:sz w:val="18"/>
                <w:szCs w:val="18"/>
                <w:color w:val="auto"/>
              </w:rPr>
            </w:pPr>
            <w:hyperlink r:id="rId271">
              <w:r>
                <w:rPr>
                  <w:rFonts w:ascii="Arial" w:cs="Arial" w:eastAsia="Arial" w:hAnsi="Arial"/>
                  <w:sz w:val="18"/>
                  <w:szCs w:val="18"/>
                  <w:color w:val="auto"/>
                </w:rPr>
                <w:t>the Company's Form 10-Q filed on November 18, 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272">
              <w:r>
                <w:rPr>
                  <w:rFonts w:ascii="Arial" w:cs="Arial" w:eastAsia="Arial" w:hAnsi="Arial"/>
                  <w:sz w:val="18"/>
                  <w:szCs w:val="18"/>
                  <w:color w:val="auto"/>
                  <w:w w:val="97"/>
                </w:rPr>
                <w:t>10.</w:t>
              </w:r>
              <w:r>
                <w:rPr>
                  <w:rFonts w:ascii="Arial" w:cs="Arial" w:eastAsia="Arial" w:hAnsi="Arial"/>
                  <w:sz w:val="18"/>
                  <w:szCs w:val="18"/>
                  <w:u w:val="single" w:color="auto"/>
                  <w:color w:val="auto"/>
                  <w:w w:val="97"/>
                </w:rPr>
                <w:t>18</w:t>
              </w:r>
            </w:hyperlink>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40" w:type="dxa"/>
            <w:vAlign w:val="bottom"/>
            <w:tcBorders>
              <w:bottom w:val="single" w:sz="8" w:color="auto"/>
            </w:tcBorders>
            <w:gridSpan w:val="20"/>
          </w:tcPr>
          <w:p>
            <w:pPr>
              <w:spacing w:after="0"/>
              <w:rPr>
                <w:rFonts w:ascii="Arial" w:cs="Arial" w:eastAsia="Arial" w:hAnsi="Arial"/>
                <w:sz w:val="18"/>
                <w:szCs w:val="18"/>
                <w:color w:val="auto"/>
                <w:w w:val="99"/>
              </w:rPr>
            </w:pPr>
            <w:hyperlink r:id="rId272">
              <w:r>
                <w:rPr>
                  <w:rFonts w:ascii="Arial" w:cs="Arial" w:eastAsia="Arial" w:hAnsi="Arial"/>
                  <w:sz w:val="18"/>
                  <w:szCs w:val="18"/>
                  <w:color w:val="auto"/>
                  <w:w w:val="99"/>
                </w:rPr>
                <w:t>Second Amended and Restated LLC Agreement of PHD Group Holdings LLC (incorporated by reference to the</w:t>
              </w:r>
            </w:hyperlink>
          </w:p>
        </w:tc>
        <w:tc>
          <w:tcPr>
            <w:tcW w:w="26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2"/>
          </w:tcPr>
          <w:p>
            <w:pPr>
              <w:spacing w:after="0" w:line="196" w:lineRule="exact"/>
              <w:rPr>
                <w:rFonts w:ascii="Arial" w:cs="Arial" w:eastAsia="Arial" w:hAnsi="Arial"/>
                <w:sz w:val="18"/>
                <w:szCs w:val="18"/>
                <w:color w:val="auto"/>
              </w:rPr>
            </w:pPr>
            <w:hyperlink r:id="rId272">
              <w:r>
                <w:rPr>
                  <w:rFonts w:ascii="Arial" w:cs="Arial" w:eastAsia="Arial" w:hAnsi="Arial"/>
                  <w:sz w:val="18"/>
                  <w:szCs w:val="18"/>
                  <w:color w:val="auto"/>
                </w:rPr>
                <w:t>Company's Form 10-Q filed on November 18, 2021).</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273">
              <w:r>
                <w:rPr>
                  <w:rFonts w:ascii="Arial" w:cs="Arial" w:eastAsia="Arial" w:hAnsi="Arial"/>
                  <w:sz w:val="18"/>
                  <w:szCs w:val="18"/>
                  <w:color w:val="auto"/>
                  <w:w w:val="97"/>
                </w:rPr>
                <w:t>10.</w:t>
              </w:r>
              <w:r>
                <w:rPr>
                  <w:rFonts w:ascii="Arial" w:cs="Arial" w:eastAsia="Arial" w:hAnsi="Arial"/>
                  <w:sz w:val="18"/>
                  <w:szCs w:val="18"/>
                  <w:u w:val="single" w:color="auto"/>
                  <w:color w:val="auto"/>
                  <w:w w:val="97"/>
                </w:rPr>
                <w:t>19</w:t>
              </w:r>
            </w:hyperlink>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rFonts w:ascii="Arial" w:cs="Arial" w:eastAsia="Arial" w:hAnsi="Arial"/>
                <w:sz w:val="18"/>
                <w:szCs w:val="18"/>
                <w:color w:val="auto"/>
              </w:rPr>
            </w:pPr>
            <w:hyperlink r:id="rId273">
              <w:r>
                <w:rPr>
                  <w:rFonts w:ascii="Arial" w:cs="Arial" w:eastAsia="Arial" w:hAnsi="Arial"/>
                  <w:sz w:val="18"/>
                  <w:szCs w:val="18"/>
                  <w:color w:val="auto"/>
                </w:rPr>
                <w:t>Portillo's Inc. Employee Stock Purchase Plan (incorporated by reference to the Company's Form 10-Q filed on</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9500" w:type="dxa"/>
            <w:vAlign w:val="bottom"/>
            <w:gridSpan w:val="23"/>
          </w:tcPr>
          <w:p>
            <w:pPr>
              <w:ind w:left="200"/>
              <w:spacing w:after="0" w:line="196" w:lineRule="exact"/>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w:t>
            </w:r>
            <w:hyperlink r:id="rId273">
              <w:r>
                <w:rPr>
                  <w:rFonts w:ascii="Arial" w:cs="Arial" w:eastAsia="Arial" w:hAnsi="Arial"/>
                  <w:sz w:val="18"/>
                  <w:szCs w:val="18"/>
                  <w:color w:val="auto"/>
                </w:rPr>
                <w:t>August 4, 2022)</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rFonts w:ascii="Arial" w:cs="Arial" w:eastAsia="Arial" w:hAnsi="Arial"/>
                <w:sz w:val="18"/>
                <w:szCs w:val="18"/>
                <w:color w:val="auto"/>
                <w:w w:val="97"/>
              </w:rPr>
            </w:pPr>
            <w:hyperlink r:id="rId274">
              <w:r>
                <w:rPr>
                  <w:rFonts w:ascii="Arial" w:cs="Arial" w:eastAsia="Arial" w:hAnsi="Arial"/>
                  <w:sz w:val="18"/>
                  <w:szCs w:val="18"/>
                  <w:color w:val="auto"/>
                  <w:w w:val="97"/>
                </w:rPr>
                <w:t>10.</w:t>
              </w:r>
              <w:r>
                <w:rPr>
                  <w:rFonts w:ascii="Arial" w:cs="Arial" w:eastAsia="Arial" w:hAnsi="Arial"/>
                  <w:sz w:val="18"/>
                  <w:szCs w:val="18"/>
                  <w:u w:val="single" w:color="auto"/>
                  <w:color w:val="auto"/>
                  <w:w w:val="97"/>
                </w:rPr>
                <w:t>20</w:t>
              </w:r>
            </w:hyperlink>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rFonts w:ascii="Arial" w:cs="Arial" w:eastAsia="Arial" w:hAnsi="Arial"/>
                <w:sz w:val="18"/>
                <w:szCs w:val="18"/>
                <w:color w:val="auto"/>
              </w:rPr>
            </w:pPr>
            <w:hyperlink r:id="rId274">
              <w:r>
                <w:rPr>
                  <w:rFonts w:ascii="Arial" w:cs="Arial" w:eastAsia="Arial" w:hAnsi="Arial"/>
                  <w:sz w:val="18"/>
                  <w:szCs w:val="18"/>
                  <w:color w:val="auto"/>
                </w:rPr>
                <w:t>Form of Stock and Unit Purchase Agreement by and among Portillo’s Inc. and the parties named therein</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340" w:type="dxa"/>
            <w:vAlign w:val="bottom"/>
            <w:tcBorders>
              <w:top w:val="single" w:sz="8" w:color="auto"/>
            </w:tcBorders>
            <w:gridSpan w:val="14"/>
          </w:tcPr>
          <w:p>
            <w:pPr>
              <w:spacing w:after="0" w:line="196" w:lineRule="exact"/>
              <w:rPr>
                <w:rFonts w:ascii="Arial" w:cs="Arial" w:eastAsia="Arial" w:hAnsi="Arial"/>
                <w:sz w:val="18"/>
                <w:szCs w:val="18"/>
                <w:color w:val="auto"/>
              </w:rPr>
            </w:pPr>
            <w:hyperlink r:id="rId274">
              <w:r>
                <w:rPr>
                  <w:rFonts w:ascii="Arial" w:cs="Arial" w:eastAsia="Arial" w:hAnsi="Arial"/>
                  <w:sz w:val="18"/>
                  <w:szCs w:val="18"/>
                  <w:color w:val="auto"/>
                </w:rPr>
                <w:t>(incorporated by reference to the Company's Registration Statement on S-1 filed on August 8, 2022)</w:t>
              </w:r>
            </w:hyperlink>
          </w:p>
        </w:tc>
        <w:tc>
          <w:tcPr>
            <w:tcW w:w="760" w:type="dxa"/>
            <w:vAlign w:val="bottom"/>
            <w:gridSpan w:val="8"/>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tcPr>
          <w:p>
            <w:pPr>
              <w:spacing w:after="0"/>
              <w:rPr>
                <w:sz w:val="20"/>
                <w:szCs w:val="20"/>
                <w:color w:val="auto"/>
              </w:rPr>
            </w:pPr>
            <w:r>
              <w:rPr>
                <w:rFonts w:ascii="Arial" w:cs="Arial" w:eastAsia="Arial" w:hAnsi="Arial"/>
                <w:sz w:val="18"/>
                <w:szCs w:val="18"/>
                <w:color w:val="auto"/>
                <w:w w:val="97"/>
              </w:rPr>
              <w:t>10.</w:t>
            </w:r>
            <w:r>
              <w:rPr>
                <w:rFonts w:ascii="Arial" w:cs="Arial" w:eastAsia="Arial" w:hAnsi="Arial"/>
                <w:sz w:val="18"/>
                <w:szCs w:val="18"/>
                <w:u w:val="single" w:color="auto"/>
                <w:color w:val="auto"/>
                <w:w w:val="97"/>
              </w:rPr>
              <w:t>21</w:t>
            </w:r>
          </w:p>
        </w:tc>
        <w:tc>
          <w:tcPr>
            <w:tcW w:w="480" w:type="dxa"/>
            <w:vAlign w:val="bottom"/>
          </w:tcPr>
          <w:p>
            <w:pPr>
              <w:spacing w:after="0"/>
              <w:rPr>
                <w:sz w:val="21"/>
                <w:szCs w:val="21"/>
                <w:color w:val="auto"/>
              </w:rPr>
            </w:pPr>
          </w:p>
        </w:tc>
        <w:tc>
          <w:tcPr>
            <w:tcW w:w="9500" w:type="dxa"/>
            <w:vAlign w:val="bottom"/>
            <w:gridSpan w:val="23"/>
          </w:tcPr>
          <w:p>
            <w:pPr>
              <w:ind w:left="200"/>
              <w:spacing w:after="0"/>
              <w:rPr>
                <w:sz w:val="20"/>
                <w:szCs w:val="20"/>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Form of Restricted Stock Award Agreement under Portillo’s Inc. 2021 Equity Incentive Plan</w:t>
            </w:r>
          </w:p>
        </w:tc>
        <w:tc>
          <w:tcPr>
            <w:tcW w:w="380" w:type="dxa"/>
            <w:vAlign w:val="bottom"/>
          </w:tcPr>
          <w:p>
            <w:pPr>
              <w:jc w:val="center"/>
              <w:ind w:left="190"/>
              <w:spacing w:after="0"/>
              <w:rPr>
                <w:sz w:val="20"/>
                <w:szCs w:val="20"/>
                <w:color w:val="auto"/>
              </w:rPr>
            </w:pPr>
            <w:r>
              <w:rPr>
                <w:rFonts w:ascii="Arial" w:cs="Arial" w:eastAsia="Arial" w:hAnsi="Arial"/>
                <w:sz w:val="18"/>
                <w:szCs w:val="18"/>
                <w:i w:val="1"/>
                <w:iCs w:val="1"/>
                <w:color w:val="auto"/>
                <w:w w:val="84"/>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rFonts w:ascii="Arial" w:cs="Arial" w:eastAsia="Arial" w:hAnsi="Arial"/>
                <w:sz w:val="18"/>
                <w:szCs w:val="18"/>
                <w:color w:val="auto"/>
              </w:rPr>
            </w:pPr>
            <w:hyperlink r:id="rId275">
              <w:r>
                <w:rPr>
                  <w:rFonts w:ascii="Arial" w:cs="Arial" w:eastAsia="Arial" w:hAnsi="Arial"/>
                  <w:sz w:val="18"/>
                  <w:szCs w:val="18"/>
                  <w:color w:val="auto"/>
                </w:rPr>
                <w:t>Credit Agreement, dated as of February 2, 2023, by and among PHD Intermediate LLC, Portillo’s Holdings,</w:t>
              </w:r>
            </w:hyperlink>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gridSpan w:val="4"/>
            <w:shd w:val="clear" w:color="auto" w:fill="000000"/>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780" w:type="dxa"/>
            <w:vAlign w:val="bottom"/>
            <w:gridSpan w:val="4"/>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540" w:type="dxa"/>
            <w:vAlign w:val="bottom"/>
            <w:tcBorders>
              <w:bottom w:val="single" w:sz="8" w:color="auto"/>
            </w:tcBorders>
            <w:gridSpan w:val="16"/>
          </w:tcPr>
          <w:p>
            <w:pPr>
              <w:spacing w:after="0" w:line="196" w:lineRule="exact"/>
              <w:rPr>
                <w:rFonts w:ascii="Arial" w:cs="Arial" w:eastAsia="Arial" w:hAnsi="Arial"/>
                <w:sz w:val="18"/>
                <w:szCs w:val="18"/>
                <w:color w:val="auto"/>
                <w:w w:val="99"/>
              </w:rPr>
            </w:pPr>
            <w:hyperlink r:id="rId275">
              <w:r>
                <w:rPr>
                  <w:rFonts w:ascii="Arial" w:cs="Arial" w:eastAsia="Arial" w:hAnsi="Arial"/>
                  <w:sz w:val="18"/>
                  <w:szCs w:val="18"/>
                  <w:color w:val="auto"/>
                  <w:w w:val="99"/>
                </w:rPr>
                <w:t>LLC, the Subsidiaries of the Borrower Party, Fifth Third Bank, National Association as Administrative Agent,</w:t>
              </w:r>
            </w:hyperlink>
          </w:p>
        </w:tc>
        <w:tc>
          <w:tcPr>
            <w:tcW w:w="56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restart"/>
          </w:tcPr>
          <w:p>
            <w:pPr>
              <w:spacing w:after="0"/>
              <w:rPr>
                <w:rFonts w:ascii="Arial" w:cs="Arial" w:eastAsia="Arial" w:hAnsi="Arial"/>
                <w:sz w:val="18"/>
                <w:szCs w:val="18"/>
                <w:color w:val="auto"/>
                <w:w w:val="97"/>
              </w:rPr>
            </w:pPr>
            <w:hyperlink r:id="rId275">
              <w:r>
                <w:rPr>
                  <w:rFonts w:ascii="Arial" w:cs="Arial" w:eastAsia="Arial" w:hAnsi="Arial"/>
                  <w:sz w:val="18"/>
                  <w:szCs w:val="18"/>
                  <w:color w:val="auto"/>
                  <w:w w:val="97"/>
                </w:rPr>
                <w:t>10.</w:t>
              </w:r>
              <w:r>
                <w:rPr>
                  <w:rFonts w:ascii="Arial" w:cs="Arial" w:eastAsia="Arial" w:hAnsi="Arial"/>
                  <w:sz w:val="18"/>
                  <w:szCs w:val="18"/>
                  <w:u w:val="single" w:color="auto"/>
                  <w:color w:val="auto"/>
                  <w:w w:val="97"/>
                </w:rPr>
                <w:t>22</w:t>
              </w:r>
            </w:hyperlink>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100" w:type="dxa"/>
            <w:vAlign w:val="bottom"/>
            <w:gridSpan w:val="22"/>
          </w:tcPr>
          <w:p>
            <w:pPr>
              <w:spacing w:after="0" w:line="196" w:lineRule="exact"/>
              <w:rPr>
                <w:rFonts w:ascii="Arial" w:cs="Arial" w:eastAsia="Arial" w:hAnsi="Arial"/>
                <w:sz w:val="18"/>
                <w:szCs w:val="18"/>
                <w:color w:val="auto"/>
              </w:rPr>
            </w:pPr>
            <w:hyperlink r:id="rId275">
              <w:r>
                <w:rPr>
                  <w:rFonts w:ascii="Arial" w:cs="Arial" w:eastAsia="Arial" w:hAnsi="Arial"/>
                  <w:sz w:val="18"/>
                  <w:szCs w:val="18"/>
                  <w:color w:val="auto"/>
                </w:rPr>
                <w:t>L/C Issuer and Swing Line Lender and the other lenders party thereto (incorporated by reference to the</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gridSpan w:val="3"/>
            <w:vMerge w:val="continue"/>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180" w:type="dxa"/>
            <w:vAlign w:val="bottom"/>
            <w:tcBorders>
              <w:top w:val="single" w:sz="8" w:color="auto"/>
            </w:tcBorders>
            <w:gridSpan w:val="13"/>
          </w:tcPr>
          <w:p>
            <w:pPr>
              <w:spacing w:after="0" w:line="196" w:lineRule="exact"/>
              <w:rPr>
                <w:rFonts w:ascii="Arial" w:cs="Arial" w:eastAsia="Arial" w:hAnsi="Arial"/>
                <w:sz w:val="18"/>
                <w:szCs w:val="18"/>
                <w:color w:val="auto"/>
              </w:rPr>
            </w:pPr>
            <w:hyperlink r:id="rId275">
              <w:r>
                <w:rPr>
                  <w:rFonts w:ascii="Arial" w:cs="Arial" w:eastAsia="Arial" w:hAnsi="Arial"/>
                  <w:sz w:val="18"/>
                  <w:szCs w:val="18"/>
                  <w:color w:val="auto"/>
                </w:rPr>
                <w:t>Company's Current Report on Form 8-K filed on February 6, 2023).</w:t>
              </w:r>
            </w:hyperlink>
          </w:p>
        </w:tc>
        <w:tc>
          <w:tcPr>
            <w:tcW w:w="920" w:type="dxa"/>
            <w:vAlign w:val="bottom"/>
            <w:gridSpan w:val="9"/>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2460" w:type="dxa"/>
            <w:vAlign w:val="bottom"/>
            <w:gridSpan w:val="3"/>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0"/>
                <w:szCs w:val="20"/>
                <w:color w:val="auto"/>
              </w:rPr>
            </w:pPr>
            <w:r>
              <w:rPr>
                <w:rFonts w:ascii="Arial" w:cs="Arial" w:eastAsia="Arial" w:hAnsi="Arial"/>
                <w:sz w:val="18"/>
                <w:szCs w:val="18"/>
                <w:color w:val="auto"/>
                <w:w w:val="89"/>
              </w:rPr>
              <w:t>21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Subsidiaries of Portillo's Inc.</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tcPr>
          <w:p>
            <w:pPr>
              <w:spacing w:after="0"/>
              <w:rPr>
                <w:sz w:val="20"/>
                <w:szCs w:val="20"/>
                <w:color w:val="auto"/>
              </w:rPr>
            </w:pPr>
            <w:r>
              <w:rPr>
                <w:rFonts w:ascii="Arial" w:cs="Arial" w:eastAsia="Arial" w:hAnsi="Arial"/>
                <w:sz w:val="18"/>
                <w:szCs w:val="18"/>
                <w:color w:val="auto"/>
                <w:w w:val="96"/>
              </w:rPr>
              <w:t>23.</w:t>
            </w:r>
            <w:r>
              <w:rPr>
                <w:rFonts w:ascii="Arial" w:cs="Arial" w:eastAsia="Arial" w:hAnsi="Arial"/>
                <w:sz w:val="18"/>
                <w:szCs w:val="18"/>
                <w:u w:val="single" w:color="auto"/>
                <w:color w:val="auto"/>
                <w:w w:val="96"/>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6"/>
            <w:shd w:val="clear" w:color="auto" w:fill="000000"/>
          </w:tcPr>
          <w:p>
            <w:pPr>
              <w:spacing w:after="0" w:line="20" w:lineRule="exact"/>
              <w:rPr>
                <w:sz w:val="1"/>
                <w:szCs w:val="1"/>
                <w:color w:val="auto"/>
              </w:rPr>
            </w:pPr>
          </w:p>
        </w:tc>
        <w:tc>
          <w:tcPr>
            <w:tcW w:w="700" w:type="dxa"/>
            <w:vAlign w:val="bottom"/>
            <w:tcBorders>
              <w:left w:val="single" w:sz="8" w:color="auto"/>
            </w:tcBorders>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gridSpan w:val="2"/>
            <w:vMerge w:val="restart"/>
          </w:tcPr>
          <w:p>
            <w:pPr>
              <w:spacing w:after="0"/>
              <w:rPr>
                <w:sz w:val="20"/>
                <w:szCs w:val="20"/>
                <w:color w:val="auto"/>
              </w:rPr>
            </w:pPr>
            <w:r>
              <w:rPr>
                <w:rFonts w:ascii="Arial" w:cs="Arial" w:eastAsia="Arial" w:hAnsi="Arial"/>
                <w:sz w:val="18"/>
                <w:szCs w:val="18"/>
                <w:color w:val="auto"/>
                <w:w w:val="96"/>
              </w:rPr>
              <w:t>31.</w:t>
            </w:r>
            <w:r>
              <w:rPr>
                <w:rFonts w:ascii="Arial" w:cs="Arial" w:eastAsia="Arial" w:hAnsi="Arial"/>
                <w:sz w:val="18"/>
                <w:szCs w:val="18"/>
                <w:u w:val="single" w:color="auto"/>
                <w:color w:val="auto"/>
                <w:w w:val="96"/>
              </w:rPr>
              <w:t>1</w:t>
            </w:r>
          </w:p>
        </w:tc>
        <w:tc>
          <w:tcPr>
            <w:tcW w:w="100" w:type="dxa"/>
            <w:vAlign w:val="bottom"/>
            <w:vMerge w:val="restart"/>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Certification of the Principal Executive Officer pursuant to Securities Exchange Act Rules 13a-14(a), as</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6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2"/>
            <w:vMerge w:val="restart"/>
          </w:tcPr>
          <w:p>
            <w:pPr>
              <w:spacing w:after="0" w:line="196" w:lineRule="exact"/>
              <w:rPr>
                <w:sz w:val="20"/>
                <w:szCs w:val="20"/>
                <w:color w:val="auto"/>
              </w:rPr>
            </w:pPr>
            <w:r>
              <w:rPr>
                <w:rFonts w:ascii="Arial" w:cs="Arial" w:eastAsia="Arial" w:hAnsi="Arial"/>
                <w:sz w:val="18"/>
                <w:szCs w:val="18"/>
                <w:color w:val="auto"/>
              </w:rPr>
              <w:t>adopted pursuant to Section 302 of the Sarbanes-Oxley Act of 2002</w:t>
            </w:r>
          </w:p>
        </w:tc>
        <w:tc>
          <w:tcPr>
            <w:tcW w:w="380" w:type="dxa"/>
            <w:vAlign w:val="bottom"/>
            <w:vMerge w:val="restart"/>
          </w:tcPr>
          <w:p>
            <w:pPr>
              <w:jc w:val="center"/>
              <w:ind w:left="190"/>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6"/>
            <w:shd w:val="clear" w:color="auto" w:fill="000000"/>
          </w:tcPr>
          <w:p>
            <w:pPr>
              <w:spacing w:after="0" w:line="20" w:lineRule="exact"/>
              <w:rPr>
                <w:sz w:val="1"/>
                <w:szCs w:val="1"/>
                <w:color w:val="auto"/>
              </w:rPr>
            </w:pPr>
          </w:p>
        </w:tc>
        <w:tc>
          <w:tcPr>
            <w:tcW w:w="700" w:type="dxa"/>
            <w:vAlign w:val="bottom"/>
            <w:tcBorders>
              <w:left w:val="single" w:sz="8" w:color="auto"/>
            </w:tcBorders>
            <w:gridSpan w:val="2"/>
            <w:shd w:val="clear" w:color="auto" w:fill="000000"/>
          </w:tcPr>
          <w:p>
            <w:pPr>
              <w:spacing w:after="0" w:line="20" w:lineRule="exact"/>
              <w:rPr>
                <w:sz w:val="1"/>
                <w:szCs w:val="1"/>
                <w:color w:val="auto"/>
              </w:rPr>
            </w:pPr>
          </w:p>
        </w:tc>
        <w:tc>
          <w:tcPr>
            <w:tcW w:w="33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2</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Certification of the Principal Financial Officer pursuant to Securities Exchange Act Rules 13a-14(a), as adopted</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2"/>
            <w:vMerge w:val="restart"/>
          </w:tcPr>
          <w:p>
            <w:pPr>
              <w:spacing w:after="0" w:line="196" w:lineRule="exact"/>
              <w:rPr>
                <w:sz w:val="20"/>
                <w:szCs w:val="20"/>
                <w:color w:val="auto"/>
              </w:rPr>
            </w:pPr>
            <w:r>
              <w:rPr>
                <w:rFonts w:ascii="Arial" w:cs="Arial" w:eastAsia="Arial" w:hAnsi="Arial"/>
                <w:sz w:val="18"/>
                <w:szCs w:val="18"/>
                <w:color w:val="auto"/>
              </w:rPr>
              <w:t>pursuant to Section 302 of the Sarbanes-Oxley Act of 2002</w:t>
            </w:r>
          </w:p>
        </w:tc>
        <w:tc>
          <w:tcPr>
            <w:tcW w:w="380" w:type="dxa"/>
            <w:vAlign w:val="bottom"/>
            <w:vMerge w:val="restart"/>
          </w:tcPr>
          <w:p>
            <w:pPr>
              <w:jc w:val="center"/>
              <w:ind w:left="190"/>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88"/>
        </w:trPr>
        <w:tc>
          <w:tcPr>
            <w:tcW w:w="2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6"/>
            <w:shd w:val="clear" w:color="auto" w:fill="000000"/>
          </w:tcPr>
          <w:p>
            <w:pPr>
              <w:spacing w:after="0" w:line="20" w:lineRule="exact"/>
              <w:rPr>
                <w:sz w:val="1"/>
                <w:szCs w:val="1"/>
                <w:color w:val="auto"/>
              </w:rPr>
            </w:pPr>
          </w:p>
        </w:tc>
        <w:tc>
          <w:tcPr>
            <w:tcW w:w="4040" w:type="dxa"/>
            <w:vAlign w:val="bottom"/>
            <w:gridSpan w:val="11"/>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gridSpan w:val="3"/>
            <w:vMerge w:val="restart"/>
          </w:tcPr>
          <w:p>
            <w:pPr>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1</w:t>
            </w: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Certifications of the Chief Executive Officer and Chief Financial Officer pursuant to 18 U.S.C. Section 1350, as</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2"/>
            <w:vMerge w:val="restart"/>
          </w:tcPr>
          <w:p>
            <w:pPr>
              <w:spacing w:after="0" w:line="196" w:lineRule="exact"/>
              <w:rPr>
                <w:sz w:val="20"/>
                <w:szCs w:val="20"/>
                <w:color w:val="auto"/>
              </w:rPr>
            </w:pPr>
            <w:r>
              <w:rPr>
                <w:rFonts w:ascii="Arial" w:cs="Arial" w:eastAsia="Arial" w:hAnsi="Arial"/>
                <w:sz w:val="18"/>
                <w:szCs w:val="18"/>
                <w:color w:val="auto"/>
              </w:rPr>
              <w:t>adopted pursuant to Section 906 of the Sarbanes-Oxley Act of 2002</w:t>
            </w:r>
          </w:p>
        </w:tc>
        <w:tc>
          <w:tcPr>
            <w:tcW w:w="380" w:type="dxa"/>
            <w:vAlign w:val="bottom"/>
            <w:vMerge w:val="restart"/>
          </w:tcPr>
          <w:p>
            <w:pPr>
              <w:jc w:val="center"/>
              <w:ind w:left="19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88"/>
        </w:trPr>
        <w:tc>
          <w:tcPr>
            <w:tcW w:w="2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100" w:type="dxa"/>
            <w:vAlign w:val="bottom"/>
            <w:gridSpan w:val="2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80" w:type="dxa"/>
            <w:vAlign w:val="bottom"/>
            <w:gridSpan w:val="8"/>
            <w:shd w:val="clear" w:color="auto" w:fill="000000"/>
          </w:tcPr>
          <w:p>
            <w:pPr>
              <w:spacing w:after="0" w:line="20" w:lineRule="exact"/>
              <w:rPr>
                <w:sz w:val="1"/>
                <w:szCs w:val="1"/>
                <w:color w:val="auto"/>
              </w:rPr>
            </w:pPr>
          </w:p>
        </w:tc>
        <w:tc>
          <w:tcPr>
            <w:tcW w:w="370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940" w:type="dxa"/>
            <w:vAlign w:val="bottom"/>
            <w:gridSpan w:val="4"/>
            <w:vMerge w:val="restart"/>
          </w:tcPr>
          <w:p>
            <w:pPr>
              <w:spacing w:after="0"/>
              <w:rPr>
                <w:sz w:val="20"/>
                <w:szCs w:val="20"/>
                <w:color w:val="auto"/>
              </w:rPr>
            </w:pPr>
            <w:r>
              <w:rPr>
                <w:rFonts w:ascii="Arial" w:cs="Arial" w:eastAsia="Arial" w:hAnsi="Arial"/>
                <w:sz w:val="18"/>
                <w:szCs w:val="18"/>
                <w:color w:val="auto"/>
              </w:rPr>
              <w:t>101.INS</w:t>
            </w:r>
          </w:p>
        </w:tc>
        <w:tc>
          <w:tcPr>
            <w:tcW w:w="400" w:type="dxa"/>
            <w:vAlign w:val="bottom"/>
          </w:tcPr>
          <w:p>
            <w:pPr>
              <w:spacing w:after="0"/>
              <w:rPr>
                <w:sz w:val="23"/>
                <w:szCs w:val="23"/>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940" w:type="dxa"/>
            <w:vAlign w:val="bottom"/>
            <w:gridSpan w:val="4"/>
            <w:vMerge w:val="continue"/>
          </w:tcPr>
          <w:p>
            <w:pPr>
              <w:spacing w:after="0"/>
              <w:rPr>
                <w:sz w:val="11"/>
                <w:szCs w:val="11"/>
                <w:color w:val="auto"/>
              </w:rPr>
            </w:pPr>
          </w:p>
        </w:tc>
        <w:tc>
          <w:tcPr>
            <w:tcW w:w="400" w:type="dxa"/>
            <w:vAlign w:val="bottom"/>
          </w:tcPr>
          <w:p>
            <w:pPr>
              <w:spacing w:after="0"/>
              <w:rPr>
                <w:sz w:val="11"/>
                <w:szCs w:val="11"/>
                <w:color w:val="auto"/>
              </w:rPr>
            </w:pPr>
          </w:p>
        </w:tc>
        <w:tc>
          <w:tcPr>
            <w:tcW w:w="9100" w:type="dxa"/>
            <w:vAlign w:val="bottom"/>
            <w:gridSpan w:val="22"/>
            <w:vMerge w:val="restart"/>
          </w:tcPr>
          <w:p>
            <w:pPr>
              <w:spacing w:after="0"/>
              <w:rPr>
                <w:sz w:val="20"/>
                <w:szCs w:val="20"/>
                <w:color w:val="auto"/>
              </w:rPr>
            </w:pPr>
            <w:r>
              <w:rPr>
                <w:rFonts w:ascii="Arial" w:cs="Arial" w:eastAsia="Arial" w:hAnsi="Arial"/>
                <w:sz w:val="18"/>
                <w:szCs w:val="18"/>
                <w:color w:val="auto"/>
              </w:rPr>
              <w:t>XBRL tags are embedded within the Inline XBRL document</w:t>
            </w:r>
          </w:p>
        </w:tc>
        <w:tc>
          <w:tcPr>
            <w:tcW w:w="380" w:type="dxa"/>
            <w:vAlign w:val="bottom"/>
            <w:vMerge w:val="restart"/>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100" w:type="dxa"/>
            <w:vAlign w:val="bottom"/>
            <w:gridSpan w:val="2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101.SCH</w:t>
            </w:r>
          </w:p>
        </w:tc>
        <w:tc>
          <w:tcPr>
            <w:tcW w:w="400" w:type="dxa"/>
            <w:vAlign w:val="bottom"/>
          </w:tcPr>
          <w:p>
            <w:pPr>
              <w:spacing w:after="0"/>
              <w:rPr>
                <w:sz w:val="23"/>
                <w:szCs w:val="23"/>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101.CAL</w:t>
            </w:r>
          </w:p>
        </w:tc>
        <w:tc>
          <w:tcPr>
            <w:tcW w:w="400" w:type="dxa"/>
            <w:vAlign w:val="bottom"/>
          </w:tcPr>
          <w:p>
            <w:pPr>
              <w:spacing w:after="0"/>
              <w:rPr>
                <w:sz w:val="23"/>
                <w:szCs w:val="23"/>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101.DEF</w:t>
            </w:r>
          </w:p>
        </w:tc>
        <w:tc>
          <w:tcPr>
            <w:tcW w:w="400" w:type="dxa"/>
            <w:vAlign w:val="bottom"/>
          </w:tcPr>
          <w:p>
            <w:pPr>
              <w:spacing w:after="0"/>
              <w:rPr>
                <w:sz w:val="23"/>
                <w:szCs w:val="23"/>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101.LAB</w:t>
            </w:r>
          </w:p>
        </w:tc>
        <w:tc>
          <w:tcPr>
            <w:tcW w:w="400" w:type="dxa"/>
            <w:vAlign w:val="bottom"/>
          </w:tcPr>
          <w:p>
            <w:pPr>
              <w:spacing w:after="0"/>
              <w:rPr>
                <w:sz w:val="23"/>
                <w:szCs w:val="23"/>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XBRL Taxonomy Extension Label Linkbase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8"/>
                <w:szCs w:val="18"/>
                <w:color w:val="auto"/>
              </w:rPr>
              <w:t>101.PRE</w:t>
            </w:r>
          </w:p>
        </w:tc>
        <w:tc>
          <w:tcPr>
            <w:tcW w:w="400" w:type="dxa"/>
            <w:vAlign w:val="bottom"/>
          </w:tcPr>
          <w:p>
            <w:pPr>
              <w:spacing w:after="0"/>
              <w:rPr>
                <w:sz w:val="23"/>
                <w:szCs w:val="23"/>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80" w:type="dxa"/>
            <w:vAlign w:val="bottom"/>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47"/>
        </w:trPr>
        <w:tc>
          <w:tcPr>
            <w:tcW w:w="360" w:type="dxa"/>
            <w:vAlign w:val="bottom"/>
            <w:gridSpan w:val="2"/>
            <w:vMerge w:val="restart"/>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3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100" w:type="dxa"/>
            <w:vAlign w:val="bottom"/>
            <w:gridSpan w:val="22"/>
            <w:vMerge w:val="restart"/>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380" w:type="dxa"/>
            <w:vAlign w:val="bottom"/>
            <w:vMerge w:val="restart"/>
          </w:tcPr>
          <w:p>
            <w:pPr>
              <w:jc w:val="center"/>
              <w:ind w:left="19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100" w:type="dxa"/>
            <w:vAlign w:val="bottom"/>
            <w:gridSpan w:val="2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80" w:hanging="272"/>
        <w:spacing w:after="0"/>
        <w:tabs>
          <w:tab w:leader="none" w:pos="28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5" w:lineRule="exact"/>
        <w:rPr>
          <w:sz w:val="20"/>
          <w:szCs w:val="20"/>
          <w:color w:val="auto"/>
        </w:rPr>
      </w:pPr>
    </w:p>
    <w:p>
      <w:pPr>
        <w:ind w:left="360" w:hanging="352"/>
        <w:spacing w:after="0"/>
        <w:tabs>
          <w:tab w:leader="none" w:pos="36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9" w:lineRule="exact"/>
        <w:rPr>
          <w:sz w:val="20"/>
          <w:szCs w:val="20"/>
          <w:color w:val="auto"/>
        </w:rPr>
      </w:pPr>
    </w:p>
    <w:p>
      <w:pPr>
        <w:ind w:left="300" w:hanging="292"/>
        <w:spacing w:after="0"/>
        <w:tabs>
          <w:tab w:leader="none" w:pos="30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compensatory plan or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10-K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(Registrant)</w:t>
      </w:r>
    </w:p>
    <w:p>
      <w:pPr>
        <w:spacing w:after="0" w:line="149"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34925</wp:posOffset>
            </wp:positionV>
            <wp:extent cx="38233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69" w:lineRule="exact"/>
        <w:rPr>
          <w:sz w:val="20"/>
          <w:szCs w:val="20"/>
          <w:color w:val="auto"/>
        </w:rPr>
      </w:pPr>
    </w:p>
    <w:p>
      <w:pPr>
        <w:ind w:right="220"/>
        <w:spacing w:after="0" w:line="28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40" w:type="dxa"/>
            <w:vAlign w:val="bottom"/>
          </w:tcPr>
          <w:p>
            <w:pPr>
              <w:spacing w:after="0" w:line="195" w:lineRule="exact"/>
              <w:rPr>
                <w:sz w:val="20"/>
                <w:szCs w:val="20"/>
                <w:color w:val="auto"/>
              </w:rPr>
            </w:pPr>
            <w:r>
              <w:rPr>
                <w:rFonts w:ascii="Arial" w:cs="Arial" w:eastAsia="Arial" w:hAnsi="Arial"/>
                <w:sz w:val="18"/>
                <w:szCs w:val="18"/>
                <w:b w:val="1"/>
                <w:bCs w:val="1"/>
                <w:color w:val="auto"/>
                <w:w w:val="98"/>
              </w:rPr>
              <w:t>Signature</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line="195" w:lineRule="exact"/>
              <w:rPr>
                <w:sz w:val="20"/>
                <w:szCs w:val="20"/>
                <w:color w:val="auto"/>
              </w:rPr>
            </w:pPr>
            <w:r>
              <w:rPr>
                <w:rFonts w:ascii="Arial" w:cs="Arial" w:eastAsia="Arial" w:hAnsi="Arial"/>
                <w:sz w:val="18"/>
                <w:szCs w:val="18"/>
                <w:b w:val="1"/>
                <w:bCs w:val="1"/>
                <w:color w:val="auto"/>
                <w:w w:val="97"/>
              </w:rPr>
              <w:t>Title</w:t>
            </w:r>
          </w:p>
        </w:tc>
        <w:tc>
          <w:tcPr>
            <w:tcW w:w="4460" w:type="dxa"/>
            <w:vAlign w:val="bottom"/>
          </w:tcPr>
          <w:p>
            <w:pPr>
              <w:spacing w:after="0"/>
              <w:rPr>
                <w:sz w:val="17"/>
                <w:szCs w:val="17"/>
                <w:color w:val="auto"/>
              </w:rPr>
            </w:pPr>
          </w:p>
        </w:tc>
        <w:tc>
          <w:tcPr>
            <w:tcW w:w="11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Date</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565"/>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Michael Osanloo</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March 2, 2023</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Michael Osanloo</w:t>
            </w:r>
          </w:p>
        </w:tc>
        <w:tc>
          <w:tcPr>
            <w:tcW w:w="10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6"/>
                <w:szCs w:val="16"/>
                <w:i w:val="1"/>
                <w:iCs w:val="1"/>
                <w:color w:val="auto"/>
              </w:rPr>
              <w:t>(Principal Executive Officer)</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533"/>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Michelle Hook</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March 2, 2023</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8"/>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Michelle Hook</w:t>
            </w:r>
          </w:p>
        </w:tc>
        <w:tc>
          <w:tcPr>
            <w:tcW w:w="10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Arial" w:cs="Arial" w:eastAsia="Arial" w:hAnsi="Arial"/>
                <w:sz w:val="16"/>
                <w:szCs w:val="16"/>
                <w:i w:val="1"/>
                <w:iCs w:val="1"/>
                <w:color w:val="auto"/>
              </w:rPr>
              <w:t>(Principal Financial Officer and Principal Accounting Officer)</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533"/>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Ann Bordelon</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March 2, 2023</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Ann Bordelon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Paulette R. Dodson</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March 2, 2023</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Paulette R. Dodson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Noah Glass</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March 2, 2023</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Noah Glass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Gerard J. Hart</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March 2, 2023</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Gerard J. Hart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Richard K. Lubin</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March 2, 2023</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Richard K. Lubin</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Joshua A. Lutzker</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March 2, 2023</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Joshua A. Lutzker</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 Michael A. Miles, Jr.</w:t>
            </w:r>
          </w:p>
        </w:tc>
        <w:tc>
          <w:tcPr>
            <w:tcW w:w="10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March 2, 2023</w:t>
            </w:r>
          </w:p>
        </w:tc>
      </w:tr>
      <w:tr>
        <w:trPr>
          <w:trHeight w:val="23"/>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0"/>
        </w:trPr>
        <w:tc>
          <w:tcPr>
            <w:tcW w:w="20" w:type="dxa"/>
            <w:vAlign w:val="bottom"/>
          </w:tcPr>
          <w:p>
            <w:pPr>
              <w:spacing w:after="0"/>
              <w:rPr>
                <w:sz w:val="20"/>
                <w:szCs w:val="20"/>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Michael A. Miles, Jr.</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58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10-K | 114</w:t>
      </w:r>
    </w:p>
    <w:p>
      <w:pPr>
        <w:sectPr>
          <w:pgSz w:w="11900" w:h="16838" w:orient="portrait"/>
          <w:cols w:equalWidth="0" w:num="1">
            <w:col w:w="11240"/>
          </w:cols>
          <w:pgMar w:left="320" w:top="364" w:right="339" w:bottom="1440" w:gutter="0" w:footer="0" w:header="0"/>
          <w:type w:val="continuous"/>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0"/>
          <w:szCs w:val="20"/>
          <w:b w:val="1"/>
          <w:bCs w:val="1"/>
          <w:color w:val="auto"/>
        </w:rPr>
        <w:t>RESTRICTED STOCK AWARD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2"/>
          <w:szCs w:val="22"/>
          <w:b w:val="1"/>
          <w:bCs w:val="1"/>
          <w:color w:val="auto"/>
        </w:rPr>
        <w:t>Portillo’s Inc.</w:t>
      </w:r>
    </w:p>
    <w:p>
      <w:pPr>
        <w:jc w:val="center"/>
        <w:ind w:right="95"/>
        <w:spacing w:after="0"/>
        <w:rPr>
          <w:sz w:val="20"/>
          <w:szCs w:val="20"/>
          <w:color w:val="auto"/>
        </w:rPr>
      </w:pPr>
      <w:r>
        <w:rPr>
          <w:rFonts w:ascii="Times New Roman" w:cs="Times New Roman" w:eastAsia="Times New Roman" w:hAnsi="Times New Roman"/>
          <w:sz w:val="22"/>
          <w:szCs w:val="22"/>
          <w:b w:val="1"/>
          <w:bCs w:val="1"/>
          <w:color w:val="auto"/>
        </w:rPr>
        <w:t>2021 Equity Incentive Plan</w:t>
      </w:r>
    </w:p>
    <w:p>
      <w:pPr>
        <w:spacing w:after="0" w:line="178"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2"/>
          <w:szCs w:val="22"/>
          <w:b w:val="1"/>
          <w:bCs w:val="1"/>
          <w:color w:val="auto"/>
        </w:rPr>
        <w:t>Restricted Stock Award Agreement</w:t>
      </w:r>
    </w:p>
    <w:p>
      <w:pPr>
        <w:spacing w:after="0" w:line="129" w:lineRule="exact"/>
        <w:rPr>
          <w:sz w:val="20"/>
          <w:szCs w:val="20"/>
          <w:color w:val="auto"/>
        </w:rPr>
      </w:pPr>
    </w:p>
    <w:p>
      <w:pPr>
        <w:jc w:val="both"/>
        <w:ind w:left="5" w:right="100" w:firstLine="1296"/>
        <w:spacing w:after="0" w:line="236" w:lineRule="auto"/>
        <w:rPr>
          <w:sz w:val="20"/>
          <w:szCs w:val="20"/>
          <w:color w:val="auto"/>
        </w:rPr>
      </w:pPr>
      <w:r>
        <w:rPr>
          <w:rFonts w:ascii="Times New Roman" w:cs="Times New Roman" w:eastAsia="Times New Roman" w:hAnsi="Times New Roman"/>
          <w:sz w:val="22"/>
          <w:szCs w:val="22"/>
          <w:color w:val="auto"/>
        </w:rPr>
        <w:t>This Restricted Stock Award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by and between Portillo’s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effective as of December , 2022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87" w:lineRule="exact"/>
        <w:rPr>
          <w:sz w:val="20"/>
          <w:szCs w:val="20"/>
          <w:color w:val="auto"/>
        </w:rPr>
      </w:pPr>
    </w:p>
    <w:p>
      <w:pPr>
        <w:jc w:val="both"/>
        <w:ind w:left="5" w:right="100" w:firstLine="1296"/>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Portillo’s Inc. 2021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incorporated herein by reference and made a part of this Agreement. Capitalized terms not otherwise defined in this Agreement shall have the meanings ascribed to those terms in the Plan; and</w:t>
      </w:r>
    </w:p>
    <w:p>
      <w:pPr>
        <w:spacing w:after="0" w:line="92" w:lineRule="exact"/>
        <w:rPr>
          <w:sz w:val="20"/>
          <w:szCs w:val="20"/>
          <w:color w:val="auto"/>
        </w:rPr>
      </w:pPr>
    </w:p>
    <w:p>
      <w:pPr>
        <w:jc w:val="both"/>
        <w:ind w:left="5" w:right="1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authorized and approved the grant of an Award to the Participant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of the Company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on the terms and conditions set forth in the Plan and this Agreement.</w:t>
      </w:r>
    </w:p>
    <w:p>
      <w:pPr>
        <w:spacing w:after="0" w:line="92" w:lineRule="exact"/>
        <w:rPr>
          <w:sz w:val="20"/>
          <w:szCs w:val="20"/>
          <w:color w:val="auto"/>
        </w:rPr>
      </w:pPr>
    </w:p>
    <w:p>
      <w:pPr>
        <w:jc w:val="both"/>
        <w:ind w:left="5" w:right="120" w:firstLine="1296"/>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mutual covenants set forth in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agree as follows:</w:t>
      </w:r>
    </w:p>
    <w:p>
      <w:pPr>
        <w:spacing w:after="0" w:line="96" w:lineRule="exact"/>
        <w:rPr>
          <w:sz w:val="20"/>
          <w:szCs w:val="20"/>
          <w:color w:val="auto"/>
        </w:rPr>
      </w:pPr>
    </w:p>
    <w:p>
      <w:pPr>
        <w:jc w:val="both"/>
        <w:ind w:left="645" w:right="100" w:hanging="645"/>
        <w:spacing w:after="0" w:line="220" w:lineRule="auto"/>
        <w:tabs>
          <w:tab w:leader="none" w:pos="64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Award</w:t>
      </w:r>
      <w:r>
        <w:rPr>
          <w:rFonts w:ascii="Times New Roman" w:cs="Times New Roman" w:eastAsia="Times New Roman" w:hAnsi="Times New Roman"/>
          <w:sz w:val="22"/>
          <w:szCs w:val="22"/>
          <w:color w:val="auto"/>
        </w:rPr>
        <w:t>. The Company hereby grants to the Participant, effective as of the Date of Grant, [●] Shares, on the terms and conditions set forth in the Plan and this Agreement. The Participant acknowledges and agrees that [●] Shares granted pursuant to this Agreement are subject to certain transfer restrictions set forth in Section 3(b) of this Agreement, which restrictions shall expire in accordance with the terms of Section 3(b) of this Agreement.</w:t>
      </w:r>
    </w:p>
    <w:p>
      <w:pPr>
        <w:spacing w:after="0" w:line="179" w:lineRule="exact"/>
        <w:rPr>
          <w:rFonts w:ascii="Times New Roman" w:cs="Times New Roman" w:eastAsia="Times New Roman" w:hAnsi="Times New Roman"/>
          <w:sz w:val="22"/>
          <w:szCs w:val="22"/>
          <w:color w:val="auto"/>
        </w:rPr>
      </w:pPr>
    </w:p>
    <w:p>
      <w:pPr>
        <w:ind w:left="645" w:hanging="644"/>
        <w:spacing w:after="0"/>
        <w:tabs>
          <w:tab w:leader="none" w:pos="64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Vested at Grant</w:t>
      </w:r>
      <w:r>
        <w:rPr>
          <w:rFonts w:ascii="Times New Roman" w:cs="Times New Roman" w:eastAsia="Times New Roman" w:hAnsi="Times New Roman"/>
          <w:sz w:val="22"/>
          <w:szCs w:val="22"/>
          <w:color w:val="auto"/>
        </w:rPr>
        <w:t>. One-hundred percent (100%) of the Shares shall be fully vested as of the Date of Grant.</w:t>
      </w:r>
    </w:p>
    <w:p>
      <w:pPr>
        <w:spacing w:after="0" w:line="219" w:lineRule="exact"/>
        <w:rPr>
          <w:rFonts w:ascii="Times New Roman" w:cs="Times New Roman" w:eastAsia="Times New Roman" w:hAnsi="Times New Roman"/>
          <w:sz w:val="22"/>
          <w:szCs w:val="22"/>
          <w:color w:val="auto"/>
        </w:rPr>
      </w:pPr>
    </w:p>
    <w:p>
      <w:pPr>
        <w:ind w:left="645" w:hanging="644"/>
        <w:spacing w:after="0"/>
        <w:tabs>
          <w:tab w:leader="none" w:pos="64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p>
    <w:p>
      <w:pPr>
        <w:spacing w:after="0" w:line="219" w:lineRule="exact"/>
        <w:rPr>
          <w:rFonts w:ascii="Times New Roman" w:cs="Times New Roman" w:eastAsia="Times New Roman" w:hAnsi="Times New Roman"/>
          <w:sz w:val="22"/>
          <w:szCs w:val="22"/>
          <w:color w:val="auto"/>
        </w:rPr>
      </w:pPr>
    </w:p>
    <w:p>
      <w:pPr>
        <w:ind w:left="1305" w:right="120" w:hanging="332"/>
        <w:spacing w:after="0" w:line="236" w:lineRule="auto"/>
        <w:tabs>
          <w:tab w:leader="none" w:pos="1302"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Transferrable Award</w:t>
      </w:r>
      <w:r>
        <w:rPr>
          <w:rFonts w:ascii="Times New Roman" w:cs="Times New Roman" w:eastAsia="Times New Roman" w:hAnsi="Times New Roman"/>
          <w:sz w:val="22"/>
          <w:szCs w:val="22"/>
          <w:color w:val="auto"/>
        </w:rPr>
        <w:t xml:space="preserve">. As of the Date of Grant, [●] Shares shall be fully transferrable by the Participant and not subject to any “Transfer Restrictions” (as defined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below).</w:t>
      </w:r>
    </w:p>
    <w:p>
      <w:pPr>
        <w:spacing w:after="0" w:line="258" w:lineRule="exact"/>
        <w:rPr>
          <w:rFonts w:ascii="Times New Roman" w:cs="Times New Roman" w:eastAsia="Times New Roman" w:hAnsi="Times New Roman"/>
          <w:sz w:val="22"/>
          <w:szCs w:val="22"/>
          <w:color w:val="auto"/>
        </w:rPr>
      </w:pPr>
    </w:p>
    <w:p>
      <w:pPr>
        <w:jc w:val="both"/>
        <w:ind w:left="1305" w:right="100" w:hanging="332"/>
        <w:spacing w:after="0" w:line="219" w:lineRule="auto"/>
        <w:tabs>
          <w:tab w:leader="none" w:pos="130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Non-Transferable Award</w:t>
      </w:r>
      <w:r>
        <w:rPr>
          <w:rFonts w:ascii="Times New Roman" w:cs="Times New Roman" w:eastAsia="Times New Roman" w:hAnsi="Times New Roman"/>
          <w:sz w:val="22"/>
          <w:szCs w:val="22"/>
          <w:color w:val="auto"/>
        </w:rPr>
        <w:t xml:space="preserve">. As of the Date of Grant, [●] Shares shall be subject to Transfer Restrictions (while the Transfer Restrictions are in effect, the Shares </w:t>
      </w:r>
      <w:r>
        <w:rPr>
          <w:rFonts w:ascii="Times New Roman" w:cs="Times New Roman" w:eastAsia="Times New Roman" w:hAnsi="Times New Roman"/>
          <w:sz w:val="19"/>
          <w:szCs w:val="19"/>
          <w:color w:val="auto"/>
        </w:rPr>
        <w:t>subject to such restrictions shall be referred to herein as “</w:t>
      </w:r>
      <w:r>
        <w:rPr>
          <w:rFonts w:ascii="Times New Roman" w:cs="Times New Roman" w:eastAsia="Times New Roman" w:hAnsi="Times New Roman"/>
          <w:sz w:val="19"/>
          <w:szCs w:val="19"/>
          <w:u w:val="single" w:color="auto"/>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Stock</w:t>
      </w:r>
      <w:r>
        <w:rPr>
          <w:rFonts w:ascii="Times New Roman" w:cs="Times New Roman" w:eastAsia="Times New Roman" w:hAnsi="Times New Roman"/>
          <w:sz w:val="19"/>
          <w:szCs w:val="19"/>
          <w:color w:val="auto"/>
        </w:rPr>
        <w:t>”). With respect to the Restricted Stock, the Transfer Restrictions shall lapse as follows:</w:t>
      </w:r>
    </w:p>
    <w:p>
      <w:pPr>
        <w:spacing w:after="0" w:line="184" w:lineRule="exact"/>
        <w:rPr>
          <w:rFonts w:ascii="Times New Roman" w:cs="Times New Roman" w:eastAsia="Times New Roman" w:hAnsi="Times New Roman"/>
          <w:sz w:val="22"/>
          <w:szCs w:val="22"/>
          <w:color w:val="auto"/>
        </w:rPr>
      </w:pPr>
    </w:p>
    <w:p>
      <w:pPr>
        <w:ind w:left="2265" w:right="120" w:hanging="320"/>
        <w:spacing w:after="0" w:line="236" w:lineRule="auto"/>
        <w:tabs>
          <w:tab w:leader="none" w:pos="2253" w:val="left"/>
        </w:tabs>
        <w:numPr>
          <w:ilvl w:val="3"/>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Fifty-percent (50%) of the shares of Restricted Stock shall cease to be subject to the Transfer Restrictions on the first anniversary of the Date of Grant; and</w:t>
      </w:r>
    </w:p>
    <w:p>
      <w:pPr>
        <w:spacing w:after="0" w:line="190" w:lineRule="exact"/>
        <w:rPr>
          <w:rFonts w:ascii="Times New Roman" w:cs="Times New Roman" w:eastAsia="Times New Roman" w:hAnsi="Times New Roman"/>
          <w:sz w:val="22"/>
          <w:szCs w:val="22"/>
          <w:color w:val="auto"/>
        </w:rPr>
      </w:pPr>
    </w:p>
    <w:p>
      <w:pPr>
        <w:ind w:left="2265" w:right="120" w:hanging="482"/>
        <w:spacing w:after="0" w:line="236" w:lineRule="auto"/>
        <w:tabs>
          <w:tab w:leader="none" w:pos="2259"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fifty-percent (50%) of the shares of Restricted Stock shall cease to subject to the Transfer Restrictions on the second anniversary of the Date of Grant.</w:t>
      </w:r>
    </w:p>
    <w:p>
      <w:pPr>
        <w:sectPr>
          <w:pgSz w:w="11900" w:h="16838" w:orient="portrait"/>
          <w:cols w:equalWidth="0" w:num="1">
            <w:col w:w="11125"/>
          </w:cols>
          <w:pgMar w:left="435" w:top="342" w:right="339" w:bottom="1440" w:gutter="0" w:footer="0" w:header="0"/>
        </w:sectPr>
      </w:pPr>
    </w:p>
    <w:bookmarkStart w:id="124" w:name="page125"/>
    <w:bookmarkEnd w:id="124"/>
    <w:p>
      <w:pPr>
        <w:spacing w:after="0" w:line="212" w:lineRule="exact"/>
        <w:rPr>
          <w:sz w:val="20"/>
          <w:szCs w:val="20"/>
          <w:color w:val="auto"/>
        </w:rPr>
      </w:pPr>
    </w:p>
    <w:p>
      <w:pPr>
        <w:ind w:left="4" w:right="120" w:firstLine="1296"/>
        <w:spacing w:after="0" w:line="236" w:lineRule="auto"/>
        <w:rPr>
          <w:sz w:val="20"/>
          <w:szCs w:val="20"/>
          <w:color w:val="auto"/>
        </w:rPr>
      </w:pPr>
      <w:r>
        <w:rPr>
          <w:rFonts w:ascii="Times New Roman" w:cs="Times New Roman" w:eastAsia="Times New Roman" w:hAnsi="Times New Roman"/>
          <w:sz w:val="22"/>
          <w:szCs w:val="22"/>
          <w:color w:val="auto"/>
        </w:rPr>
        <w:t>For the avoidance of doubt, the Restricted Stock that cease to be subject to the Transfer Restrictions shall cease to be Restricted Stock upon such date.</w:t>
      </w:r>
    </w:p>
    <w:p>
      <w:pPr>
        <w:spacing w:after="0" w:line="177" w:lineRule="exact"/>
        <w:rPr>
          <w:sz w:val="20"/>
          <w:szCs w:val="20"/>
          <w:color w:val="auto"/>
        </w:rPr>
      </w:pPr>
    </w:p>
    <w:p>
      <w:pPr>
        <w:jc w:val="both"/>
        <w:ind w:left="1304" w:hanging="332"/>
        <w:spacing w:after="0" w:line="217" w:lineRule="auto"/>
        <w:tabs>
          <w:tab w:leader="none" w:pos="130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Participant shall not transfer, assign, encumber, pledge, charge or otherwise dispose of the Restricted Stock or grant any proxy with respect thereto, except as specifically permitted by under Section 14.3 of the Plan. Any attempted transfer in violation of this Agreement shall be void and of no effect and the Company shall have the right to disregard the same on its books and records and to issue “stop transfer” instructions to its transfer agent (such restrictions, the “</w:t>
      </w: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a Termination of Service</w:t>
      </w:r>
      <w:r>
        <w:rPr>
          <w:rFonts w:ascii="Times New Roman" w:cs="Times New Roman" w:eastAsia="Times New Roman" w:hAnsi="Times New Roman"/>
          <w:sz w:val="22"/>
          <w:szCs w:val="22"/>
          <w:color w:val="auto"/>
        </w:rPr>
        <w:t>.</w:t>
      </w:r>
    </w:p>
    <w:p>
      <w:pPr>
        <w:spacing w:after="0" w:line="300" w:lineRule="exact"/>
        <w:rPr>
          <w:rFonts w:ascii="Times New Roman" w:cs="Times New Roman" w:eastAsia="Times New Roman" w:hAnsi="Times New Roman"/>
          <w:sz w:val="22"/>
          <w:szCs w:val="22"/>
          <w:color w:val="auto"/>
        </w:rPr>
      </w:pPr>
    </w:p>
    <w:p>
      <w:pPr>
        <w:ind w:left="1304" w:right="20" w:hanging="332"/>
        <w:spacing w:after="0" w:line="236" w:lineRule="auto"/>
        <w:tabs>
          <w:tab w:leader="none" w:pos="130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below, the Restricted Stock shall not be subject to forfeiture upon termination of the Participant’s Service for any reason or no reason.</w:t>
      </w:r>
    </w:p>
    <w:p>
      <w:pPr>
        <w:spacing w:after="0" w:line="177" w:lineRule="exact"/>
        <w:rPr>
          <w:rFonts w:ascii="Times New Roman" w:cs="Times New Roman" w:eastAsia="Times New Roman" w:hAnsi="Times New Roman"/>
          <w:sz w:val="22"/>
          <w:szCs w:val="22"/>
          <w:color w:val="auto"/>
        </w:rPr>
      </w:pPr>
    </w:p>
    <w:p>
      <w:pPr>
        <w:ind w:left="1304" w:right="240" w:hanging="332"/>
        <w:spacing w:after="0" w:line="217" w:lineRule="auto"/>
        <w:tabs>
          <w:tab w:leader="none" w:pos="129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xml:space="preserve">. Upon a termination of the Participant’s Service for Cause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or if the Committee determines in its discretion that, during the Participant’s period of Service, the Participant engaged in an act or omission which would have warranted termination of Service for Cause, any Restricted Stock held by the Participant will be forfeited immediately, automatically and without consideration.</w:t>
      </w:r>
    </w:p>
    <w:p>
      <w:pPr>
        <w:spacing w:after="0" w:line="179" w:lineRule="exact"/>
        <w:rPr>
          <w:rFonts w:ascii="Times New Roman" w:cs="Times New Roman" w:eastAsia="Times New Roman" w:hAnsi="Times New Roman"/>
          <w:sz w:val="22"/>
          <w:szCs w:val="22"/>
          <w:color w:val="auto"/>
        </w:rPr>
      </w:pPr>
    </w:p>
    <w:p>
      <w:pPr>
        <w:jc w:val="both"/>
        <w:ind w:left="644" w:hanging="644"/>
        <w:spacing w:after="0" w:line="220" w:lineRule="auto"/>
        <w:tabs>
          <w:tab w:leader="none" w:pos="6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Holder of Shares</w:t>
      </w:r>
      <w:r>
        <w:rPr>
          <w:rFonts w:ascii="Times New Roman" w:cs="Times New Roman" w:eastAsia="Times New Roman" w:hAnsi="Times New Roman"/>
          <w:sz w:val="22"/>
          <w:szCs w:val="22"/>
          <w:color w:val="auto"/>
        </w:rPr>
        <w:t>. Except as set forth in Section 3(c) above, the Participant shall have, with respect to the Shares, all of the rights of a holder of Common Stock, including, without limitation, the right to vote the Shares, to receive and retain all regular cash dividends payable to holders of Common Stock of record on and after the Date of Grant, and to exercise all other rights, powers and privileges of a holder of Common Stock with respect to the Shares.</w:t>
      </w:r>
    </w:p>
    <w:p>
      <w:pPr>
        <w:spacing w:after="0" w:line="260" w:lineRule="exact"/>
        <w:rPr>
          <w:rFonts w:ascii="Times New Roman" w:cs="Times New Roman" w:eastAsia="Times New Roman" w:hAnsi="Times New Roman"/>
          <w:sz w:val="22"/>
          <w:szCs w:val="22"/>
          <w:color w:val="auto"/>
        </w:rPr>
      </w:pPr>
    </w:p>
    <w:p>
      <w:pPr>
        <w:jc w:val="both"/>
        <w:ind w:left="644" w:hanging="644"/>
        <w:spacing w:after="0" w:line="211" w:lineRule="auto"/>
        <w:tabs>
          <w:tab w:leader="none" w:pos="6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Participant acknowledges that the Award herein is taxable upon that Date of Grant and that the Participant shall be responsible for payment of any taxes or similar charges required by law to be paid or withheld from an Award or an amount paid in satisfaction of an Award. The Participant may elect to satisfy the withholding obligation by tendering Shares to the Company or having the Company withhold a number of shares</w:t>
      </w:r>
    </w:p>
    <w:p>
      <w:pPr>
        <w:ind w:left="644"/>
        <w:spacing w:after="0" w:line="22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of Common Stock having a value in each case up to the maximum statutory tax rates in the applicable jurisdiction or as the Committee may approve in its discretion (provided that</w:t>
      </w:r>
    </w:p>
    <w:p>
      <w:pPr>
        <w:spacing w:after="0" w:line="256" w:lineRule="exact"/>
        <w:rPr>
          <w:rFonts w:ascii="Times New Roman" w:cs="Times New Roman" w:eastAsia="Times New Roman" w:hAnsi="Times New Roman"/>
          <w:sz w:val="22"/>
          <w:szCs w:val="22"/>
          <w:color w:val="auto"/>
        </w:rPr>
      </w:pPr>
    </w:p>
    <w:p>
      <w:pPr>
        <w:jc w:val="both"/>
        <w:ind w:left="644"/>
        <w:spacing w:after="0" w:line="22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such withholding does not result in adverse tax or accounting consequences to the Company), or similar charge required to be paid or withheld. Participant also acknowledges and agrees that the Company shall have the power and the right to require a Participant to remit to the Company the amount necessary to satisfy federal, state, provincial and local taxes, domestic or foreign, required by law or regulation to be withheld, and to deduct or withhold from any Shares deliverable under the Award to satisfy such withholding obligation.</w:t>
      </w:r>
    </w:p>
    <w:p>
      <w:pPr>
        <w:spacing w:after="0" w:line="169" w:lineRule="exact"/>
        <w:rPr>
          <w:rFonts w:ascii="Times New Roman" w:cs="Times New Roman" w:eastAsia="Times New Roman" w:hAnsi="Times New Roman"/>
          <w:sz w:val="22"/>
          <w:szCs w:val="22"/>
          <w:color w:val="auto"/>
        </w:rPr>
      </w:pPr>
    </w:p>
    <w:p>
      <w:pPr>
        <w:ind w:left="644" w:right="60" w:hanging="644"/>
        <w:spacing w:after="0" w:line="236" w:lineRule="auto"/>
        <w:tabs>
          <w:tab w:leader="none" w:pos="64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w:t>
      </w:r>
      <w:r>
        <w:rPr>
          <w:rFonts w:ascii="Times New Roman" w:cs="Times New Roman" w:eastAsia="Times New Roman" w:hAnsi="Times New Roman"/>
          <w:sz w:val="22"/>
          <w:szCs w:val="22"/>
          <w:color w:val="auto"/>
        </w:rPr>
        <w:t>. In the event that a certificate evidencing Restricted Stock is issued, the certificate representing the Shares shall have endorsed thereon the following legend:</w:t>
      </w:r>
    </w:p>
    <w:p>
      <w:pPr>
        <w:spacing w:after="0" w:line="191" w:lineRule="exact"/>
        <w:rPr>
          <w:sz w:val="20"/>
          <w:szCs w:val="20"/>
          <w:color w:val="auto"/>
        </w:rPr>
      </w:pPr>
    </w:p>
    <w:p>
      <w:pPr>
        <w:jc w:val="both"/>
        <w:ind w:left="1304" w:right="660"/>
        <w:spacing w:after="0" w:line="225" w:lineRule="auto"/>
        <w:rPr>
          <w:sz w:val="20"/>
          <w:szCs w:val="20"/>
          <w:color w:val="auto"/>
        </w:rPr>
      </w:pPr>
      <w:r>
        <w:rPr>
          <w:rFonts w:ascii="Times New Roman" w:cs="Times New Roman" w:eastAsia="Times New Roman" w:hAnsi="Times New Roman"/>
          <w:sz w:val="22"/>
          <w:szCs w:val="22"/>
          <w:color w:val="auto"/>
        </w:rPr>
        <w:t>“THE ANTICIPATION, ALIENATION, ATTACHMENT, SALE, TRANSFER, ASSIGNMENT, PLEDGE, ENCUMBRANCE OR CHARGE OF THE SHARES OF COMMON STOCK REPRESENTED</w:t>
      </w:r>
    </w:p>
    <w:p>
      <w:pPr>
        <w:sectPr>
          <w:pgSz w:w="11900" w:h="16838" w:orient="portrait"/>
          <w:cols w:equalWidth="0" w:num="1">
            <w:col w:w="11024"/>
          </w:cols>
          <w:pgMar w:left="436" w:top="1440" w:right="439" w:bottom="1440" w:gutter="0" w:footer="0" w:header="0"/>
        </w:sectPr>
      </w:pPr>
    </w:p>
    <w:bookmarkStart w:id="125" w:name="page126"/>
    <w:bookmarkEnd w:id="125"/>
    <w:p>
      <w:pPr>
        <w:jc w:val="both"/>
        <w:ind w:left="1304" w:right="660"/>
        <w:spacing w:after="0" w:line="220" w:lineRule="auto"/>
        <w:rPr>
          <w:sz w:val="20"/>
          <w:szCs w:val="20"/>
          <w:color w:val="auto"/>
        </w:rPr>
      </w:pPr>
      <w:r>
        <w:rPr>
          <w:rFonts w:ascii="Times New Roman" w:cs="Times New Roman" w:eastAsia="Times New Roman" w:hAnsi="Times New Roman"/>
          <w:sz w:val="22"/>
          <w:szCs w:val="22"/>
          <w:color w:val="auto"/>
        </w:rPr>
        <w:t>HEREBY ARE SUBJECT TO THE TERMS AND CONDITIONS OF THAT CERTAIN RESTRICTED STOCK AWARD AGREEMENT ENTERED INTO BETWEEN THE REGISTERED OWNER AND THE COMPANY DATED [●], 202[●]. COPIES OF SUCH AGREEMENT ARE ON FILE AT THE PRINCIPAL OFFICE OF THE COMPANY.”</w:t>
      </w:r>
    </w:p>
    <w:p>
      <w:pPr>
        <w:spacing w:after="0" w:line="179" w:lineRule="exact"/>
        <w:rPr>
          <w:sz w:val="20"/>
          <w:szCs w:val="20"/>
          <w:color w:val="auto"/>
        </w:rPr>
      </w:pPr>
    </w:p>
    <w:p>
      <w:pPr>
        <w:jc w:val="both"/>
        <w:ind w:left="644"/>
        <w:spacing w:after="0" w:line="225" w:lineRule="auto"/>
        <w:rPr>
          <w:sz w:val="20"/>
          <w:szCs w:val="20"/>
          <w:color w:val="auto"/>
        </w:rPr>
      </w:pPr>
      <w:r>
        <w:rPr>
          <w:rFonts w:ascii="Times New Roman" w:cs="Times New Roman" w:eastAsia="Times New Roman" w:hAnsi="Times New Roman"/>
          <w:sz w:val="22"/>
          <w:szCs w:val="22"/>
          <w:color w:val="auto"/>
        </w:rPr>
        <w:t>In addition to the legend set forth above, any legend required by applicable blue sky laws of any state shall be placed thereon. Notwithstanding the foregoing, in no event shall the Company be obligated to issue a certificate representing the Restricted Stock prior to the lapsing of the applicable Restricted Period.</w:t>
      </w:r>
    </w:p>
    <w:p>
      <w:pPr>
        <w:spacing w:after="0" w:line="193" w:lineRule="exact"/>
        <w:rPr>
          <w:sz w:val="20"/>
          <w:szCs w:val="20"/>
          <w:color w:val="auto"/>
        </w:rPr>
      </w:pPr>
    </w:p>
    <w:p>
      <w:pPr>
        <w:ind w:left="644" w:hanging="644"/>
        <w:spacing w:after="0"/>
        <w:tabs>
          <w:tab w:leader="none" w:pos="64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p>
    <w:p>
      <w:pPr>
        <w:spacing w:after="0" w:line="206" w:lineRule="exact"/>
        <w:rPr>
          <w:rFonts w:ascii="Times New Roman" w:cs="Times New Roman" w:eastAsia="Times New Roman" w:hAnsi="Times New Roman"/>
          <w:sz w:val="22"/>
          <w:szCs w:val="22"/>
          <w:color w:val="auto"/>
        </w:rPr>
      </w:pPr>
    </w:p>
    <w:p>
      <w:pPr>
        <w:jc w:val="both"/>
        <w:ind w:left="1304" w:hanging="333"/>
        <w:spacing w:after="0" w:line="213" w:lineRule="auto"/>
        <w:tabs>
          <w:tab w:leader="none" w:pos="1301"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Transfer Restrictions</w:t>
      </w:r>
      <w:r>
        <w:rPr>
          <w:rFonts w:ascii="Times New Roman" w:cs="Times New Roman" w:eastAsia="Times New Roman" w:hAnsi="Times New Roman"/>
          <w:sz w:val="22"/>
          <w:szCs w:val="22"/>
          <w:color w:val="auto"/>
        </w:rPr>
        <w:t>. The Shares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(including but not limited to the Company’s Insider Trading Compliance Policy), and the Committee may cause orders or designations to be placed upon the books and records of the Company’s transfer agent to make appropriate reference to such restrictions.</w:t>
      </w:r>
    </w:p>
    <w:p>
      <w:pPr>
        <w:spacing w:after="0" w:line="183" w:lineRule="exact"/>
        <w:rPr>
          <w:rFonts w:ascii="Times New Roman" w:cs="Times New Roman" w:eastAsia="Times New Roman" w:hAnsi="Times New Roman"/>
          <w:sz w:val="22"/>
          <w:szCs w:val="22"/>
          <w:color w:val="auto"/>
        </w:rPr>
      </w:pPr>
    </w:p>
    <w:p>
      <w:pPr>
        <w:jc w:val="both"/>
        <w:ind w:left="1304" w:hanging="656"/>
        <w:spacing w:after="0" w:line="225" w:lineRule="auto"/>
        <w:tabs>
          <w:tab w:leader="none" w:pos="129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180" w:lineRule="exact"/>
        <w:rPr>
          <w:rFonts w:ascii="Times New Roman" w:cs="Times New Roman" w:eastAsia="Times New Roman" w:hAnsi="Times New Roman"/>
          <w:sz w:val="21"/>
          <w:szCs w:val="21"/>
          <w:color w:val="auto"/>
        </w:rPr>
      </w:pPr>
    </w:p>
    <w:p>
      <w:pPr>
        <w:jc w:val="both"/>
        <w:ind w:left="1304" w:hanging="656"/>
        <w:spacing w:after="0" w:line="217" w:lineRule="auto"/>
        <w:tabs>
          <w:tab w:leader="none" w:pos="130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179" w:lineRule="exact"/>
        <w:rPr>
          <w:rFonts w:ascii="Times New Roman" w:cs="Times New Roman" w:eastAsia="Times New Roman" w:hAnsi="Times New Roman"/>
          <w:sz w:val="22"/>
          <w:szCs w:val="22"/>
          <w:color w:val="auto"/>
        </w:rPr>
      </w:pPr>
    </w:p>
    <w:p>
      <w:pPr>
        <w:jc w:val="both"/>
        <w:ind w:left="1304" w:hanging="657"/>
        <w:spacing w:after="0" w:line="217" w:lineRule="auto"/>
        <w:tabs>
          <w:tab w:leader="none" w:pos="129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92" w:lineRule="exact"/>
        <w:rPr>
          <w:rFonts w:ascii="Times New Roman" w:cs="Times New Roman" w:eastAsia="Times New Roman" w:hAnsi="Times New Roman"/>
          <w:sz w:val="22"/>
          <w:szCs w:val="22"/>
          <w:color w:val="auto"/>
        </w:rPr>
      </w:pPr>
    </w:p>
    <w:p>
      <w:pPr>
        <w:jc w:val="both"/>
        <w:ind w:left="1304" w:right="20" w:hanging="656"/>
        <w:spacing w:after="0" w:line="225" w:lineRule="auto"/>
        <w:tabs>
          <w:tab w:leader="none" w:pos="130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ectPr>
          <w:pgSz w:w="11900" w:h="16838" w:orient="portrait"/>
          <w:cols w:equalWidth="0" w:num="1">
            <w:col w:w="11024"/>
          </w:cols>
          <w:pgMar w:left="436" w:top="1395" w:right="439" w:bottom="1440" w:gutter="0" w:footer="0" w:header="0"/>
        </w:sectPr>
      </w:pPr>
    </w:p>
    <w:bookmarkStart w:id="126" w:name="page127"/>
    <w:bookmarkEnd w:id="126"/>
    <w:p>
      <w:pPr>
        <w:spacing w:after="0" w:line="212" w:lineRule="exact"/>
        <w:rPr>
          <w:sz w:val="20"/>
          <w:szCs w:val="20"/>
          <w:color w:val="auto"/>
        </w:rPr>
      </w:pPr>
    </w:p>
    <w:p>
      <w:pPr>
        <w:ind w:left="657" w:hanging="656"/>
        <w:spacing w:after="0" w:line="236" w:lineRule="auto"/>
        <w:tabs>
          <w:tab w:leader="none" w:pos="65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Except as otherwise provided in the Plan, this Agreement will not be amended unless the amendment is agreed to in writing by both the Participant and the Company.</w:t>
      </w:r>
    </w:p>
    <w:p>
      <w:pPr>
        <w:spacing w:after="0" w:line="177" w:lineRule="exact"/>
        <w:rPr>
          <w:rFonts w:ascii="Times New Roman" w:cs="Times New Roman" w:eastAsia="Times New Roman" w:hAnsi="Times New Roman"/>
          <w:sz w:val="22"/>
          <w:szCs w:val="22"/>
          <w:color w:val="auto"/>
        </w:rPr>
      </w:pPr>
    </w:p>
    <w:p>
      <w:pPr>
        <w:jc w:val="both"/>
        <w:ind w:left="657" w:hanging="657"/>
        <w:spacing w:after="0" w:line="217" w:lineRule="auto"/>
        <w:tabs>
          <w:tab w:leader="none" w:pos="6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Jurisdiction</w:t>
      </w:r>
      <w:r>
        <w:rPr>
          <w:rFonts w:ascii="Times New Roman" w:cs="Times New Roman" w:eastAsia="Times New Roman" w:hAnsi="Times New Roman"/>
          <w:sz w:val="22"/>
          <w:szCs w:val="22"/>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192" w:lineRule="exact"/>
        <w:rPr>
          <w:rFonts w:ascii="Times New Roman" w:cs="Times New Roman" w:eastAsia="Times New Roman" w:hAnsi="Times New Roman"/>
          <w:sz w:val="22"/>
          <w:szCs w:val="22"/>
          <w:color w:val="auto"/>
        </w:rPr>
      </w:pPr>
    </w:p>
    <w:p>
      <w:pPr>
        <w:ind w:left="657" w:hanging="656"/>
        <w:spacing w:after="0" w:line="236" w:lineRule="auto"/>
        <w:tabs>
          <w:tab w:leader="none" w:pos="6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Signature in Counterparts</w:t>
      </w:r>
      <w:r>
        <w:rPr>
          <w:rFonts w:ascii="Times New Roman" w:cs="Times New Roman" w:eastAsia="Times New Roman" w:hAnsi="Times New Roman"/>
          <w:sz w:val="22"/>
          <w:szCs w:val="22"/>
          <w:color w:val="auto"/>
        </w:rPr>
        <w:t>. This Agreement may be signed in counterparts, manually or electronically, each of which will be an original, with the same effect as if the signatures to each were upon the same instrument.</w:t>
      </w:r>
    </w:p>
    <w:p>
      <w:pPr>
        <w:spacing w:after="0" w:line="190" w:lineRule="exact"/>
        <w:rPr>
          <w:rFonts w:ascii="Times New Roman" w:cs="Times New Roman" w:eastAsia="Times New Roman" w:hAnsi="Times New Roman"/>
          <w:sz w:val="22"/>
          <w:szCs w:val="22"/>
          <w:color w:val="auto"/>
        </w:rPr>
      </w:pPr>
    </w:p>
    <w:p>
      <w:pPr>
        <w:jc w:val="both"/>
        <w:ind w:left="657" w:hanging="656"/>
        <w:spacing w:after="0" w:line="217" w:lineRule="auto"/>
        <w:tabs>
          <w:tab w:leader="none" w:pos="64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Delivery</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246" w:lineRule="exact"/>
        <w:rPr>
          <w:rFonts w:ascii="Times New Roman" w:cs="Times New Roman" w:eastAsia="Times New Roman" w:hAnsi="Times New Roman"/>
          <w:sz w:val="22"/>
          <w:szCs w:val="22"/>
          <w:color w:val="auto"/>
        </w:rPr>
      </w:pPr>
    </w:p>
    <w:p>
      <w:pPr>
        <w:jc w:val="both"/>
        <w:ind w:left="657" w:hanging="656"/>
        <w:spacing w:after="0" w:line="213" w:lineRule="auto"/>
        <w:tabs>
          <w:tab w:leader="none" w:pos="64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Acceptance</w:t>
      </w:r>
      <w:r>
        <w:rPr>
          <w:rFonts w:ascii="Times New Roman" w:cs="Times New Roman" w:eastAsia="Times New Roman" w:hAnsi="Times New Roman"/>
          <w:sz w:val="22"/>
          <w:szCs w:val="22"/>
          <w:color w:val="auto"/>
        </w:rPr>
        <w:t>. The Participant hereby acknowledges receipt of a copy of the Plan and this Agreement. The Participant has read and understands the terms and provisions of the Plan and this Agreement, and accepts the Restricted Stock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96" w:lineRule="exact"/>
        <w:rPr>
          <w:rFonts w:ascii="Times New Roman" w:cs="Times New Roman" w:eastAsia="Times New Roman" w:hAnsi="Times New Roman"/>
          <w:sz w:val="22"/>
          <w:szCs w:val="22"/>
          <w:color w:val="auto"/>
        </w:rPr>
      </w:pPr>
    </w:p>
    <w:p>
      <w:pPr>
        <w:jc w:val="both"/>
        <w:ind w:left="657" w:hanging="657"/>
        <w:spacing w:after="0" w:line="220" w:lineRule="auto"/>
        <w:tabs>
          <w:tab w:leader="none" w:pos="65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Participant agrees that this Award and the Shares provided for herein shall not be taken into account as “salary” or “compensation” or “bonus” in determining the amount of any payment under any pension, retirement or profit- sharing plan of the Company or any life insurance, disability or other benefit plan of the Company.</w:t>
      </w:r>
    </w:p>
    <w:p>
      <w:pPr>
        <w:spacing w:after="0" w:line="179" w:lineRule="exact"/>
        <w:rPr>
          <w:rFonts w:ascii="Times New Roman" w:cs="Times New Roman" w:eastAsia="Times New Roman" w:hAnsi="Times New Roman"/>
          <w:sz w:val="22"/>
          <w:szCs w:val="22"/>
          <w:color w:val="auto"/>
        </w:rPr>
      </w:pPr>
    </w:p>
    <w:p>
      <w:pPr>
        <w:ind w:left="657" w:right="20" w:hanging="656"/>
        <w:spacing w:after="0" w:line="236" w:lineRule="auto"/>
        <w:tabs>
          <w:tab w:leader="none" w:pos="64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may be executed in one or more counterparts, all of which taken together shall constitute one contract.</w:t>
      </w:r>
    </w:p>
    <w:p>
      <w:pPr>
        <w:spacing w:after="0" w:line="190" w:lineRule="exact"/>
        <w:rPr>
          <w:rFonts w:ascii="Times New Roman" w:cs="Times New Roman" w:eastAsia="Times New Roman" w:hAnsi="Times New Roman"/>
          <w:sz w:val="22"/>
          <w:szCs w:val="22"/>
          <w:color w:val="auto"/>
        </w:rPr>
      </w:pPr>
    </w:p>
    <w:p>
      <w:pPr>
        <w:ind w:left="657" w:hanging="656"/>
        <w:spacing w:after="0" w:line="236" w:lineRule="auto"/>
        <w:tabs>
          <w:tab w:leader="none" w:pos="64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of this Agreement have been inserted for convenience of reference only and shall in no way restrict or modify any of the terms or provisions hereof.</w:t>
      </w:r>
    </w:p>
    <w:p>
      <w:pPr>
        <w:spacing w:after="0" w:line="187" w:lineRule="exact"/>
        <w:rPr>
          <w:sz w:val="20"/>
          <w:szCs w:val="20"/>
          <w:color w:val="auto"/>
        </w:rPr>
      </w:pPr>
    </w:p>
    <w:p>
      <w:pPr>
        <w:ind w:left="3757"/>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0377"/>
          </w:cols>
          <w:pgMar w:left="1083" w:top="1440" w:right="439" w:bottom="1440" w:gutter="0" w:footer="0" w:header="0"/>
        </w:sectPr>
      </w:pPr>
    </w:p>
    <w:bookmarkStart w:id="127" w:name="page128"/>
    <w:bookmarkEnd w:id="127"/>
    <w:p>
      <w:pPr>
        <w:spacing w:after="0" w:line="23" w:lineRule="exact"/>
        <w:rPr>
          <w:sz w:val="20"/>
          <w:szCs w:val="20"/>
          <w:color w:val="auto"/>
        </w:rPr>
      </w:pPr>
    </w:p>
    <w:p>
      <w:pPr>
        <w:ind w:left="120"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Company and the Participant have executed this Restricted Stock Award Agreement as of the dates set forth below.</w:t>
      </w: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PARTICIPANT PORTILLO’S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Date: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[Signature Page – Restricted Stock Award Agreement]</w:t>
      </w:r>
    </w:p>
    <w:p>
      <w:pPr>
        <w:sectPr>
          <w:pgSz w:w="11900" w:h="16838" w:orient="portrait"/>
          <w:cols w:equalWidth="0" w:num="1">
            <w:col w:w="11240"/>
          </w:cols>
          <w:pgMar w:left="320" w:top="1440" w:right="339" w:bottom="1440" w:gutter="0" w:footer="0" w:header="0"/>
          <w:type w:val="continuous"/>
        </w:sectPr>
      </w:pPr>
    </w:p>
    <w:bookmarkStart w:id="128" w:name="page129"/>
    <w:bookmarkEnd w:id="128"/>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Cause</w:t>
      </w:r>
    </w:p>
    <w:p>
      <w:pPr>
        <w:spacing w:after="0" w:line="28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means (a) in the case where there is no employment agreement, consulting agreement, change in control agreement or similar agreement in effect between the Company or an Affiliate and the Participant (or where there is such an agreement but it does not define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“cause” (or words of like import, which shall include but not be limited to “gross misconduct”)), termination due to a Participant’s (1) failure to substantially perform Participant’s duties or obey lawful directives that, in the good faith judgment of the Company, is likely to</w:t>
      </w:r>
    </w:p>
    <w:p>
      <w:pPr>
        <w:spacing w:after="0" w:line="223" w:lineRule="auto"/>
        <w:rPr>
          <w:sz w:val="20"/>
          <w:szCs w:val="20"/>
          <w:color w:val="auto"/>
        </w:rPr>
      </w:pPr>
      <w:r>
        <w:rPr>
          <w:rFonts w:ascii="Times New Roman" w:cs="Times New Roman" w:eastAsia="Times New Roman" w:hAnsi="Times New Roman"/>
          <w:sz w:val="19"/>
          <w:szCs w:val="19"/>
          <w:color w:val="auto"/>
        </w:rPr>
        <w:t>significantly injure the reputation, business or a business relationship of the Company or any of its Affiliates, that continues after receipt of</w:t>
      </w:r>
    </w:p>
    <w:p>
      <w:pPr>
        <w:ind w:right="20"/>
        <w:spacing w:after="0" w:line="204" w:lineRule="auto"/>
        <w:rPr>
          <w:sz w:val="20"/>
          <w:szCs w:val="20"/>
          <w:color w:val="auto"/>
        </w:rPr>
      </w:pPr>
      <w:r>
        <w:rPr>
          <w:rFonts w:ascii="Times New Roman" w:cs="Times New Roman" w:eastAsia="Times New Roman" w:hAnsi="Times New Roman"/>
          <w:sz w:val="20"/>
          <w:szCs w:val="20"/>
          <w:color w:val="auto"/>
        </w:rPr>
        <w:t>written notice from the Company and a ten (10)-day opportunity to cure; (2) gross misconduct or gross negligence in the performance of Participant’s duties; (3) fraud, embezzlement, theft, or any other act of material dishonesty or misconduct; (4) conviction of, indictment</w:t>
      </w:r>
    </w:p>
    <w:p>
      <w:pPr>
        <w:spacing w:after="0" w:line="211" w:lineRule="auto"/>
        <w:rPr>
          <w:sz w:val="20"/>
          <w:szCs w:val="20"/>
          <w:color w:val="auto"/>
        </w:rPr>
      </w:pPr>
      <w:r>
        <w:rPr>
          <w:rFonts w:ascii="Times New Roman" w:cs="Times New Roman" w:eastAsia="Times New Roman" w:hAnsi="Times New Roman"/>
          <w:sz w:val="20"/>
          <w:szCs w:val="20"/>
          <w:color w:val="auto"/>
        </w:rPr>
        <w:t>for, or plea of guilty or nolo contendere to, a felony or any crime involving moral turpitude; (5) (x) material breach or violation of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with the Company or its Affiliates, including any restrictive covenant agreement applicable to Participant, or (y) significant violation of the code of conduct or similar written policy, including, without limitation, any sexual harassment policy, of the Company or</w:t>
      </w:r>
    </w:p>
    <w:p>
      <w:pPr>
        <w:spacing w:after="0" w:line="211" w:lineRule="auto"/>
        <w:rPr>
          <w:sz w:val="20"/>
          <w:szCs w:val="20"/>
          <w:color w:val="auto"/>
        </w:rPr>
      </w:pPr>
      <w:r>
        <w:rPr>
          <w:rFonts w:ascii="Times New Roman" w:cs="Times New Roman" w:eastAsia="Times New Roman" w:hAnsi="Times New Roman"/>
          <w:sz w:val="20"/>
          <w:szCs w:val="20"/>
          <w:color w:val="auto"/>
        </w:rPr>
        <w:t>its Affiliates; or (6) other conduct, acts or omissions that, in the good faith judgment of the Company, are likely to significantly injure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reputation, business or a business relationship of the Company or any of its Affiliates; or (b) in the case where there is an employment agreement, consulting agreement, change in control agreement or similar agreement in effect between the Company or an Affiliate and the</w:t>
      </w:r>
    </w:p>
    <w:p>
      <w:pPr>
        <w:spacing w:after="0" w:line="222" w:lineRule="auto"/>
        <w:rPr>
          <w:sz w:val="20"/>
          <w:szCs w:val="20"/>
          <w:color w:val="auto"/>
        </w:rPr>
      </w:pPr>
      <w:r>
        <w:rPr>
          <w:rFonts w:ascii="Times New Roman" w:cs="Times New Roman" w:eastAsia="Times New Roman" w:hAnsi="Times New Roman"/>
          <w:sz w:val="19"/>
          <w:szCs w:val="19"/>
          <w:color w:val="auto"/>
        </w:rPr>
        <w:t>Participant that defines “cause” (or words of like import, which shall include but not be limited to “gross misconduct”), “cause” as defined</w:t>
      </w:r>
    </w:p>
    <w:p>
      <w:pPr>
        <w:spacing w:after="0" w:line="204" w:lineRule="auto"/>
        <w:rPr>
          <w:sz w:val="20"/>
          <w:szCs w:val="20"/>
          <w:color w:val="auto"/>
        </w:rPr>
      </w:pPr>
      <w:r>
        <w:rPr>
          <w:rFonts w:ascii="Times New Roman" w:cs="Times New Roman" w:eastAsia="Times New Roman" w:hAnsi="Times New Roman"/>
          <w:sz w:val="20"/>
          <w:szCs w:val="20"/>
          <w:color w:val="auto"/>
        </w:rPr>
        <w:t>under such agreement. With respect to a termination of Service for a non-employee director, Cause means an act or failure to act that constitutes cause for removal of a director under applicable Delaware law. Any voluntary termination of Service by the Participant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anticipation of an involuntary termination of the Participant’s Service for Cause shall be deemed to be a termination for Cause.</w:t>
      </w:r>
    </w:p>
    <w:p>
      <w:pPr>
        <w:sectPr>
          <w:pgSz w:w="11900" w:h="16838" w:orient="portrait"/>
          <w:cols w:equalWidth="0" w:num="1">
            <w:col w:w="11020"/>
          </w:cols>
          <w:pgMar w:left="440" w:top="1440" w:right="4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20" w:type="dxa"/>
            <w:vAlign w:val="bottom"/>
          </w:tcPr>
          <w:p>
            <w:pPr>
              <w:spacing w:after="0"/>
              <w:rPr>
                <w:sz w:val="21"/>
                <w:szCs w:val="21"/>
                <w:color w:val="auto"/>
              </w:rPr>
            </w:pPr>
          </w:p>
        </w:tc>
        <w:tc>
          <w:tcPr>
            <w:tcW w:w="8020" w:type="dxa"/>
            <w:vAlign w:val="bottom"/>
          </w:tcPr>
          <w:p>
            <w:pPr>
              <w:ind w:left="1120"/>
              <w:spacing w:after="0"/>
              <w:rPr>
                <w:sz w:val="20"/>
                <w:szCs w:val="20"/>
                <w:color w:val="auto"/>
              </w:rPr>
            </w:pPr>
            <w:r>
              <w:rPr>
                <w:rFonts w:ascii="Arial" w:cs="Arial" w:eastAsia="Arial" w:hAnsi="Arial"/>
                <w:sz w:val="18"/>
                <w:szCs w:val="18"/>
                <w:b w:val="1"/>
                <w:bCs w:val="1"/>
                <w:color w:val="auto"/>
              </w:rPr>
              <w:t>Subsidiaries of the Registrant</w:t>
            </w:r>
          </w:p>
        </w:tc>
      </w:tr>
      <w:tr>
        <w:trPr>
          <w:trHeight w:val="488"/>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Legal Name</w:t>
            </w:r>
          </w:p>
        </w:tc>
        <w:tc>
          <w:tcPr>
            <w:tcW w:w="802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State of Incorporation</w:t>
            </w:r>
          </w:p>
        </w:tc>
      </w:tr>
      <w:tr>
        <w:trPr>
          <w:trHeight w:val="218"/>
        </w:trPr>
        <w:tc>
          <w:tcPr>
            <w:tcW w:w="3220" w:type="dxa"/>
            <w:vAlign w:val="bottom"/>
          </w:tcPr>
          <w:p>
            <w:pPr>
              <w:ind w:left="20"/>
              <w:spacing w:after="0"/>
              <w:rPr>
                <w:sz w:val="20"/>
                <w:szCs w:val="20"/>
                <w:color w:val="auto"/>
              </w:rPr>
            </w:pPr>
            <w:r>
              <w:rPr>
                <w:rFonts w:ascii="Arial" w:cs="Arial" w:eastAsia="Arial" w:hAnsi="Arial"/>
                <w:sz w:val="18"/>
                <w:szCs w:val="18"/>
                <w:color w:val="auto"/>
              </w:rPr>
              <w:t>PHD Group Holdings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PHD Intermediate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Portillo’s Holdings,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Portillo’s Hot Dogs,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239"/>
        </w:trPr>
        <w:tc>
          <w:tcPr>
            <w:tcW w:w="3220" w:type="dxa"/>
            <w:vAlign w:val="bottom"/>
          </w:tcPr>
          <w:p>
            <w:pPr>
              <w:ind w:left="20"/>
              <w:spacing w:after="0"/>
              <w:rPr>
                <w:sz w:val="20"/>
                <w:szCs w:val="20"/>
                <w:color w:val="auto"/>
              </w:rPr>
            </w:pPr>
            <w:r>
              <w:rPr>
                <w:rFonts w:ascii="Arial" w:cs="Arial" w:eastAsia="Arial" w:hAnsi="Arial"/>
                <w:sz w:val="18"/>
                <w:szCs w:val="18"/>
                <w:color w:val="auto"/>
              </w:rPr>
              <w:t>PHD Card Services, LLC</w:t>
            </w:r>
          </w:p>
        </w:tc>
        <w:tc>
          <w:tcPr>
            <w:tcW w:w="8020" w:type="dxa"/>
            <w:vAlign w:val="bottom"/>
          </w:tcPr>
          <w:p>
            <w:pPr>
              <w:ind w:left="24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240"/>
          </w:cols>
          <w:pgMar w:left="320" w:top="12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consent to the incorporation by reference in Registration Statement Nos. 333-260396, 333-260560, and 333-266652 on Form S-8 and Registration Statement No. 333-268340 on Form S-3, of our report dated March 2, 2023, relating to the consolidated financial statements of Portillo’s Inc. appearing in this Annual Report on Form 10-K for the year ended December 25,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414042"/>
        </w:rPr>
        <w:t xml:space="preserve">/s/ </w:t>
      </w:r>
      <w:r>
        <w:rPr>
          <w:rFonts w:ascii="Arial" w:cs="Arial" w:eastAsia="Arial" w:hAnsi="Arial"/>
          <w:sz w:val="18"/>
          <w:szCs w:val="18"/>
          <w:color w:val="000000"/>
        </w:rPr>
        <w:t>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2, 2023</w:t>
      </w:r>
    </w:p>
    <w:p>
      <w:pPr>
        <w:sectPr>
          <w:pgSz w:w="11900" w:h="16838" w:orient="portrait"/>
          <w:cols w:equalWidth="0" w:num="1">
            <w:col w:w="11240"/>
          </w:cols>
          <w:pgMar w:left="320" w:top="12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Michael Osanloo, certify that:</w:t>
      </w:r>
    </w:p>
    <w:p>
      <w:pPr>
        <w:spacing w:after="0" w:line="50" w:lineRule="exact"/>
        <w:rPr>
          <w:sz w:val="20"/>
          <w:szCs w:val="20"/>
          <w:color w:val="auto"/>
        </w:rPr>
      </w:pPr>
    </w:p>
    <w:p>
      <w:pPr>
        <w:ind w:left="1380" w:hanging="909"/>
        <w:spacing w:after="0"/>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Portillo's Inc. (the “registrant”);</w:t>
      </w:r>
    </w:p>
    <w:p>
      <w:pPr>
        <w:spacing w:after="0" w:line="31" w:lineRule="exact"/>
        <w:rPr>
          <w:rFonts w:ascii="Arial" w:cs="Arial" w:eastAsia="Arial" w:hAnsi="Arial"/>
          <w:sz w:val="18"/>
          <w:szCs w:val="18"/>
          <w:color w:val="auto"/>
        </w:rPr>
      </w:pPr>
    </w:p>
    <w:p>
      <w:pPr>
        <w:ind w:left="1380" w:right="80" w:hanging="909"/>
        <w:spacing w:after="0" w:line="224"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 w:lineRule="exact"/>
        <w:rPr>
          <w:rFonts w:ascii="Arial" w:cs="Arial" w:eastAsia="Arial" w:hAnsi="Arial"/>
          <w:sz w:val="18"/>
          <w:szCs w:val="18"/>
          <w:color w:val="auto"/>
        </w:rPr>
      </w:pPr>
    </w:p>
    <w:p>
      <w:pPr>
        <w:ind w:left="1380" w:right="80" w:hanging="909"/>
        <w:spacing w:after="0" w:line="227"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 w:lineRule="exact"/>
        <w:rPr>
          <w:rFonts w:ascii="Arial" w:cs="Arial" w:eastAsia="Arial" w:hAnsi="Arial"/>
          <w:sz w:val="18"/>
          <w:szCs w:val="18"/>
          <w:color w:val="auto"/>
        </w:rPr>
      </w:pPr>
    </w:p>
    <w:p>
      <w:pPr>
        <w:ind w:left="1380" w:right="640" w:hanging="909"/>
        <w:spacing w:after="0"/>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4" w:lineRule="exact"/>
        <w:rPr>
          <w:rFonts w:ascii="Arial" w:cs="Arial" w:eastAsia="Arial" w:hAnsi="Arial"/>
          <w:sz w:val="18"/>
          <w:szCs w:val="18"/>
          <w:color w:val="auto"/>
        </w:rPr>
      </w:pPr>
    </w:p>
    <w:p>
      <w:pPr>
        <w:ind w:left="1380" w:right="20" w:hanging="450"/>
        <w:spacing w:after="0" w:line="227" w:lineRule="auto"/>
        <w:tabs>
          <w:tab w:leader="none" w:pos="13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 w:lineRule="exact"/>
        <w:rPr>
          <w:rFonts w:ascii="Arial" w:cs="Arial" w:eastAsia="Arial" w:hAnsi="Arial"/>
          <w:sz w:val="18"/>
          <w:szCs w:val="18"/>
          <w:color w:val="auto"/>
        </w:rPr>
      </w:pPr>
    </w:p>
    <w:p>
      <w:pPr>
        <w:ind w:left="1380" w:right="440" w:hanging="450"/>
        <w:spacing w:after="0" w:line="227" w:lineRule="auto"/>
        <w:tabs>
          <w:tab w:leader="none" w:pos="13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Arial" w:cs="Arial" w:eastAsia="Arial" w:hAnsi="Arial"/>
          <w:sz w:val="18"/>
          <w:szCs w:val="18"/>
          <w:color w:val="auto"/>
        </w:rPr>
      </w:pPr>
    </w:p>
    <w:p>
      <w:pPr>
        <w:ind w:left="1380" w:right="220" w:hanging="450"/>
        <w:spacing w:after="0" w:line="227" w:lineRule="auto"/>
        <w:tabs>
          <w:tab w:leader="none" w:pos="13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6" w:lineRule="exact"/>
        <w:rPr>
          <w:rFonts w:ascii="Arial" w:cs="Arial" w:eastAsia="Arial" w:hAnsi="Arial"/>
          <w:sz w:val="18"/>
          <w:szCs w:val="18"/>
          <w:color w:val="auto"/>
        </w:rPr>
      </w:pPr>
    </w:p>
    <w:p>
      <w:pPr>
        <w:ind w:left="1380" w:right="280" w:hanging="450"/>
        <w:spacing w:after="0" w:line="227" w:lineRule="auto"/>
        <w:tabs>
          <w:tab w:leader="none" w:pos="13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Arial" w:cs="Arial" w:eastAsia="Arial" w:hAnsi="Arial"/>
          <w:sz w:val="18"/>
          <w:szCs w:val="18"/>
          <w:color w:val="auto"/>
        </w:rPr>
      </w:pPr>
    </w:p>
    <w:p>
      <w:pPr>
        <w:ind w:left="1380" w:right="320" w:hanging="909"/>
        <w:spacing w:after="0" w:line="227" w:lineRule="auto"/>
        <w:tabs>
          <w:tab w:leader="none" w:pos="1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 w:lineRule="exact"/>
        <w:rPr>
          <w:rFonts w:ascii="Arial" w:cs="Arial" w:eastAsia="Arial" w:hAnsi="Arial"/>
          <w:sz w:val="18"/>
          <w:szCs w:val="18"/>
          <w:color w:val="auto"/>
        </w:rPr>
      </w:pPr>
    </w:p>
    <w:p>
      <w:pPr>
        <w:jc w:val="both"/>
        <w:ind w:left="1380" w:right="340" w:hanging="450"/>
        <w:spacing w:after="0" w:line="227" w:lineRule="auto"/>
        <w:tabs>
          <w:tab w:leader="none" w:pos="13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8"/>
          <w:szCs w:val="18"/>
          <w:color w:val="auto"/>
        </w:rPr>
      </w:pPr>
    </w:p>
    <w:p>
      <w:pPr>
        <w:ind w:left="1380" w:right="680" w:hanging="450"/>
        <w:spacing w:after="0"/>
        <w:tabs>
          <w:tab w:leader="none" w:pos="13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17780</wp:posOffset>
            </wp:positionV>
            <wp:extent cx="32315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460"/>
        <w:spacing w:after="0"/>
        <w:tabs>
          <w:tab w:leader="none" w:pos="6140" w:val="left"/>
        </w:tabs>
        <w:rPr>
          <w:sz w:val="20"/>
          <w:szCs w:val="20"/>
          <w:color w:val="auto"/>
        </w:rPr>
      </w:pPr>
      <w:r>
        <w:rPr>
          <w:rFonts w:ascii="Arial" w:cs="Arial" w:eastAsia="Arial" w:hAnsi="Arial"/>
          <w:sz w:val="18"/>
          <w:szCs w:val="18"/>
          <w:u w:val="single" w:color="auto"/>
          <w:color w:val="auto"/>
        </w:rPr>
        <w:t>Name:</w:t>
      </w:r>
      <w:r>
        <w:rPr>
          <w:sz w:val="20"/>
          <w:szCs w:val="20"/>
          <w:color w:val="auto"/>
        </w:rPr>
        <w:tab/>
      </w:r>
      <w:r>
        <w:rPr>
          <w:rFonts w:ascii="Arial" w:cs="Arial" w:eastAsia="Arial" w:hAnsi="Arial"/>
          <w:sz w:val="17"/>
          <w:szCs w:val="17"/>
          <w:color w:val="auto"/>
        </w:rPr>
        <w:t>Michael Osanloo</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Chief Executive Officer and Director</w:t>
      </w:r>
    </w:p>
    <w:p>
      <w:pPr>
        <w:ind w:left="5460"/>
        <w:spacing w:after="0"/>
        <w:tabs>
          <w:tab w:leader="none" w:pos="6140" w:val="left"/>
        </w:tabs>
        <w:rPr>
          <w:sz w:val="20"/>
          <w:szCs w:val="20"/>
          <w:color w:val="auto"/>
        </w:rPr>
      </w:pPr>
      <w:r>
        <w:rPr>
          <w:rFonts w:ascii="Arial" w:cs="Arial" w:eastAsia="Arial" w:hAnsi="Arial"/>
          <w:sz w:val="18"/>
          <w:szCs w:val="18"/>
          <w:u w:val="single" w:color="auto"/>
          <w:color w:val="auto"/>
        </w:rPr>
        <w:t>Title:</w:t>
      </w:r>
      <w:r>
        <w:rPr>
          <w:sz w:val="20"/>
          <w:szCs w:val="20"/>
          <w:color w:val="auto"/>
        </w:rPr>
        <w:tab/>
      </w: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50" w:lineRule="exact"/>
        <w:rPr>
          <w:sz w:val="20"/>
          <w:szCs w:val="20"/>
          <w:color w:val="auto"/>
        </w:rPr>
      </w:pPr>
    </w:p>
    <w:p>
      <w:pPr>
        <w:ind w:left="1300" w:hanging="856"/>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Portillo's Inc. (the “Registrant”);</w:t>
      </w:r>
    </w:p>
    <w:p>
      <w:pPr>
        <w:spacing w:after="0" w:line="31" w:lineRule="exact"/>
        <w:rPr>
          <w:rFonts w:ascii="Arial" w:cs="Arial" w:eastAsia="Arial" w:hAnsi="Arial"/>
          <w:sz w:val="18"/>
          <w:szCs w:val="18"/>
          <w:color w:val="auto"/>
        </w:rPr>
      </w:pPr>
    </w:p>
    <w:p>
      <w:pPr>
        <w:ind w:left="1300" w:right="160"/>
        <w:spacing w:after="0" w:line="208" w:lineRule="auto"/>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w:t>
      </w:r>
    </w:p>
    <w:p>
      <w:pPr>
        <w:ind w:left="1300" w:hanging="856"/>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misleading with respect to the period covered by this report;</w:t>
      </w:r>
    </w:p>
    <w:p>
      <w:pPr>
        <w:spacing w:after="0" w:line="27" w:lineRule="exact"/>
        <w:rPr>
          <w:rFonts w:ascii="Arial" w:cs="Arial" w:eastAsia="Arial" w:hAnsi="Arial"/>
          <w:sz w:val="18"/>
          <w:szCs w:val="18"/>
          <w:color w:val="auto"/>
        </w:rPr>
      </w:pPr>
    </w:p>
    <w:p>
      <w:pPr>
        <w:ind w:left="1300" w:right="160"/>
        <w:spacing w:after="0" w:line="208" w:lineRule="auto"/>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w:t>
      </w:r>
    </w:p>
    <w:p>
      <w:pPr>
        <w:ind w:left="1300" w:hanging="856"/>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presented in this report;</w:t>
      </w:r>
    </w:p>
    <w:p>
      <w:pPr>
        <w:spacing w:after="0" w:line="27" w:lineRule="exact"/>
        <w:rPr>
          <w:rFonts w:ascii="Arial" w:cs="Arial" w:eastAsia="Arial" w:hAnsi="Arial"/>
          <w:sz w:val="18"/>
          <w:szCs w:val="18"/>
          <w:color w:val="auto"/>
        </w:rPr>
      </w:pPr>
    </w:p>
    <w:p>
      <w:pPr>
        <w:ind w:left="1300"/>
        <w:spacing w:after="0" w:line="213" w:lineRule="auto"/>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w:t>
      </w:r>
    </w:p>
    <w:p>
      <w:pPr>
        <w:ind w:left="1300" w:hanging="856"/>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procedures (as defined in Exchange Act Rules 13a-15(e) and 15d-15(e)) for the registrant and have:</w:t>
      </w:r>
    </w:p>
    <w:p>
      <w:pPr>
        <w:spacing w:after="0" w:line="27" w:lineRule="exact"/>
        <w:rPr>
          <w:rFonts w:ascii="Arial" w:cs="Arial" w:eastAsia="Arial" w:hAnsi="Arial"/>
          <w:sz w:val="18"/>
          <w:szCs w:val="18"/>
          <w:color w:val="auto"/>
        </w:rPr>
      </w:pPr>
    </w:p>
    <w:p>
      <w:pPr>
        <w:ind w:left="1300" w:right="100" w:hanging="424"/>
        <w:spacing w:after="0" w:line="22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Arial" w:cs="Arial" w:eastAsia="Arial" w:hAnsi="Arial"/>
          <w:sz w:val="18"/>
          <w:szCs w:val="18"/>
          <w:color w:val="auto"/>
        </w:rPr>
      </w:pPr>
    </w:p>
    <w:p>
      <w:pPr>
        <w:ind w:left="1300" w:right="520" w:hanging="424"/>
        <w:spacing w:after="0" w:line="22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 w:lineRule="exact"/>
        <w:rPr>
          <w:rFonts w:ascii="Arial" w:cs="Arial" w:eastAsia="Arial" w:hAnsi="Arial"/>
          <w:sz w:val="18"/>
          <w:szCs w:val="18"/>
          <w:color w:val="auto"/>
        </w:rPr>
      </w:pPr>
    </w:p>
    <w:p>
      <w:pPr>
        <w:ind w:left="1300" w:right="300" w:hanging="424"/>
        <w:spacing w:after="0" w:line="22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6" w:lineRule="exact"/>
        <w:rPr>
          <w:rFonts w:ascii="Arial" w:cs="Arial" w:eastAsia="Arial" w:hAnsi="Arial"/>
          <w:sz w:val="18"/>
          <w:szCs w:val="18"/>
          <w:color w:val="auto"/>
        </w:rPr>
      </w:pPr>
    </w:p>
    <w:p>
      <w:pPr>
        <w:ind w:left="1300" w:right="60" w:hanging="424"/>
        <w:spacing w:after="0" w:line="227"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 w:lineRule="exact"/>
        <w:rPr>
          <w:rFonts w:ascii="Arial" w:cs="Arial" w:eastAsia="Arial" w:hAnsi="Arial"/>
          <w:sz w:val="18"/>
          <w:szCs w:val="18"/>
          <w:color w:val="auto"/>
        </w:rPr>
      </w:pPr>
    </w:p>
    <w:p>
      <w:pPr>
        <w:ind w:left="1300" w:right="400"/>
        <w:spacing w:after="0" w:line="226" w:lineRule="auto"/>
        <w:rPr>
          <w:rFonts w:ascii="Arial" w:cs="Arial" w:eastAsia="Arial" w:hAnsi="Arial"/>
          <w:sz w:val="18"/>
          <w:szCs w:val="18"/>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w:t>
      </w:r>
    </w:p>
    <w:p>
      <w:pPr>
        <w:ind w:left="1300" w:hanging="856"/>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performing the equivalent functions):</w:t>
      </w:r>
    </w:p>
    <w:p>
      <w:pPr>
        <w:spacing w:after="0" w:line="27" w:lineRule="exact"/>
        <w:rPr>
          <w:rFonts w:ascii="Arial" w:cs="Arial" w:eastAsia="Arial" w:hAnsi="Arial"/>
          <w:sz w:val="18"/>
          <w:szCs w:val="18"/>
          <w:color w:val="auto"/>
        </w:rPr>
      </w:pPr>
    </w:p>
    <w:p>
      <w:pPr>
        <w:jc w:val="both"/>
        <w:ind w:left="1300" w:right="420" w:hanging="424"/>
        <w:spacing w:after="0" w:line="224"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 w:lineRule="exact"/>
        <w:rPr>
          <w:rFonts w:ascii="Arial" w:cs="Arial" w:eastAsia="Arial" w:hAnsi="Arial"/>
          <w:sz w:val="18"/>
          <w:szCs w:val="18"/>
          <w:color w:val="auto"/>
        </w:rPr>
      </w:pPr>
    </w:p>
    <w:p>
      <w:pPr>
        <w:ind w:left="1300" w:right="780" w:hanging="424"/>
        <w:spacing w:after="0"/>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9"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17780</wp:posOffset>
            </wp:positionV>
            <wp:extent cx="32315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6" w:lineRule="exact"/>
        <w:rPr>
          <w:sz w:val="20"/>
          <w:szCs w:val="20"/>
          <w:color w:val="auto"/>
        </w:rPr>
      </w:pPr>
    </w:p>
    <w:p>
      <w:pPr>
        <w:ind w:left="5460"/>
        <w:spacing w:after="0"/>
        <w:tabs>
          <w:tab w:leader="none" w:pos="6140" w:val="left"/>
        </w:tabs>
        <w:rPr>
          <w:sz w:val="20"/>
          <w:szCs w:val="20"/>
          <w:color w:val="auto"/>
        </w:rPr>
      </w:pPr>
      <w:r>
        <w:rPr>
          <w:rFonts w:ascii="Arial" w:cs="Arial" w:eastAsia="Arial" w:hAnsi="Arial"/>
          <w:sz w:val="18"/>
          <w:szCs w:val="18"/>
          <w:u w:val="single" w:color="auto"/>
          <w:color w:val="auto"/>
        </w:rPr>
        <w:t>Name:</w:t>
      </w:r>
      <w:r>
        <w:rPr>
          <w:sz w:val="20"/>
          <w:szCs w:val="20"/>
          <w:color w:val="auto"/>
        </w:rPr>
        <w:tab/>
      </w:r>
      <w:r>
        <w:rPr>
          <w:rFonts w:ascii="Arial" w:cs="Arial" w:eastAsia="Arial" w:hAnsi="Arial"/>
          <w:sz w:val="18"/>
          <w:szCs w:val="18"/>
          <w:color w:val="auto"/>
        </w:rPr>
        <w:t>Michelle Hook</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ind w:left="5460"/>
        <w:spacing w:after="0"/>
        <w:tabs>
          <w:tab w:leader="none" w:pos="6140" w:val="left"/>
        </w:tabs>
        <w:rPr>
          <w:sz w:val="20"/>
          <w:szCs w:val="20"/>
          <w:color w:val="auto"/>
        </w:rPr>
      </w:pPr>
      <w:r>
        <w:rPr>
          <w:rFonts w:ascii="Arial" w:cs="Arial" w:eastAsia="Arial" w:hAnsi="Arial"/>
          <w:sz w:val="18"/>
          <w:szCs w:val="18"/>
          <w:u w:val="single" w:color="auto"/>
          <w:color w:val="auto"/>
        </w:rPr>
        <w:t>Title:</w:t>
      </w:r>
      <w:r>
        <w:rPr>
          <w:sz w:val="20"/>
          <w:szCs w:val="20"/>
          <w:color w:val="auto"/>
        </w:rPr>
        <w:tab/>
      </w: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12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connection with the Annual Report on Form 10-K of Portillo's Inc. (the “Company”), for the fiscal year ended December 25, 2022,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 w:lineRule="exact"/>
        <w:rPr>
          <w:sz w:val="20"/>
          <w:szCs w:val="20"/>
          <w:color w:val="auto"/>
        </w:rPr>
      </w:pPr>
    </w:p>
    <w:p>
      <w:pPr>
        <w:ind w:left="900" w:right="240" w:hanging="442"/>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5" w:lineRule="exact"/>
        <w:rPr>
          <w:sz w:val="20"/>
          <w:szCs w:val="20"/>
          <w:color w:val="auto"/>
        </w:rPr>
      </w:pPr>
    </w:p>
    <w:p>
      <w:pPr>
        <w:ind w:left="900" w:right="60" w:hanging="442"/>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1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This certificate is being furnished solely for the purposes of 18 U.S.C. Section 1350 and is not being filed as part of the Report or as a separate disclosure document.</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r>
              <w:rPr>
                <w:rFonts w:ascii="Arial" w:cs="Arial" w:eastAsia="Arial" w:hAnsi="Arial"/>
                <w:sz w:val="18"/>
                <w:szCs w:val="18"/>
                <w:color w:val="auto"/>
              </w:rPr>
              <w:t>Date: March 2, 2023</w:t>
            </w:r>
          </w:p>
        </w:tc>
        <w:tc>
          <w:tcPr>
            <w:tcW w:w="740" w:type="dxa"/>
            <w:vAlign w:val="bottom"/>
            <w:gridSpan w:val="3"/>
          </w:tcPr>
          <w:p>
            <w:pPr>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Osanloo</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740" w:type="dxa"/>
            <w:vAlign w:val="bottom"/>
            <w:gridSpan w:val="3"/>
          </w:tcPr>
          <w:p>
            <w:pPr>
              <w:spacing w:after="0" w:line="182"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5"/>
                <w:szCs w:val="15"/>
                <w:color w:val="auto"/>
              </w:rPr>
            </w:pPr>
          </w:p>
        </w:tc>
        <w:tc>
          <w:tcPr>
            <w:tcW w:w="5020" w:type="dxa"/>
            <w:vAlign w:val="bottom"/>
          </w:tcPr>
          <w:p>
            <w:pPr>
              <w:spacing w:after="0" w:line="182" w:lineRule="exact"/>
              <w:rPr>
                <w:sz w:val="20"/>
                <w:szCs w:val="20"/>
                <w:color w:val="auto"/>
              </w:rPr>
            </w:pPr>
            <w:r>
              <w:rPr>
                <w:rFonts w:ascii="Arial" w:cs="Arial" w:eastAsia="Arial" w:hAnsi="Arial"/>
                <w:sz w:val="18"/>
                <w:szCs w:val="18"/>
                <w:color w:val="auto"/>
              </w:rPr>
              <w:t>Michael Osanloo</w:t>
            </w:r>
          </w:p>
        </w:tc>
        <w:tc>
          <w:tcPr>
            <w:tcW w:w="0" w:type="dxa"/>
            <w:vAlign w:val="bottom"/>
          </w:tcPr>
          <w:p>
            <w:pPr>
              <w:spacing w:after="0"/>
              <w:rPr>
                <w:sz w:val="1"/>
                <w:szCs w:val="1"/>
                <w:color w:val="auto"/>
              </w:rPr>
            </w:pPr>
          </w:p>
        </w:tc>
      </w:tr>
      <w:tr>
        <w:trPr>
          <w:trHeight w:val="204"/>
        </w:trPr>
        <w:tc>
          <w:tcPr>
            <w:tcW w:w="5440" w:type="dxa"/>
            <w:vAlign w:val="bottom"/>
          </w:tcPr>
          <w:p>
            <w:pPr>
              <w:spacing w:after="0"/>
              <w:rPr>
                <w:sz w:val="17"/>
                <w:szCs w:val="17"/>
                <w:color w:val="auto"/>
              </w:rPr>
            </w:pPr>
          </w:p>
        </w:tc>
        <w:tc>
          <w:tcPr>
            <w:tcW w:w="3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92"/>
              </w:rPr>
              <w:t>Title:</w:t>
            </w:r>
          </w:p>
        </w:tc>
        <w:tc>
          <w:tcPr>
            <w:tcW w:w="140" w:type="dxa"/>
            <w:vAlign w:val="bottom"/>
            <w:tcBorders>
              <w:top w:val="single" w:sz="8" w:color="auto"/>
            </w:tcBorders>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Pr>
          <w:p>
            <w:pPr>
              <w:spacing w:after="0" w:line="204" w:lineRule="exact"/>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199"/>
        </w:trPr>
        <w:tc>
          <w:tcPr>
            <w:tcW w:w="544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601"/>
        </w:trPr>
        <w:tc>
          <w:tcPr>
            <w:tcW w:w="5440" w:type="dxa"/>
            <w:vAlign w:val="bottom"/>
          </w:tcPr>
          <w:p>
            <w:pPr>
              <w:spacing w:after="0"/>
              <w:rPr>
                <w:sz w:val="20"/>
                <w:szCs w:val="20"/>
                <w:color w:val="auto"/>
              </w:rPr>
            </w:pPr>
            <w:r>
              <w:rPr>
                <w:rFonts w:ascii="Arial" w:cs="Arial" w:eastAsia="Arial" w:hAnsi="Arial"/>
                <w:sz w:val="18"/>
                <w:szCs w:val="18"/>
                <w:color w:val="auto"/>
              </w:rPr>
              <w:t>Date: March 2, 2023</w:t>
            </w:r>
          </w:p>
        </w:tc>
        <w:tc>
          <w:tcPr>
            <w:tcW w:w="740" w:type="dxa"/>
            <w:vAlign w:val="bottom"/>
            <w:gridSpan w:val="3"/>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Michelle Hook</w:t>
            </w:r>
          </w:p>
        </w:tc>
        <w:tc>
          <w:tcPr>
            <w:tcW w:w="0" w:type="dxa"/>
            <w:vAlign w:val="bottom"/>
          </w:tcPr>
          <w:p>
            <w:pPr>
              <w:spacing w:after="0"/>
              <w:rPr>
                <w:sz w:val="1"/>
                <w:szCs w:val="1"/>
                <w:color w:val="auto"/>
              </w:rPr>
            </w:pPr>
          </w:p>
        </w:tc>
      </w:tr>
      <w:tr>
        <w:trPr>
          <w:trHeight w:val="183"/>
        </w:trPr>
        <w:tc>
          <w:tcPr>
            <w:tcW w:w="5440" w:type="dxa"/>
            <w:vAlign w:val="bottom"/>
          </w:tcPr>
          <w:p>
            <w:pPr>
              <w:spacing w:after="0"/>
              <w:rPr>
                <w:sz w:val="15"/>
                <w:szCs w:val="15"/>
                <w:color w:val="auto"/>
              </w:rPr>
            </w:pPr>
          </w:p>
        </w:tc>
        <w:tc>
          <w:tcPr>
            <w:tcW w:w="740" w:type="dxa"/>
            <w:vAlign w:val="bottom"/>
            <w:gridSpan w:val="3"/>
          </w:tcPr>
          <w:p>
            <w:pPr>
              <w:spacing w:after="0" w:line="182" w:lineRule="exact"/>
              <w:rPr>
                <w:sz w:val="20"/>
                <w:szCs w:val="20"/>
                <w:color w:val="auto"/>
              </w:rPr>
            </w:pPr>
            <w:r>
              <w:rPr>
                <w:rFonts w:ascii="Arial" w:cs="Arial" w:eastAsia="Arial" w:hAnsi="Arial"/>
                <w:sz w:val="18"/>
                <w:szCs w:val="18"/>
                <w:color w:val="auto"/>
              </w:rPr>
              <w:t>Name:</w:t>
            </w:r>
          </w:p>
        </w:tc>
        <w:tc>
          <w:tcPr>
            <w:tcW w:w="20" w:type="dxa"/>
            <w:vAlign w:val="bottom"/>
          </w:tcPr>
          <w:p>
            <w:pPr>
              <w:spacing w:after="0"/>
              <w:rPr>
                <w:sz w:val="15"/>
                <w:szCs w:val="15"/>
                <w:color w:val="auto"/>
              </w:rPr>
            </w:pPr>
          </w:p>
        </w:tc>
        <w:tc>
          <w:tcPr>
            <w:tcW w:w="5020" w:type="dxa"/>
            <w:vAlign w:val="bottom"/>
          </w:tcPr>
          <w:p>
            <w:pPr>
              <w:ind w:left="20"/>
              <w:spacing w:after="0" w:line="182" w:lineRule="exact"/>
              <w:rPr>
                <w:sz w:val="20"/>
                <w:szCs w:val="20"/>
                <w:color w:val="auto"/>
              </w:rPr>
            </w:pPr>
            <w:r>
              <w:rPr>
                <w:rFonts w:ascii="Arial" w:cs="Arial" w:eastAsia="Arial" w:hAnsi="Arial"/>
                <w:sz w:val="18"/>
                <w:szCs w:val="18"/>
                <w:color w:val="auto"/>
              </w:rPr>
              <w:t>Michelle Hook</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3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92"/>
              </w:rPr>
              <w:t>Title:</w:t>
            </w:r>
          </w:p>
        </w:tc>
        <w:tc>
          <w:tcPr>
            <w:tcW w:w="140" w:type="dxa"/>
            <w:vAlign w:val="bottom"/>
            <w:tcBorders>
              <w:top w:val="single" w:sz="8" w:color="auto"/>
            </w:tcBorders>
            <w:vMerge w:val="restart"/>
          </w:tcPr>
          <w:p>
            <w:pPr>
              <w:spacing w:after="0"/>
              <w:rPr>
                <w:sz w:val="17"/>
                <w:szCs w:val="17"/>
                <w:color w:val="auto"/>
              </w:rPr>
            </w:pPr>
          </w:p>
        </w:tc>
        <w:tc>
          <w:tcPr>
            <w:tcW w:w="22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Pr>
          <w:p>
            <w:pPr>
              <w:ind w:left="20"/>
              <w:spacing w:after="0" w:line="196" w:lineRule="exact"/>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08"/>
        </w:trPr>
        <w:tc>
          <w:tcPr>
            <w:tcW w:w="544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1)"/>
      <w:numFmt w:val="lowerRoman"/>
      <w:start w:val="4"/>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lowerRoman"/>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lowerRoman"/>
      <w:start w:val="2"/>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lvl w:ilvl="1">
      <w:lvlJc w:val="left"/>
      <w:lvlText w:val="•"/>
      <w:numFmt w:val="bullet"/>
      <w:start w:val="1"/>
    </w:lvl>
  </w:abstractNum>
  <w:abstractNum w:abstractNumId="23">
    <w:nsid w:val="153EA438"/>
    <w:multiLevelType w:val="hybridMultilevel"/>
    <w:lvl w:ilvl="0">
      <w:lvlJc w:val="left"/>
      <w:lvlText w:val="(%1)"/>
      <w:numFmt w:val="lowerLetter"/>
      <w:start w:val="1"/>
    </w:lvl>
  </w:abstractNum>
  <w:abstractNum w:abstractNumId="24">
    <w:nsid w:val="3855585C"/>
    <w:multiLevelType w:val="hybridMultilevel"/>
    <w:lvl w:ilvl="0">
      <w:lvlJc w:val="left"/>
      <w:lvlText w:val="(%1)"/>
      <w:numFmt w:val="lowerRoman"/>
      <w:start w:val="2"/>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1)"/>
      <w:numFmt w:val="decimal"/>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3"/>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0">
    <w:nsid w:val="4F4EF005"/>
    <w:multiLevelType w:val="hybridMultilevel"/>
    <w:lvl w:ilvl="0">
      <w:lvlJc w:val="left"/>
      <w:lvlText w:val="%1"/>
      <w:numFmt w:val="decimal"/>
      <w:start w:val="1"/>
    </w:lvl>
    <w:lvl w:ilvl="1">
      <w:lvlJc w:val="left"/>
      <w:lvlText w:val="(%2)"/>
      <w:numFmt w:val="lowerLetter"/>
      <w:start w:val="3"/>
    </w:lvl>
  </w:abstractNum>
  <w:abstractNum w:abstractNumId="51">
    <w:nsid w:val="23F9C13C"/>
    <w:multiLevelType w:val="hybridMultilevel"/>
    <w:lvl w:ilvl="0">
      <w:lvlJc w:val="left"/>
      <w:lvlText w:val="%1."/>
      <w:numFmt w:val="decimal"/>
      <w:start w:val="4"/>
    </w:lvl>
    <w:lvl w:ilvl="1">
      <w:lvlJc w:val="left"/>
      <w:lvlText w:val="(%2)"/>
      <w:numFmt w:val="lowerLetter"/>
      <w:start w:val="1"/>
    </w:lvl>
  </w:abstractNum>
  <w:abstractNum w:abstractNumId="52">
    <w:nsid w:val="649BB77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3">
    <w:nsid w:val="275AC794"/>
    <w:multiLevelType w:val="hybridMultilevel"/>
    <w:lvl w:ilvl="0">
      <w:lvlJc w:val="left"/>
      <w:lvlText w:val="(%1)"/>
      <w:numFmt w:val="lowerLetter"/>
      <w:start w:val="6"/>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bullet"/>
      <w:start w:val="1"/>
    </w:lvl>
  </w:abstractNum>
  <w:abstractNum w:abstractNumId="57">
    <w:nsid w:val="235BA86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62" Type="http://schemas.openxmlformats.org/officeDocument/2006/relationships/image" Target="media/image242.png"/><Relationship Id="rId266" Type="http://schemas.openxmlformats.org/officeDocument/2006/relationships/image" Target="media/image243.jpeg"/><Relationship Id="rId267" Type="http://schemas.openxmlformats.org/officeDocument/2006/relationships/image" Target="media/image244.png"/><Relationship Id="rId276" Type="http://schemas.openxmlformats.org/officeDocument/2006/relationships/image" Target="media/image245.jpe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jpeg"/><Relationship Id="rId280" Type="http://schemas.openxmlformats.org/officeDocument/2006/relationships/image" Target="media/image249.png"/><Relationship Id="rId281" Type="http://schemas.openxmlformats.org/officeDocument/2006/relationships/image" Target="media/image250.png"/><Relationship Id="rId249" Type="http://schemas.openxmlformats.org/officeDocument/2006/relationships/hyperlink" Target="https://www.sec.gov/Archives/edgar/data/0001871509/000187150921000009/exhibit31amendedandrestate.htm" TargetMode="External"/><Relationship Id="rId250" Type="http://schemas.openxmlformats.org/officeDocument/2006/relationships/hyperlink" Target="https://www.sec.gov/Archives/edgar/data/0001871509/000187150921000009/exhibit32amendedandrestate.htm" TargetMode="External"/><Relationship Id="rId251" Type="http://schemas.openxmlformats.org/officeDocument/2006/relationships/hyperlink" Target="https://www.sec.gov/Archives/edgar/data/1871509/000187150922000008/exhibit41descriptionofsecu.htm" TargetMode="External"/><Relationship Id="rId252" Type="http://schemas.openxmlformats.org/officeDocument/2006/relationships/hyperlink" Target="https://www.sec.gov/Archives/edgar/data/1871509/000119312521284054/d184092dex101a.htm" TargetMode="External"/><Relationship Id="rId253" Type="http://schemas.openxmlformats.org/officeDocument/2006/relationships/hyperlink" Target="https://www.sec.gov/Archives/edgar/data/1871509/000119312521284054/d184092dex101b.htm" TargetMode="External"/><Relationship Id="rId254" Type="http://schemas.openxmlformats.org/officeDocument/2006/relationships/hyperlink" Target="https://www.sec.gov/Archives/edgar/data/1871509/000119312521284054/d184092dex101c.htm" TargetMode="External"/><Relationship Id="rId255" Type="http://schemas.openxmlformats.org/officeDocument/2006/relationships/hyperlink" Target="https://www.sec.gov/Archives/edgar/data/1871509/000119312521284054/d184092dex101d.htm" TargetMode="External"/><Relationship Id="rId256" Type="http://schemas.openxmlformats.org/officeDocument/2006/relationships/hyperlink" Target="https://www.sec.gov/Archives/edgar/data/1871509/000119312521284054/d184092dex102a.htm" TargetMode="External"/><Relationship Id="rId257" Type="http://schemas.openxmlformats.org/officeDocument/2006/relationships/hyperlink" Target="https://www.sec.gov/Archives/edgar/data/1871509/000119312521284054/d184092dex102b.htm" TargetMode="External"/><Relationship Id="rId258" Type="http://schemas.openxmlformats.org/officeDocument/2006/relationships/hyperlink" Target="https://www.sec.gov/Archives/edgar/data/1871509/000119312521284054/d184092dex102c.htm" TargetMode="External"/><Relationship Id="rId259" Type="http://schemas.openxmlformats.org/officeDocument/2006/relationships/hyperlink" Target="https://www.sec.gov/Archives/edgar/data/1871509/000187150921000009/exhibit104portillosinc2021.htm" TargetMode="External"/><Relationship Id="rId260" Type="http://schemas.openxmlformats.org/officeDocument/2006/relationships/hyperlink" Target="https://www.sec.gov/Archives/edgar/data/1871509/000187150922000008/exhibit109registrationrigh.htm" TargetMode="External"/><Relationship Id="rId261" Type="http://schemas.openxmlformats.org/officeDocument/2006/relationships/hyperlink" Target="https://www.sec.gov/Archives/edgar/data/1871509/000187150921000009/exhibit106aformofrsuawarda.htm" TargetMode="External"/><Relationship Id="rId263" Type="http://schemas.openxmlformats.org/officeDocument/2006/relationships/hyperlink" Target="https://www.sec.gov/Archives/edgar/data/1871509/000187150921000009/exhibit106bformofoptionawa.htm" TargetMode="External"/><Relationship Id="rId264" Type="http://schemas.openxmlformats.org/officeDocument/2006/relationships/hyperlink" Target="https://www.sec.gov/Archives/edgar/data/1871509/000119312521293320/d184092dex107.htm" TargetMode="External"/><Relationship Id="rId265" Type="http://schemas.openxmlformats.org/officeDocument/2006/relationships/hyperlink" Target="https://www.sec.gov/Archives/edgar/data/1871509/000119312521284054/d184092dex108.htm" TargetMode="External"/><Relationship Id="rId268" Type="http://schemas.openxmlformats.org/officeDocument/2006/relationships/hyperlink" Target="https://www.sec.gov/Archives/edgar/data/1871509/000119312521284054/d184092dex109.htm" TargetMode="External"/><Relationship Id="rId269" Type="http://schemas.openxmlformats.org/officeDocument/2006/relationships/hyperlink" Target="https://www.sec.gov/Archives/edgar/data/1871509/000119312521284054/d184092dex1010.htm" TargetMode="External"/><Relationship Id="rId270" Type="http://schemas.openxmlformats.org/officeDocument/2006/relationships/hyperlink" Target="https://www.sec.gov/Archives/edgar/data/1871509/000119312521284054/d184092dex1011.htm" TargetMode="External"/><Relationship Id="rId271" Type="http://schemas.openxmlformats.org/officeDocument/2006/relationships/hyperlink" Target="https://www.sec.gov/Archives/edgar/data/1871509/000187150921000009/exhibit1012taxreceivableag.htm" TargetMode="External"/><Relationship Id="rId272" Type="http://schemas.openxmlformats.org/officeDocument/2006/relationships/hyperlink" Target="https://www.sec.gov/Archives/edgar/data/1871509/000187150921000009/exhibit1013secondamendedan.htm" TargetMode="External"/><Relationship Id="rId273" Type="http://schemas.openxmlformats.org/officeDocument/2006/relationships/hyperlink" Target="https://www.sec.gov/Archives/edgar/data/1871509/000187150922000038/exhibit101employeestockpur.htm" TargetMode="External"/><Relationship Id="rId274" Type="http://schemas.openxmlformats.org/officeDocument/2006/relationships/hyperlink" Target="https://www.sec.gov/Archives/edgar/data/1871509/000119312522214895/d382690dex1015.htm" TargetMode="External"/><Relationship Id="rId275" Type="http://schemas.openxmlformats.org/officeDocument/2006/relationships/hyperlink" Target="https://www.sec.gov/Archives/edgar/data/1871509/000187150923000005/form8-k2223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2023-03-02T07:15:03Z</dcterms:created>
  <dcterms:modified xsi:type="dcterms:W3CDTF">2023-03-02T07:15:03Z</dcterms:modified>
</cp:coreProperties>
</file>