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175895</wp:posOffset>
            </wp:positionV>
            <wp:extent cx="1542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u w:val="single" w:color="auto"/>
          <w:color w:val="auto"/>
        </w:rPr>
        <w:t>FORM 10-Q</w:t>
      </w:r>
    </w:p>
    <w:p>
      <w:pPr>
        <w:spacing w:after="0" w:line="200" w:lineRule="exact"/>
        <w:rPr>
          <w:sz w:val="24"/>
          <w:szCs w:val="24"/>
          <w:color w:val="auto"/>
        </w:rPr>
      </w:pPr>
    </w:p>
    <w:p>
      <w:pPr>
        <w:spacing w:after="0" w:line="223" w:lineRule="exact"/>
        <w:rPr>
          <w:sz w:val="24"/>
          <w:szCs w:val="24"/>
          <w:color w:val="auto"/>
        </w:rPr>
      </w:pPr>
    </w:p>
    <w:p>
      <w:pPr>
        <w:ind w:left="860" w:hanging="489"/>
        <w:spacing w:after="0"/>
        <w:tabs>
          <w:tab w:leader="none" w:pos="860" w:val="left"/>
        </w:tabs>
        <w:numPr>
          <w:ilvl w:val="1"/>
          <w:numId w:val="1"/>
        </w:numPr>
        <w:rPr>
          <w:rFonts w:ascii="MS PGothic" w:cs="MS PGothic" w:eastAsia="MS PGothic" w:hAnsi="MS PGothic"/>
          <w:sz w:val="21"/>
          <w:szCs w:val="21"/>
          <w:color w:val="auto"/>
        </w:rPr>
      </w:pPr>
      <w:r>
        <w:rPr>
          <w:rFonts w:ascii="Arial" w:cs="Arial" w:eastAsia="Arial" w:hAnsi="Arial"/>
          <w:sz w:val="20"/>
          <w:szCs w:val="20"/>
          <w:color w:val="auto"/>
        </w:rPr>
        <w:t>QUARTERLY REPORT PURSUANT TO SECTION 13 OR 15(d) OF THE SECURITIES EXCHANGE ACT OF 1934</w:t>
      </w:r>
    </w:p>
    <w:p>
      <w:pPr>
        <w:spacing w:after="0" w:line="237" w:lineRule="exact"/>
        <w:rPr>
          <w:rFonts w:ascii="MS PGothic" w:cs="MS PGothic" w:eastAsia="MS PGothic" w:hAnsi="MS PGothic"/>
          <w:sz w:val="21"/>
          <w:szCs w:val="21"/>
          <w:color w:val="auto"/>
        </w:rPr>
      </w:pPr>
    </w:p>
    <w:p>
      <w:pPr>
        <w:ind w:left="3120"/>
        <w:spacing w:after="0"/>
        <w:rPr>
          <w:rFonts w:ascii="MS PGothic" w:cs="MS PGothic" w:eastAsia="MS PGothic" w:hAnsi="MS PGothic"/>
          <w:sz w:val="21"/>
          <w:szCs w:val="21"/>
          <w:color w:val="auto"/>
        </w:rPr>
      </w:pPr>
      <w:r>
        <w:rPr>
          <w:rFonts w:ascii="Arial" w:cs="Arial" w:eastAsia="Arial" w:hAnsi="Arial"/>
          <w:sz w:val="20"/>
          <w:szCs w:val="20"/>
          <w:b w:val="1"/>
          <w:bCs w:val="1"/>
          <w:color w:val="auto"/>
        </w:rPr>
        <w:t>FOR THE QUARTERLY PERIOD ENDED June 26, 2022</w:t>
      </w:r>
    </w:p>
    <w:p>
      <w:pPr>
        <w:spacing w:after="0" w:line="255" w:lineRule="exact"/>
        <w:rPr>
          <w:rFonts w:ascii="MS PGothic" w:cs="MS PGothic" w:eastAsia="MS PGothic" w:hAnsi="MS PGothic"/>
          <w:sz w:val="21"/>
          <w:szCs w:val="21"/>
          <w:color w:val="auto"/>
        </w:rPr>
      </w:pPr>
    </w:p>
    <w:p>
      <w:pPr>
        <w:ind w:left="600" w:hanging="439"/>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9"/>
          <w:szCs w:val="19"/>
          <w:color w:val="auto"/>
        </w:rPr>
        <w:t>TRANSITION REPORT PURSUANT TO SECTION 13 OR 15(d) OF THE SECURITIES EXCHANGE ACT OF 1934 FOR</w:t>
      </w:r>
    </w:p>
    <w:p>
      <w:pPr>
        <w:spacing w:after="0" w:line="28" w:lineRule="exact"/>
        <w:rPr>
          <w:sz w:val="24"/>
          <w:szCs w:val="24"/>
          <w:color w:val="auto"/>
        </w:rPr>
      </w:pPr>
    </w:p>
    <w:p>
      <w:pPr>
        <w:ind w:left="3700"/>
        <w:spacing w:after="0"/>
        <w:tabs>
          <w:tab w:leader="none" w:pos="7260" w:val="left"/>
        </w:tabs>
        <w:rPr>
          <w:sz w:val="20"/>
          <w:szCs w:val="20"/>
          <w:color w:val="auto"/>
        </w:rPr>
      </w:pPr>
      <w:r>
        <w:rPr>
          <w:rFonts w:ascii="Arial" w:cs="Arial" w:eastAsia="Arial" w:hAnsi="Arial"/>
          <w:sz w:val="20"/>
          <w:szCs w:val="20"/>
          <w:color w:val="auto"/>
        </w:rPr>
        <w:t>THE TRANSITION PERIOD FROM</w:t>
      </w:r>
      <w:r>
        <w:rPr>
          <w:sz w:val="20"/>
          <w:szCs w:val="20"/>
          <w:color w:val="auto"/>
        </w:rPr>
        <w:tab/>
      </w:r>
      <w:r>
        <w:rPr>
          <w:rFonts w:ascii="Arial" w:cs="Arial" w:eastAsia="Arial" w:hAnsi="Arial"/>
          <w:sz w:val="17"/>
          <w:szCs w:val="17"/>
          <w:color w:val="auto"/>
        </w:rPr>
        <w:t>TO</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001-40951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2442210</wp:posOffset>
            </wp:positionH>
            <wp:positionV relativeFrom="paragraph">
              <wp:posOffset>17145</wp:posOffset>
            </wp:positionV>
            <wp:extent cx="226695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6950" cy="647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PORTILLO'S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20"/>
          </w:cols>
          <w:pgMar w:left="320" w:top="1114" w:right="359" w:bottom="1440" w:gutter="0" w:footer="0" w:header="0"/>
        </w:sectPr>
      </w:pPr>
    </w:p>
    <w:p>
      <w:pPr>
        <w:spacing w:after="0" w:line="40"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84" w:lineRule="exact"/>
        <w:rPr>
          <w:sz w:val="24"/>
          <w:szCs w:val="24"/>
          <w:color w:val="auto"/>
        </w:rPr>
      </w:pPr>
    </w:p>
    <w:p>
      <w:pPr>
        <w:sectPr>
          <w:pgSz w:w="11900" w:h="16838" w:orient="portrait"/>
          <w:cols w:equalWidth="0" w:num="2">
            <w:col w:w="7280" w:space="720"/>
            <w:col w:w="3220"/>
          </w:cols>
          <w:pgMar w:left="320" w:top="1114" w:right="359" w:bottom="1440" w:gutter="0" w:footer="0" w:header="0"/>
          <w:type w:val="continuous"/>
        </w:sectPr>
      </w:pPr>
    </w:p>
    <w:p>
      <w:pPr>
        <w:ind w:left="10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54" w:lineRule="exact"/>
        <w:rPr>
          <w:sz w:val="24"/>
          <w:szCs w:val="24"/>
          <w:color w:val="auto"/>
        </w:rPr>
      </w:pPr>
    </w:p>
    <w:p>
      <w:pPr>
        <w:sectPr>
          <w:pgSz w:w="11900" w:h="16838" w:orient="portrait"/>
          <w:cols w:equalWidth="0" w:num="2">
            <w:col w:w="6640" w:space="720"/>
            <w:col w:w="3860"/>
          </w:cols>
          <w:pgMar w:left="320" w:top="1114" w:right="3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(630) 954-3773</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71"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20"/>
          </w:cols>
          <w:pgMar w:left="320" w:top="1114" w:right="359" w:bottom="1440" w:gutter="0" w:footer="0" w:header="0"/>
          <w:type w:val="continuous"/>
        </w:sectPr>
      </w:pPr>
    </w:p>
    <w:p>
      <w:pPr>
        <w:spacing w:after="0" w:line="58"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8" w:lineRule="exact"/>
        <w:rPr>
          <w:sz w:val="24"/>
          <w:szCs w:val="24"/>
          <w:color w:val="auto"/>
        </w:rPr>
      </w:pPr>
    </w:p>
    <w:p>
      <w:pPr>
        <w:sectPr>
          <w:pgSz w:w="11900" w:h="16838" w:orient="portrait"/>
          <w:cols w:equalWidth="0" w:num="3">
            <w:col w:w="4580" w:space="720"/>
            <w:col w:w="1220" w:space="720"/>
            <w:col w:w="3980"/>
          </w:cols>
          <w:pgMar w:left="320" w:top="1114" w:right="35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Nasdaq Global Select Market</w:t>
      </w:r>
    </w:p>
    <w:p>
      <w:pPr>
        <w:spacing w:after="0" w:line="211" w:lineRule="exact"/>
        <w:rPr>
          <w:sz w:val="24"/>
          <w:szCs w:val="24"/>
          <w:color w:val="auto"/>
        </w:rPr>
      </w:pPr>
    </w:p>
    <w:p>
      <w:pPr>
        <w:sectPr>
          <w:pgSz w:w="11900" w:h="16838" w:orient="portrait"/>
          <w:cols w:equalWidth="0" w:num="3">
            <w:col w:w="4960" w:space="720"/>
            <w:col w:w="1500" w:space="720"/>
            <w:col w:w="3320"/>
          </w:cols>
          <w:pgMar w:left="320" w:top="1114" w:right="359" w:bottom="1440" w:gutter="0" w:footer="0" w:header="0"/>
          <w:type w:val="continuous"/>
        </w:sectPr>
      </w:pPr>
    </w:p>
    <w:p>
      <w:pPr>
        <w:spacing w:after="0" w:line="166" w:lineRule="exact"/>
        <w:rPr>
          <w:sz w:val="24"/>
          <w:szCs w:val="24"/>
          <w:color w:val="auto"/>
        </w:rPr>
      </w:pPr>
    </w:p>
    <w:p>
      <w:pPr>
        <w:jc w:val="both"/>
        <w:spacing w:after="0" w:line="20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89" w:lineRule="exact"/>
        <w:rPr>
          <w:sz w:val="24"/>
          <w:szCs w:val="24"/>
          <w:color w:val="auto"/>
        </w:rPr>
      </w:pPr>
    </w:p>
    <w:p>
      <w:pPr>
        <w:ind w:right="60"/>
        <w:spacing w:after="0" w:line="283" w:lineRule="auto"/>
        <w:rPr>
          <w:sz w:val="20"/>
          <w:szCs w:val="20"/>
          <w:color w:val="auto"/>
        </w:rPr>
      </w:pPr>
      <w:r>
        <w:rPr>
          <w:rFonts w:ascii="Arial" w:cs="Arial" w:eastAsia="Arial" w:hAnsi="Arial"/>
          <w:sz w:val="16"/>
          <w:szCs w:val="16"/>
          <w:color w:val="auto"/>
        </w:rPr>
        <w:t>(Note: In the registrant’s last Quarterly Report on Form 10-Q filed on May 5, 2022, “No” was mistakenly marked when “Yes” should have been marked as it is above.)</w:t>
      </w:r>
    </w:p>
    <w:p>
      <w:pPr>
        <w:spacing w:after="0" w:line="183" w:lineRule="exact"/>
        <w:rPr>
          <w:sz w:val="24"/>
          <w:szCs w:val="24"/>
          <w:color w:val="auto"/>
        </w:rPr>
      </w:pPr>
    </w:p>
    <w:p>
      <w:pPr>
        <w:ind w:right="280"/>
        <w:spacing w:after="0" w:line="20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2" w:lineRule="exact"/>
        <w:rPr>
          <w:sz w:val="24"/>
          <w:szCs w:val="24"/>
          <w:color w:val="auto"/>
        </w:rPr>
      </w:pPr>
    </w:p>
    <w:p>
      <w:pPr>
        <w:ind w:right="20"/>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660" w:type="dxa"/>
        <w:tblCellMar>
          <w:top w:w="0" w:type="dxa"/>
          <w:left w:w="0" w:type="dxa"/>
          <w:bottom w:w="0" w:type="dxa"/>
          <w:right w:w="0" w:type="dxa"/>
        </w:tblCellMar>
      </w:tblPr>
      <w:tr>
        <w:trPr>
          <w:trHeight w:val="242"/>
        </w:trPr>
        <w:tc>
          <w:tcPr>
            <w:tcW w:w="2040" w:type="dxa"/>
            <w:vAlign w:val="bottom"/>
          </w:tcPr>
          <w:p>
            <w:pPr>
              <w:jc w:val="center"/>
              <w:ind w:right="379"/>
              <w:spacing w:after="0"/>
              <w:rPr>
                <w:sz w:val="20"/>
                <w:szCs w:val="20"/>
                <w:color w:val="auto"/>
              </w:rPr>
            </w:pPr>
            <w:r>
              <w:rPr>
                <w:rFonts w:ascii="Arial" w:cs="Arial" w:eastAsia="Arial" w:hAnsi="Arial"/>
                <w:sz w:val="16"/>
                <w:szCs w:val="16"/>
                <w:color w:val="auto"/>
                <w:w w:val="99"/>
              </w:rPr>
              <w:t>Large accelerated filer</w:t>
            </w:r>
          </w:p>
        </w:tc>
        <w:tc>
          <w:tcPr>
            <w:tcW w:w="17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jc w:val="center"/>
              <w:ind w:left="359"/>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2"/>
        </w:trPr>
        <w:tc>
          <w:tcPr>
            <w:tcW w:w="2040" w:type="dxa"/>
            <w:vAlign w:val="bottom"/>
          </w:tcPr>
          <w:p>
            <w:pPr>
              <w:jc w:val="center"/>
              <w:ind w:right="379"/>
              <w:spacing w:after="0"/>
              <w:rPr>
                <w:sz w:val="20"/>
                <w:szCs w:val="20"/>
                <w:color w:val="auto"/>
              </w:rPr>
            </w:pPr>
            <w:r>
              <w:rPr>
                <w:rFonts w:ascii="Arial" w:cs="Arial" w:eastAsia="Arial" w:hAnsi="Arial"/>
                <w:sz w:val="16"/>
                <w:szCs w:val="16"/>
                <w:color w:val="auto"/>
              </w:rPr>
              <w:t>Non-accelerated filer</w:t>
            </w:r>
          </w:p>
        </w:tc>
        <w:tc>
          <w:tcPr>
            <w:tcW w:w="17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jc w:val="center"/>
              <w:ind w:left="359"/>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800" w:type="dxa"/>
            <w:vAlign w:val="bottom"/>
          </w:tcPr>
          <w:p>
            <w:pPr>
              <w:jc w:val="center"/>
              <w:ind w:left="359"/>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1" w:lineRule="exact"/>
        <w:rPr>
          <w:sz w:val="24"/>
          <w:szCs w:val="24"/>
          <w:color w:val="auto"/>
        </w:rPr>
      </w:pPr>
    </w:p>
    <w:p>
      <w:pPr>
        <w:ind w:right="18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610235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1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6" w:lineRule="exact"/>
        <w:rPr>
          <w:sz w:val="20"/>
          <w:szCs w:val="20"/>
          <w:color w:val="auto"/>
        </w:rPr>
      </w:pPr>
    </w:p>
    <w:p>
      <w:pPr>
        <w:ind w:left="5280" w:hanging="372"/>
        <w:spacing w:after="0" w:line="184" w:lineRule="exact"/>
        <w:tabs>
          <w:tab w:leader="none" w:pos="52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 of July 26, 2022, there were 36,218,355 shares of the registrant's Class A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466090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280"/>
          </w:cols>
          <w:pgMar w:left="320" w:top="770"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41404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20320</wp:posOffset>
            </wp:positionV>
            <wp:extent cx="5931535" cy="323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31535"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Cautionary Note Regarding Forward-Looking Information</w:t>
            </w:r>
          </w:p>
        </w:tc>
        <w:tc>
          <w:tcPr>
            <w:tcW w:w="720" w:type="dxa"/>
            <w:vAlign w:val="bottom"/>
            <w:gridSpan w:val="2"/>
          </w:tcPr>
          <w:p>
            <w:pPr>
              <w:jc w:val="right"/>
              <w:ind w:right="620"/>
              <w:spacing w:after="0"/>
              <w:rPr>
                <w:sz w:val="20"/>
                <w:szCs w:val="20"/>
                <w:color w:val="auto"/>
              </w:rPr>
            </w:pPr>
            <w:r>
              <w:rPr>
                <w:rFonts w:ascii="Arial" w:cs="Arial" w:eastAsia="Arial" w:hAnsi="Arial"/>
                <w:sz w:val="18"/>
                <w:szCs w:val="18"/>
                <w:color w:val="auto"/>
                <w:w w:val="79"/>
              </w:rPr>
              <w:t>1</w:t>
            </w:r>
          </w:p>
        </w:tc>
      </w:tr>
      <w:tr>
        <w:trPr>
          <w:trHeight w:val="47"/>
        </w:trPr>
        <w:tc>
          <w:tcPr>
            <w:tcW w:w="20" w:type="dxa"/>
            <w:vAlign w:val="bottom"/>
          </w:tcPr>
          <w:p>
            <w:pPr>
              <w:spacing w:after="0"/>
              <w:rPr>
                <w:sz w:val="4"/>
                <w:szCs w:val="4"/>
                <w:color w:val="auto"/>
              </w:rPr>
            </w:pPr>
          </w:p>
        </w:tc>
        <w:tc>
          <w:tcPr>
            <w:tcW w:w="4860" w:type="dxa"/>
            <w:vAlign w:val="bottom"/>
            <w:tcBorders>
              <w:top w:val="single" w:sz="8" w:color="auto"/>
            </w:tcBorders>
          </w:tcPr>
          <w:p>
            <w:pPr>
              <w:spacing w:after="0"/>
              <w:rPr>
                <w:sz w:val="4"/>
                <w:szCs w:val="4"/>
                <w:color w:val="auto"/>
              </w:rPr>
            </w:pPr>
          </w:p>
        </w:tc>
        <w:tc>
          <w:tcPr>
            <w:tcW w:w="56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r>
      <w:tr>
        <w:trPr>
          <w:trHeight w:val="268"/>
        </w:trPr>
        <w:tc>
          <w:tcPr>
            <w:tcW w:w="20" w:type="dxa"/>
            <w:vAlign w:val="bottom"/>
            <w:shd w:val="clear" w:color="auto" w:fill="DBDBDB"/>
          </w:tcPr>
          <w:p>
            <w:pPr>
              <w:spacing w:after="0"/>
              <w:rPr>
                <w:sz w:val="23"/>
                <w:szCs w:val="23"/>
                <w:color w:val="auto"/>
              </w:rPr>
            </w:pPr>
          </w:p>
        </w:tc>
        <w:tc>
          <w:tcPr>
            <w:tcW w:w="4860" w:type="dxa"/>
            <w:vAlign w:val="bottom"/>
            <w:shd w:val="clear" w:color="auto" w:fill="DBDBDB"/>
          </w:tcPr>
          <w:p>
            <w:pPr>
              <w:spacing w:after="0"/>
              <w:rPr>
                <w:sz w:val="23"/>
                <w:szCs w:val="23"/>
                <w:color w:val="auto"/>
              </w:rPr>
            </w:pPr>
          </w:p>
        </w:tc>
        <w:tc>
          <w:tcPr>
            <w:tcW w:w="56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80" w:type="dxa"/>
            <w:vAlign w:val="bottom"/>
            <w:gridSpan w:val="2"/>
          </w:tcPr>
          <w:p>
            <w:pPr>
              <w:spacing w:after="0" w:line="215" w:lineRule="exact"/>
              <w:rPr>
                <w:sz w:val="20"/>
                <w:szCs w:val="20"/>
                <w:color w:val="auto"/>
              </w:rPr>
            </w:pPr>
            <w:r>
              <w:rPr>
                <w:rFonts w:ascii="Arial" w:cs="Arial" w:eastAsia="Arial" w:hAnsi="Arial"/>
                <w:sz w:val="20"/>
                <w:szCs w:val="20"/>
                <w:b w:val="1"/>
                <w:bCs w:val="1"/>
                <w:color w:val="auto"/>
              </w:rPr>
              <w:t>Part I</w:t>
            </w:r>
          </w:p>
        </w:tc>
        <w:tc>
          <w:tcPr>
            <w:tcW w:w="8740" w:type="dxa"/>
            <w:vAlign w:val="bottom"/>
            <w:gridSpan w:val="15"/>
          </w:tcPr>
          <w:p>
            <w:pPr>
              <w:spacing w:after="0" w:line="215" w:lineRule="exact"/>
              <w:rPr>
                <w:sz w:val="20"/>
                <w:szCs w:val="20"/>
                <w:color w:val="auto"/>
              </w:rPr>
            </w:pPr>
            <w:r>
              <w:rPr>
                <w:rFonts w:ascii="Arial" w:cs="Arial" w:eastAsia="Arial" w:hAnsi="Arial"/>
                <w:sz w:val="20"/>
                <w:szCs w:val="20"/>
                <w:b w:val="1"/>
                <w:bCs w:val="1"/>
                <w:color w:val="auto"/>
              </w:rPr>
              <w:t>Financial Information</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line="201" w:lineRule="exact"/>
              <w:rPr>
                <w:sz w:val="20"/>
                <w:szCs w:val="20"/>
                <w:color w:val="auto"/>
              </w:rPr>
            </w:pPr>
            <w:r>
              <w:rPr>
                <w:rFonts w:ascii="Arial" w:cs="Arial" w:eastAsia="Arial" w:hAnsi="Arial"/>
                <w:sz w:val="18"/>
                <w:szCs w:val="18"/>
                <w:color w:val="auto"/>
                <w:w w:val="98"/>
              </w:rPr>
              <w:t>Item 1.</w:t>
            </w:r>
          </w:p>
        </w:tc>
        <w:tc>
          <w:tcPr>
            <w:tcW w:w="220" w:type="dxa"/>
            <w:vAlign w:val="bottom"/>
            <w:shd w:val="clear" w:color="auto" w:fill="DBDBDB"/>
          </w:tcPr>
          <w:p>
            <w:pPr>
              <w:spacing w:after="0"/>
              <w:rPr>
                <w:sz w:val="17"/>
                <w:szCs w:val="17"/>
                <w:color w:val="auto"/>
              </w:rPr>
            </w:pPr>
          </w:p>
        </w:tc>
        <w:tc>
          <w:tcPr>
            <w:tcW w:w="7960" w:type="dxa"/>
            <w:vAlign w:val="bottom"/>
            <w:gridSpan w:val="13"/>
            <w:shd w:val="clear" w:color="auto" w:fill="DBDBDB"/>
          </w:tcPr>
          <w:p>
            <w:pPr>
              <w:ind w:left="220"/>
              <w:spacing w:after="0" w:line="201" w:lineRule="exact"/>
              <w:rPr>
                <w:sz w:val="20"/>
                <w:szCs w:val="20"/>
                <w:color w:val="auto"/>
              </w:rPr>
            </w:pPr>
            <w:r>
              <w:rPr>
                <w:rFonts w:ascii="Arial" w:cs="Arial" w:eastAsia="Arial" w:hAnsi="Arial"/>
                <w:sz w:val="18"/>
                <w:szCs w:val="18"/>
                <w:color w:val="auto"/>
              </w:rPr>
              <w:t>Financial Statements (Unaudited)</w:t>
            </w:r>
          </w:p>
        </w:tc>
        <w:tc>
          <w:tcPr>
            <w:tcW w:w="920" w:type="dxa"/>
            <w:vAlign w:val="bottom"/>
            <w:gridSpan w:val="4"/>
            <w:shd w:val="clear" w:color="auto" w:fill="DBDBDB"/>
          </w:tcPr>
          <w:p>
            <w:pPr>
              <w:jc w:val="center"/>
              <w:ind w:left="651"/>
              <w:spacing w:after="0" w:line="201" w:lineRule="exact"/>
              <w:rPr>
                <w:sz w:val="20"/>
                <w:szCs w:val="20"/>
                <w:color w:val="auto"/>
              </w:rPr>
            </w:pPr>
            <w:r>
              <w:rPr>
                <w:rFonts w:ascii="Arial" w:cs="Arial" w:eastAsia="Arial" w:hAnsi="Arial"/>
                <w:sz w:val="18"/>
                <w:szCs w:val="18"/>
                <w:color w:val="auto"/>
                <w:w w:val="99"/>
              </w:rPr>
              <w:t>3</w:t>
            </w:r>
          </w:p>
        </w:tc>
        <w:tc>
          <w:tcPr>
            <w:tcW w:w="580" w:type="dxa"/>
            <w:vAlign w:val="bottom"/>
            <w:shd w:val="clear" w:color="auto" w:fill="DBDBDB"/>
          </w:tcPr>
          <w:p>
            <w:pPr>
              <w:spacing w:after="0"/>
              <w:rPr>
                <w:sz w:val="17"/>
                <w:szCs w:val="17"/>
                <w:color w:val="auto"/>
              </w:rPr>
            </w:pP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gridSpan w:val="12"/>
          </w:tcPr>
          <w:p>
            <w:pPr>
              <w:ind w:left="100"/>
              <w:spacing w:after="0" w:line="201" w:lineRule="exact"/>
              <w:rPr>
                <w:sz w:val="20"/>
                <w:szCs w:val="20"/>
                <w:color w:val="auto"/>
              </w:rPr>
            </w:pPr>
            <w:r>
              <w:rPr>
                <w:rFonts w:ascii="Arial" w:cs="Arial" w:eastAsia="Arial" w:hAnsi="Arial"/>
                <w:sz w:val="18"/>
                <w:szCs w:val="18"/>
                <w:color w:val="auto"/>
              </w:rPr>
              <w:t>Condensed Consolidated Balance Sheets</w:t>
            </w:r>
          </w:p>
        </w:tc>
        <w:tc>
          <w:tcPr>
            <w:tcW w:w="920" w:type="dxa"/>
            <w:vAlign w:val="bottom"/>
            <w:gridSpan w:val="4"/>
          </w:tcPr>
          <w:p>
            <w:pPr>
              <w:jc w:val="center"/>
              <w:ind w:left="651"/>
              <w:spacing w:after="0" w:line="201" w:lineRule="exact"/>
              <w:rPr>
                <w:sz w:val="20"/>
                <w:szCs w:val="20"/>
                <w:color w:val="auto"/>
              </w:rPr>
            </w:pPr>
            <w:r>
              <w:rPr>
                <w:rFonts w:ascii="Arial" w:cs="Arial" w:eastAsia="Arial" w:hAnsi="Arial"/>
                <w:sz w:val="18"/>
                <w:szCs w:val="18"/>
                <w:color w:val="auto"/>
                <w:w w:val="99"/>
              </w:rPr>
              <w:t>3</w:t>
            </w:r>
          </w:p>
        </w:tc>
        <w:tc>
          <w:tcPr>
            <w:tcW w:w="58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100" w:type="dxa"/>
            <w:vAlign w:val="bottom"/>
            <w:gridSpan w:val="5"/>
            <w:shd w:val="clear" w:color="auto" w:fill="DBDBDB"/>
          </w:tcPr>
          <w:p>
            <w:pPr>
              <w:spacing w:after="0" w:line="201" w:lineRule="exact"/>
              <w:rPr>
                <w:sz w:val="20"/>
                <w:szCs w:val="20"/>
                <w:color w:val="auto"/>
              </w:rPr>
            </w:pPr>
            <w:r>
              <w:rPr>
                <w:rFonts w:ascii="Arial" w:cs="Arial" w:eastAsia="Arial" w:hAnsi="Arial"/>
                <w:sz w:val="18"/>
                <w:szCs w:val="18"/>
                <w:color w:val="auto"/>
                <w:w w:val="99"/>
              </w:rPr>
              <w:t>Condensed Consolidated Statements of Operations</w:t>
            </w:r>
          </w:p>
        </w:tc>
        <w:tc>
          <w:tcPr>
            <w:tcW w:w="3540" w:type="dxa"/>
            <w:vAlign w:val="bottom"/>
            <w:gridSpan w:val="6"/>
            <w:shd w:val="clear" w:color="auto" w:fill="DBDBDB"/>
          </w:tcPr>
          <w:p>
            <w:pPr>
              <w:spacing w:after="0"/>
              <w:rPr>
                <w:sz w:val="17"/>
                <w:szCs w:val="17"/>
                <w:color w:val="auto"/>
              </w:rPr>
            </w:pPr>
          </w:p>
        </w:tc>
        <w:tc>
          <w:tcPr>
            <w:tcW w:w="920" w:type="dxa"/>
            <w:vAlign w:val="bottom"/>
            <w:gridSpan w:val="4"/>
            <w:shd w:val="clear" w:color="auto" w:fill="DBDBDB"/>
          </w:tcPr>
          <w:p>
            <w:pPr>
              <w:jc w:val="center"/>
              <w:ind w:left="651"/>
              <w:spacing w:after="0" w:line="201" w:lineRule="exact"/>
              <w:rPr>
                <w:sz w:val="20"/>
                <w:szCs w:val="20"/>
                <w:color w:val="auto"/>
              </w:rPr>
            </w:pPr>
            <w:r>
              <w:rPr>
                <w:rFonts w:ascii="Arial" w:cs="Arial" w:eastAsia="Arial" w:hAnsi="Arial"/>
                <w:sz w:val="18"/>
                <w:szCs w:val="18"/>
                <w:color w:val="auto"/>
                <w:w w:val="99"/>
              </w:rPr>
              <w:t>4</w:t>
            </w:r>
          </w:p>
        </w:tc>
        <w:tc>
          <w:tcPr>
            <w:tcW w:w="580" w:type="dxa"/>
            <w:vAlign w:val="bottom"/>
            <w:shd w:val="clear" w:color="auto" w:fill="DBDBDB"/>
          </w:tcPr>
          <w:p>
            <w:pPr>
              <w:spacing w:after="0"/>
              <w:rPr>
                <w:sz w:val="17"/>
                <w:szCs w:val="17"/>
                <w:color w:val="auto"/>
              </w:rPr>
            </w:pP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40" w:type="dxa"/>
            <w:vAlign w:val="bottom"/>
            <w:gridSpan w:val="11"/>
          </w:tcPr>
          <w:p>
            <w:pPr>
              <w:spacing w:after="0" w:line="201" w:lineRule="exact"/>
              <w:rPr>
                <w:sz w:val="20"/>
                <w:szCs w:val="20"/>
                <w:color w:val="auto"/>
              </w:rPr>
            </w:pPr>
            <w:r>
              <w:rPr>
                <w:rFonts w:ascii="Arial" w:cs="Arial" w:eastAsia="Arial" w:hAnsi="Arial"/>
                <w:sz w:val="18"/>
                <w:szCs w:val="18"/>
                <w:color w:val="auto"/>
              </w:rPr>
              <w:t>Condensed Consolidated Statements of Stockholders' and Members' Equity</w:t>
            </w:r>
          </w:p>
        </w:tc>
        <w:tc>
          <w:tcPr>
            <w:tcW w:w="920" w:type="dxa"/>
            <w:vAlign w:val="bottom"/>
            <w:gridSpan w:val="4"/>
          </w:tcPr>
          <w:p>
            <w:pPr>
              <w:jc w:val="center"/>
              <w:ind w:left="651"/>
              <w:spacing w:after="0" w:line="201" w:lineRule="exact"/>
              <w:rPr>
                <w:sz w:val="20"/>
                <w:szCs w:val="20"/>
                <w:color w:val="auto"/>
              </w:rPr>
            </w:pPr>
            <w:r>
              <w:rPr>
                <w:rFonts w:ascii="Arial" w:cs="Arial" w:eastAsia="Arial" w:hAnsi="Arial"/>
                <w:sz w:val="18"/>
                <w:szCs w:val="18"/>
                <w:color w:val="auto"/>
                <w:w w:val="99"/>
              </w:rPr>
              <w:t>5</w:t>
            </w:r>
          </w:p>
        </w:tc>
        <w:tc>
          <w:tcPr>
            <w:tcW w:w="58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160" w:type="dxa"/>
            <w:vAlign w:val="bottom"/>
            <w:gridSpan w:val="6"/>
            <w:shd w:val="clear" w:color="auto" w:fill="DBDBDB"/>
          </w:tcPr>
          <w:p>
            <w:pPr>
              <w:spacing w:after="0" w:line="201" w:lineRule="exact"/>
              <w:rPr>
                <w:sz w:val="20"/>
                <w:szCs w:val="20"/>
                <w:color w:val="auto"/>
              </w:rPr>
            </w:pPr>
            <w:r>
              <w:rPr>
                <w:rFonts w:ascii="Arial" w:cs="Arial" w:eastAsia="Arial" w:hAnsi="Arial"/>
                <w:sz w:val="18"/>
                <w:szCs w:val="18"/>
                <w:color w:val="auto"/>
                <w:w w:val="99"/>
              </w:rPr>
              <w:t>Condensed Consolidated Statements of Cash Flows</w:t>
            </w:r>
          </w:p>
        </w:tc>
        <w:tc>
          <w:tcPr>
            <w:tcW w:w="3480" w:type="dxa"/>
            <w:vAlign w:val="bottom"/>
            <w:gridSpan w:val="5"/>
            <w:shd w:val="clear" w:color="auto" w:fill="DBDBDB"/>
          </w:tcPr>
          <w:p>
            <w:pPr>
              <w:spacing w:after="0"/>
              <w:rPr>
                <w:sz w:val="17"/>
                <w:szCs w:val="17"/>
                <w:color w:val="auto"/>
              </w:rPr>
            </w:pPr>
          </w:p>
        </w:tc>
        <w:tc>
          <w:tcPr>
            <w:tcW w:w="920" w:type="dxa"/>
            <w:vAlign w:val="bottom"/>
            <w:gridSpan w:val="4"/>
            <w:shd w:val="clear" w:color="auto" w:fill="DBDBDB"/>
          </w:tcPr>
          <w:p>
            <w:pPr>
              <w:jc w:val="center"/>
              <w:ind w:left="651"/>
              <w:spacing w:after="0" w:line="201" w:lineRule="exact"/>
              <w:rPr>
                <w:sz w:val="20"/>
                <w:szCs w:val="20"/>
                <w:color w:val="auto"/>
              </w:rPr>
            </w:pPr>
            <w:r>
              <w:rPr>
                <w:rFonts w:ascii="Arial" w:cs="Arial" w:eastAsia="Arial" w:hAnsi="Arial"/>
                <w:sz w:val="18"/>
                <w:szCs w:val="18"/>
                <w:color w:val="auto"/>
                <w:w w:val="99"/>
              </w:rPr>
              <w:t>7</w:t>
            </w:r>
          </w:p>
        </w:tc>
        <w:tc>
          <w:tcPr>
            <w:tcW w:w="580" w:type="dxa"/>
            <w:vAlign w:val="bottom"/>
            <w:shd w:val="clear" w:color="auto" w:fill="DBDBDB"/>
          </w:tcPr>
          <w:p>
            <w:pPr>
              <w:spacing w:after="0"/>
              <w:rPr>
                <w:sz w:val="17"/>
                <w:szCs w:val="17"/>
                <w:color w:val="auto"/>
              </w:rPr>
            </w:pP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40" w:type="dxa"/>
            <w:vAlign w:val="bottom"/>
            <w:gridSpan w:val="11"/>
          </w:tcPr>
          <w:p>
            <w:pPr>
              <w:spacing w:after="0" w:line="201" w:lineRule="exact"/>
              <w:rPr>
                <w:sz w:val="20"/>
                <w:szCs w:val="20"/>
                <w:color w:val="auto"/>
              </w:rPr>
            </w:pPr>
            <w:r>
              <w:rPr>
                <w:rFonts w:ascii="Arial" w:cs="Arial" w:eastAsia="Arial" w:hAnsi="Arial"/>
                <w:sz w:val="18"/>
                <w:szCs w:val="18"/>
                <w:color w:val="auto"/>
              </w:rPr>
              <w:t>Notes to Condensed Consolidated Financial Statements</w:t>
            </w:r>
          </w:p>
        </w:tc>
        <w:tc>
          <w:tcPr>
            <w:tcW w:w="920" w:type="dxa"/>
            <w:vAlign w:val="bottom"/>
            <w:gridSpan w:val="4"/>
          </w:tcPr>
          <w:p>
            <w:pPr>
              <w:jc w:val="center"/>
              <w:ind w:left="651"/>
              <w:spacing w:after="0" w:line="201" w:lineRule="exact"/>
              <w:rPr>
                <w:sz w:val="20"/>
                <w:szCs w:val="20"/>
                <w:color w:val="auto"/>
              </w:rPr>
            </w:pPr>
            <w:r>
              <w:rPr>
                <w:rFonts w:ascii="Arial" w:cs="Arial" w:eastAsia="Arial" w:hAnsi="Arial"/>
                <w:sz w:val="18"/>
                <w:szCs w:val="18"/>
                <w:color w:val="auto"/>
                <w:w w:val="99"/>
              </w:rPr>
              <w:t>9</w:t>
            </w:r>
          </w:p>
        </w:tc>
        <w:tc>
          <w:tcPr>
            <w:tcW w:w="580" w:type="dxa"/>
            <w:vAlign w:val="bottom"/>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line="201" w:lineRule="exact"/>
              <w:rPr>
                <w:sz w:val="20"/>
                <w:szCs w:val="20"/>
                <w:color w:val="auto"/>
              </w:rPr>
            </w:pPr>
            <w:r>
              <w:rPr>
                <w:rFonts w:ascii="Arial" w:cs="Arial" w:eastAsia="Arial" w:hAnsi="Arial"/>
                <w:sz w:val="18"/>
                <w:szCs w:val="18"/>
                <w:color w:val="auto"/>
                <w:w w:val="98"/>
              </w:rPr>
              <w:t>Item 2.</w:t>
            </w:r>
          </w:p>
        </w:tc>
        <w:tc>
          <w:tcPr>
            <w:tcW w:w="220" w:type="dxa"/>
            <w:vAlign w:val="bottom"/>
            <w:shd w:val="clear" w:color="auto" w:fill="DBDBDB"/>
          </w:tcPr>
          <w:p>
            <w:pPr>
              <w:spacing w:after="0"/>
              <w:rPr>
                <w:sz w:val="17"/>
                <w:szCs w:val="17"/>
                <w:color w:val="auto"/>
              </w:rPr>
            </w:pPr>
          </w:p>
        </w:tc>
        <w:tc>
          <w:tcPr>
            <w:tcW w:w="7960" w:type="dxa"/>
            <w:vAlign w:val="bottom"/>
            <w:gridSpan w:val="13"/>
            <w:shd w:val="clear" w:color="auto" w:fill="DBDBDB"/>
          </w:tcPr>
          <w:p>
            <w:pPr>
              <w:ind w:left="220"/>
              <w:spacing w:after="0" w:line="201"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500" w:type="dxa"/>
            <w:vAlign w:val="bottom"/>
            <w:gridSpan w:val="5"/>
            <w:shd w:val="clear" w:color="auto" w:fill="DBDBDB"/>
          </w:tcPr>
          <w:p>
            <w:pPr>
              <w:jc w:val="center"/>
              <w:ind w:left="51"/>
              <w:spacing w:after="0" w:line="201" w:lineRule="exact"/>
              <w:rPr>
                <w:sz w:val="20"/>
                <w:szCs w:val="20"/>
                <w:color w:val="auto"/>
              </w:rPr>
            </w:pPr>
            <w:r>
              <w:rPr>
                <w:rFonts w:ascii="Arial" w:cs="Arial" w:eastAsia="Arial" w:hAnsi="Arial"/>
                <w:sz w:val="18"/>
                <w:szCs w:val="18"/>
                <w:color w:val="auto"/>
                <w:w w:val="99"/>
              </w:rPr>
              <w:t>22</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42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w w:val="98"/>
              </w:rPr>
              <w:t>Item 3.</w:t>
            </w:r>
          </w:p>
        </w:tc>
        <w:tc>
          <w:tcPr>
            <w:tcW w:w="220" w:type="dxa"/>
            <w:vAlign w:val="bottom"/>
          </w:tcPr>
          <w:p>
            <w:pPr>
              <w:spacing w:after="0"/>
              <w:rPr>
                <w:sz w:val="17"/>
                <w:szCs w:val="17"/>
                <w:color w:val="auto"/>
              </w:rPr>
            </w:pPr>
          </w:p>
        </w:tc>
        <w:tc>
          <w:tcPr>
            <w:tcW w:w="7960" w:type="dxa"/>
            <w:vAlign w:val="bottom"/>
            <w:gridSpan w:val="13"/>
          </w:tcPr>
          <w:p>
            <w:pPr>
              <w:ind w:left="220"/>
              <w:spacing w:after="0" w:line="201" w:lineRule="exact"/>
              <w:rPr>
                <w:sz w:val="20"/>
                <w:szCs w:val="20"/>
                <w:color w:val="auto"/>
              </w:rPr>
            </w:pPr>
            <w:r>
              <w:rPr>
                <w:rFonts w:ascii="Arial" w:cs="Arial" w:eastAsia="Arial" w:hAnsi="Arial"/>
                <w:sz w:val="18"/>
                <w:szCs w:val="18"/>
                <w:color w:val="auto"/>
              </w:rPr>
              <w:t>Quantitative and Qualitative Disclosures About Market Risk</w:t>
            </w:r>
          </w:p>
        </w:tc>
        <w:tc>
          <w:tcPr>
            <w:tcW w:w="1500" w:type="dxa"/>
            <w:vAlign w:val="bottom"/>
            <w:gridSpan w:val="5"/>
          </w:tcPr>
          <w:p>
            <w:pPr>
              <w:jc w:val="center"/>
              <w:ind w:left="51"/>
              <w:spacing w:after="0" w:line="201" w:lineRule="exact"/>
              <w:rPr>
                <w:sz w:val="20"/>
                <w:szCs w:val="20"/>
                <w:color w:val="auto"/>
              </w:rPr>
            </w:pPr>
            <w:r>
              <w:rPr>
                <w:rFonts w:ascii="Arial" w:cs="Arial" w:eastAsia="Arial" w:hAnsi="Arial"/>
                <w:sz w:val="18"/>
                <w:szCs w:val="18"/>
                <w:color w:val="auto"/>
                <w:w w:val="99"/>
              </w:rPr>
              <w:t>35</w:t>
            </w:r>
          </w:p>
        </w:tc>
      </w:tr>
      <w:tr>
        <w:trPr>
          <w:trHeight w:val="47"/>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780" w:type="dxa"/>
            <w:vAlign w:val="bottom"/>
            <w:gridSpan w:val="2"/>
            <w:shd w:val="clear" w:color="auto" w:fill="DBDBDB"/>
          </w:tcPr>
          <w:p>
            <w:pPr>
              <w:spacing w:after="0" w:line="201" w:lineRule="exact"/>
              <w:rPr>
                <w:sz w:val="20"/>
                <w:szCs w:val="20"/>
                <w:color w:val="auto"/>
              </w:rPr>
            </w:pPr>
            <w:r>
              <w:rPr>
                <w:rFonts w:ascii="Arial" w:cs="Arial" w:eastAsia="Arial" w:hAnsi="Arial"/>
                <w:sz w:val="18"/>
                <w:szCs w:val="18"/>
                <w:color w:val="auto"/>
              </w:rPr>
              <w:t>Item 4.</w:t>
            </w:r>
          </w:p>
        </w:tc>
        <w:tc>
          <w:tcPr>
            <w:tcW w:w="7960" w:type="dxa"/>
            <w:vAlign w:val="bottom"/>
            <w:gridSpan w:val="13"/>
            <w:shd w:val="clear" w:color="auto" w:fill="DBDBDB"/>
          </w:tcPr>
          <w:p>
            <w:pPr>
              <w:ind w:left="220"/>
              <w:spacing w:after="0" w:line="201" w:lineRule="exact"/>
              <w:rPr>
                <w:sz w:val="20"/>
                <w:szCs w:val="20"/>
                <w:color w:val="auto"/>
              </w:rPr>
            </w:pPr>
            <w:r>
              <w:rPr>
                <w:rFonts w:ascii="Arial" w:cs="Arial" w:eastAsia="Arial" w:hAnsi="Arial"/>
                <w:sz w:val="18"/>
                <w:szCs w:val="18"/>
                <w:color w:val="auto"/>
              </w:rPr>
              <w:t>Controls and Procedures</w:t>
            </w:r>
          </w:p>
        </w:tc>
        <w:tc>
          <w:tcPr>
            <w:tcW w:w="1500" w:type="dxa"/>
            <w:vAlign w:val="bottom"/>
            <w:gridSpan w:val="5"/>
            <w:shd w:val="clear" w:color="auto" w:fill="DBDBDB"/>
          </w:tcPr>
          <w:p>
            <w:pPr>
              <w:jc w:val="center"/>
              <w:ind w:left="51"/>
              <w:spacing w:after="0" w:line="201" w:lineRule="exact"/>
              <w:rPr>
                <w:sz w:val="20"/>
                <w:szCs w:val="20"/>
                <w:color w:val="auto"/>
              </w:rPr>
            </w:pPr>
            <w:r>
              <w:rPr>
                <w:rFonts w:ascii="Arial" w:cs="Arial" w:eastAsia="Arial" w:hAnsi="Arial"/>
                <w:sz w:val="18"/>
                <w:szCs w:val="18"/>
                <w:color w:val="auto"/>
                <w:w w:val="99"/>
              </w:rPr>
              <w:t>35</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42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bl>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DBDBDB"/>
          </w:tcPr>
          <w:p>
            <w:pPr>
              <w:spacing w:after="0"/>
              <w:rPr>
                <w:sz w:val="19"/>
                <w:szCs w:val="19"/>
                <w:color w:val="auto"/>
              </w:rPr>
            </w:pPr>
          </w:p>
        </w:tc>
        <w:tc>
          <w:tcPr>
            <w:tcW w:w="980" w:type="dxa"/>
            <w:vAlign w:val="bottom"/>
            <w:gridSpan w:val="2"/>
            <w:shd w:val="clear" w:color="auto" w:fill="DBDBDB"/>
          </w:tcPr>
          <w:p>
            <w:pPr>
              <w:spacing w:after="0"/>
              <w:rPr>
                <w:sz w:val="20"/>
                <w:szCs w:val="20"/>
                <w:color w:val="auto"/>
              </w:rPr>
            </w:pPr>
            <w:r>
              <w:rPr>
                <w:rFonts w:ascii="Arial" w:cs="Arial" w:eastAsia="Arial" w:hAnsi="Arial"/>
                <w:sz w:val="20"/>
                <w:szCs w:val="20"/>
                <w:b w:val="1"/>
                <w:bCs w:val="1"/>
                <w:color w:val="auto"/>
              </w:rPr>
              <w:t>Part II</w:t>
            </w:r>
          </w:p>
        </w:tc>
        <w:tc>
          <w:tcPr>
            <w:tcW w:w="7640" w:type="dxa"/>
            <w:vAlign w:val="bottom"/>
            <w:gridSpan w:val="14"/>
            <w:shd w:val="clear" w:color="auto" w:fill="DBDBDB"/>
          </w:tcPr>
          <w:p>
            <w:pPr>
              <w:spacing w:after="0"/>
              <w:rPr>
                <w:sz w:val="20"/>
                <w:szCs w:val="20"/>
                <w:color w:val="auto"/>
              </w:rPr>
            </w:pPr>
            <w:r>
              <w:rPr>
                <w:rFonts w:ascii="Arial" w:cs="Arial" w:eastAsia="Arial" w:hAnsi="Arial"/>
                <w:sz w:val="20"/>
                <w:szCs w:val="20"/>
                <w:b w:val="1"/>
                <w:bCs w:val="1"/>
                <w:color w:val="auto"/>
              </w:rPr>
              <w:t>Other Information</w:t>
            </w:r>
          </w:p>
        </w:tc>
        <w:tc>
          <w:tcPr>
            <w:tcW w:w="18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4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120" w:type="dxa"/>
            <w:vAlign w:val="bottom"/>
            <w:tcBorders>
              <w:top w:val="single" w:sz="8" w:color="auto"/>
            </w:tcBorders>
            <w:shd w:val="clear" w:color="auto" w:fill="DBDBDB"/>
          </w:tcPr>
          <w:p>
            <w:pPr>
              <w:spacing w:after="0"/>
              <w:rPr>
                <w:sz w:val="5"/>
                <w:szCs w:val="5"/>
                <w:color w:val="auto"/>
              </w:rPr>
            </w:pPr>
          </w:p>
        </w:tc>
        <w:tc>
          <w:tcPr>
            <w:tcW w:w="180" w:type="dxa"/>
            <w:vAlign w:val="bottom"/>
            <w:tcBorders>
              <w:top w:val="single" w:sz="8" w:color="auto"/>
            </w:tcBorders>
            <w:shd w:val="clear" w:color="auto" w:fill="DBDBDB"/>
          </w:tcPr>
          <w:p>
            <w:pPr>
              <w:spacing w:after="0"/>
              <w:rPr>
                <w:sz w:val="5"/>
                <w:szCs w:val="5"/>
                <w:color w:val="auto"/>
              </w:rPr>
            </w:pPr>
          </w:p>
        </w:tc>
        <w:tc>
          <w:tcPr>
            <w:tcW w:w="60" w:type="dxa"/>
            <w:vAlign w:val="bottom"/>
            <w:tcBorders>
              <w:top w:val="single" w:sz="8" w:color="auto"/>
            </w:tcBorders>
            <w:shd w:val="clear" w:color="auto" w:fill="DBDBDB"/>
          </w:tcPr>
          <w:p>
            <w:pPr>
              <w:spacing w:after="0"/>
              <w:rPr>
                <w:sz w:val="5"/>
                <w:szCs w:val="5"/>
                <w:color w:val="auto"/>
              </w:rPr>
            </w:pPr>
          </w:p>
        </w:tc>
        <w:tc>
          <w:tcPr>
            <w:tcW w:w="80" w:type="dxa"/>
            <w:vAlign w:val="bottom"/>
            <w:tcBorders>
              <w:top w:val="single" w:sz="8" w:color="auto"/>
            </w:tcBorders>
            <w:shd w:val="clear" w:color="auto" w:fill="DBDBDB"/>
          </w:tcPr>
          <w:p>
            <w:pPr>
              <w:spacing w:after="0"/>
              <w:rPr>
                <w:sz w:val="5"/>
                <w:szCs w:val="5"/>
                <w:color w:val="auto"/>
              </w:rPr>
            </w:pPr>
          </w:p>
        </w:tc>
        <w:tc>
          <w:tcPr>
            <w:tcW w:w="62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2280" w:type="dxa"/>
            <w:vAlign w:val="bottom"/>
            <w:tcBorders>
              <w:top w:val="single" w:sz="8" w:color="DBDBDB"/>
            </w:tcBorders>
            <w:shd w:val="clear" w:color="auto" w:fill="DBDBDB"/>
          </w:tcPr>
          <w:p>
            <w:pPr>
              <w:spacing w:after="0"/>
              <w:rPr>
                <w:sz w:val="5"/>
                <w:szCs w:val="5"/>
                <w:color w:val="auto"/>
              </w:rPr>
            </w:pPr>
          </w:p>
        </w:tc>
        <w:tc>
          <w:tcPr>
            <w:tcW w:w="1820" w:type="dxa"/>
            <w:vAlign w:val="bottom"/>
            <w:tcBorders>
              <w:top w:val="single" w:sz="8" w:color="DBDBDB"/>
            </w:tcBorders>
            <w:shd w:val="clear" w:color="auto" w:fill="DBDBDB"/>
          </w:tcPr>
          <w:p>
            <w:pPr>
              <w:spacing w:after="0"/>
              <w:rPr>
                <w:sz w:val="5"/>
                <w:szCs w:val="5"/>
                <w:color w:val="auto"/>
              </w:rPr>
            </w:pPr>
          </w:p>
        </w:tc>
        <w:tc>
          <w:tcPr>
            <w:tcW w:w="182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580" w:type="dxa"/>
            <w:vAlign w:val="bottom"/>
            <w:tcBorders>
              <w:top w:val="single" w:sz="8" w:color="DBDBDB"/>
            </w:tcBorders>
            <w:shd w:val="clear" w:color="auto" w:fill="DBDBDB"/>
          </w:tcPr>
          <w:p>
            <w:pPr>
              <w:spacing w:after="0"/>
              <w:rPr>
                <w:sz w:val="5"/>
                <w:szCs w:val="5"/>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1" w:lineRule="exact"/>
              <w:rPr>
                <w:sz w:val="20"/>
                <w:szCs w:val="20"/>
                <w:color w:val="auto"/>
              </w:rPr>
            </w:pPr>
            <w:r>
              <w:rPr>
                <w:rFonts w:ascii="Arial" w:cs="Arial" w:eastAsia="Arial" w:hAnsi="Arial"/>
                <w:sz w:val="18"/>
                <w:szCs w:val="18"/>
                <w:color w:val="auto"/>
              </w:rPr>
              <w:t>Item 1.</w:t>
            </w:r>
          </w:p>
        </w:tc>
        <w:tc>
          <w:tcPr>
            <w:tcW w:w="672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Legal Proceedings</w:t>
            </w:r>
          </w:p>
        </w:tc>
        <w:tc>
          <w:tcPr>
            <w:tcW w:w="260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36</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680" w:type="dxa"/>
            <w:vAlign w:val="bottom"/>
            <w:gridSpan w:val="2"/>
            <w:shd w:val="clear" w:color="auto" w:fill="DBDBDB"/>
          </w:tcPr>
          <w:p>
            <w:pPr>
              <w:spacing w:after="0" w:line="201" w:lineRule="exact"/>
              <w:rPr>
                <w:sz w:val="20"/>
                <w:szCs w:val="20"/>
                <w:color w:val="auto"/>
              </w:rPr>
            </w:pPr>
            <w:r>
              <w:rPr>
                <w:rFonts w:ascii="Arial" w:cs="Arial" w:eastAsia="Arial" w:hAnsi="Arial"/>
                <w:sz w:val="18"/>
                <w:szCs w:val="18"/>
                <w:color w:val="auto"/>
                <w:w w:val="98"/>
              </w:rPr>
              <w:t>Item 1A.</w:t>
            </w:r>
          </w:p>
        </w:tc>
        <w:tc>
          <w:tcPr>
            <w:tcW w:w="240" w:type="dxa"/>
            <w:vAlign w:val="bottom"/>
            <w:gridSpan w:val="2"/>
            <w:shd w:val="clear" w:color="auto" w:fill="DBDBDB"/>
          </w:tcPr>
          <w:p>
            <w:pPr>
              <w:spacing w:after="0"/>
              <w:rPr>
                <w:sz w:val="17"/>
                <w:szCs w:val="17"/>
                <w:color w:val="auto"/>
              </w:rPr>
            </w:pPr>
          </w:p>
        </w:tc>
        <w:tc>
          <w:tcPr>
            <w:tcW w:w="6720" w:type="dxa"/>
            <w:vAlign w:val="bottom"/>
            <w:gridSpan w:val="10"/>
            <w:shd w:val="clear" w:color="auto" w:fill="DBDBDB"/>
          </w:tcPr>
          <w:p>
            <w:pPr>
              <w:ind w:left="80"/>
              <w:spacing w:after="0" w:line="201" w:lineRule="exact"/>
              <w:rPr>
                <w:sz w:val="20"/>
                <w:szCs w:val="20"/>
                <w:color w:val="auto"/>
              </w:rPr>
            </w:pPr>
            <w:r>
              <w:rPr>
                <w:rFonts w:ascii="Arial" w:cs="Arial" w:eastAsia="Arial" w:hAnsi="Arial"/>
                <w:sz w:val="18"/>
                <w:szCs w:val="18"/>
                <w:color w:val="auto"/>
              </w:rPr>
              <w:t>Risk Factors</w:t>
            </w:r>
          </w:p>
        </w:tc>
        <w:tc>
          <w:tcPr>
            <w:tcW w:w="2600" w:type="dxa"/>
            <w:vAlign w:val="bottom"/>
            <w:gridSpan w:val="3"/>
            <w:shd w:val="clear" w:color="auto" w:fill="DBDBDB"/>
          </w:tcPr>
          <w:p>
            <w:pPr>
              <w:jc w:val="right"/>
              <w:ind w:right="580"/>
              <w:spacing w:after="0" w:line="201" w:lineRule="exact"/>
              <w:rPr>
                <w:sz w:val="20"/>
                <w:szCs w:val="20"/>
                <w:color w:val="auto"/>
              </w:rPr>
            </w:pPr>
            <w:r>
              <w:rPr>
                <w:rFonts w:ascii="Arial" w:cs="Arial" w:eastAsia="Arial" w:hAnsi="Arial"/>
                <w:sz w:val="18"/>
                <w:szCs w:val="18"/>
                <w:color w:val="auto"/>
              </w:rPr>
              <w:t>36</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28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gridSpan w:val="2"/>
          </w:tcPr>
          <w:p>
            <w:pPr>
              <w:spacing w:after="0" w:line="201" w:lineRule="exact"/>
              <w:rPr>
                <w:sz w:val="20"/>
                <w:szCs w:val="20"/>
                <w:color w:val="auto"/>
              </w:rPr>
            </w:pPr>
            <w:r>
              <w:rPr>
                <w:rFonts w:ascii="Arial" w:cs="Arial" w:eastAsia="Arial" w:hAnsi="Arial"/>
                <w:sz w:val="18"/>
                <w:szCs w:val="18"/>
                <w:color w:val="auto"/>
              </w:rPr>
              <w:t>Item 2.</w:t>
            </w:r>
          </w:p>
        </w:tc>
        <w:tc>
          <w:tcPr>
            <w:tcW w:w="240" w:type="dxa"/>
            <w:vAlign w:val="bottom"/>
            <w:gridSpan w:val="2"/>
          </w:tcPr>
          <w:p>
            <w:pPr>
              <w:spacing w:after="0"/>
              <w:rPr>
                <w:sz w:val="17"/>
                <w:szCs w:val="17"/>
                <w:color w:val="auto"/>
              </w:rPr>
            </w:pPr>
          </w:p>
        </w:tc>
        <w:tc>
          <w:tcPr>
            <w:tcW w:w="672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Unregistered Sales of Equity Securities and Use of Proceeds</w:t>
            </w:r>
          </w:p>
        </w:tc>
        <w:tc>
          <w:tcPr>
            <w:tcW w:w="260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36</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line="201" w:lineRule="exact"/>
              <w:rPr>
                <w:sz w:val="20"/>
                <w:szCs w:val="20"/>
                <w:color w:val="auto"/>
              </w:rPr>
            </w:pPr>
            <w:r>
              <w:rPr>
                <w:rFonts w:ascii="Arial" w:cs="Arial" w:eastAsia="Arial" w:hAnsi="Arial"/>
                <w:sz w:val="18"/>
                <w:szCs w:val="18"/>
                <w:color w:val="auto"/>
                <w:w w:val="98"/>
              </w:rPr>
              <w:t>Item 3.</w:t>
            </w:r>
          </w:p>
        </w:tc>
        <w:tc>
          <w:tcPr>
            <w:tcW w:w="360" w:type="dxa"/>
            <w:vAlign w:val="bottom"/>
            <w:gridSpan w:val="3"/>
            <w:shd w:val="clear" w:color="auto" w:fill="DBDBDB"/>
          </w:tcPr>
          <w:p>
            <w:pPr>
              <w:spacing w:after="0"/>
              <w:rPr>
                <w:sz w:val="17"/>
                <w:szCs w:val="17"/>
                <w:color w:val="auto"/>
              </w:rPr>
            </w:pPr>
          </w:p>
        </w:tc>
        <w:tc>
          <w:tcPr>
            <w:tcW w:w="6720" w:type="dxa"/>
            <w:vAlign w:val="bottom"/>
            <w:gridSpan w:val="10"/>
            <w:shd w:val="clear" w:color="auto" w:fill="DBDBDB"/>
          </w:tcPr>
          <w:p>
            <w:pPr>
              <w:ind w:left="80"/>
              <w:spacing w:after="0" w:line="201" w:lineRule="exact"/>
              <w:rPr>
                <w:sz w:val="20"/>
                <w:szCs w:val="20"/>
                <w:color w:val="auto"/>
              </w:rPr>
            </w:pPr>
            <w:r>
              <w:rPr>
                <w:rFonts w:ascii="Arial" w:cs="Arial" w:eastAsia="Arial" w:hAnsi="Arial"/>
                <w:sz w:val="18"/>
                <w:szCs w:val="18"/>
                <w:color w:val="auto"/>
              </w:rPr>
              <w:t>Defaults Upon Senior Securities</w:t>
            </w:r>
          </w:p>
        </w:tc>
        <w:tc>
          <w:tcPr>
            <w:tcW w:w="2600" w:type="dxa"/>
            <w:vAlign w:val="bottom"/>
            <w:gridSpan w:val="3"/>
            <w:shd w:val="clear" w:color="auto" w:fill="DBDBDB"/>
          </w:tcPr>
          <w:p>
            <w:pPr>
              <w:jc w:val="right"/>
              <w:ind w:right="580"/>
              <w:spacing w:after="0" w:line="201" w:lineRule="exact"/>
              <w:rPr>
                <w:sz w:val="20"/>
                <w:szCs w:val="20"/>
                <w:color w:val="auto"/>
              </w:rPr>
            </w:pPr>
            <w:r>
              <w:rPr>
                <w:rFonts w:ascii="Arial" w:cs="Arial" w:eastAsia="Arial" w:hAnsi="Arial"/>
                <w:sz w:val="18"/>
                <w:szCs w:val="18"/>
                <w:color w:val="auto"/>
              </w:rPr>
              <w:t>36</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38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228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w w:val="98"/>
              </w:rPr>
              <w:t>Item 4.</w:t>
            </w:r>
          </w:p>
        </w:tc>
        <w:tc>
          <w:tcPr>
            <w:tcW w:w="360" w:type="dxa"/>
            <w:vAlign w:val="bottom"/>
            <w:gridSpan w:val="3"/>
          </w:tcPr>
          <w:p>
            <w:pPr>
              <w:spacing w:after="0"/>
              <w:rPr>
                <w:sz w:val="17"/>
                <w:szCs w:val="17"/>
                <w:color w:val="auto"/>
              </w:rPr>
            </w:pPr>
          </w:p>
        </w:tc>
        <w:tc>
          <w:tcPr>
            <w:tcW w:w="672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Mine Safety Disclosures</w:t>
            </w:r>
          </w:p>
        </w:tc>
        <w:tc>
          <w:tcPr>
            <w:tcW w:w="260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36</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1"/>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line="201" w:lineRule="exact"/>
              <w:rPr>
                <w:sz w:val="20"/>
                <w:szCs w:val="20"/>
                <w:color w:val="auto"/>
              </w:rPr>
            </w:pPr>
            <w:r>
              <w:rPr>
                <w:rFonts w:ascii="Arial" w:cs="Arial" w:eastAsia="Arial" w:hAnsi="Arial"/>
                <w:sz w:val="18"/>
                <w:szCs w:val="18"/>
                <w:color w:val="auto"/>
                <w:w w:val="98"/>
              </w:rPr>
              <w:t>Item 5.</w:t>
            </w:r>
          </w:p>
        </w:tc>
        <w:tc>
          <w:tcPr>
            <w:tcW w:w="360" w:type="dxa"/>
            <w:vAlign w:val="bottom"/>
            <w:gridSpan w:val="3"/>
            <w:shd w:val="clear" w:color="auto" w:fill="DBDBDB"/>
          </w:tcPr>
          <w:p>
            <w:pPr>
              <w:spacing w:after="0"/>
              <w:rPr>
                <w:sz w:val="17"/>
                <w:szCs w:val="17"/>
                <w:color w:val="auto"/>
              </w:rPr>
            </w:pPr>
          </w:p>
        </w:tc>
        <w:tc>
          <w:tcPr>
            <w:tcW w:w="6720" w:type="dxa"/>
            <w:vAlign w:val="bottom"/>
            <w:gridSpan w:val="10"/>
            <w:shd w:val="clear" w:color="auto" w:fill="DBDBDB"/>
          </w:tcPr>
          <w:p>
            <w:pPr>
              <w:ind w:left="80"/>
              <w:spacing w:after="0" w:line="201" w:lineRule="exact"/>
              <w:rPr>
                <w:sz w:val="20"/>
                <w:szCs w:val="20"/>
                <w:color w:val="auto"/>
              </w:rPr>
            </w:pPr>
            <w:r>
              <w:rPr>
                <w:rFonts w:ascii="Arial" w:cs="Arial" w:eastAsia="Arial" w:hAnsi="Arial"/>
                <w:sz w:val="18"/>
                <w:szCs w:val="18"/>
                <w:color w:val="auto"/>
              </w:rPr>
              <w:t>Other Information</w:t>
            </w:r>
          </w:p>
        </w:tc>
        <w:tc>
          <w:tcPr>
            <w:tcW w:w="2600" w:type="dxa"/>
            <w:vAlign w:val="bottom"/>
            <w:gridSpan w:val="3"/>
            <w:shd w:val="clear" w:color="auto" w:fill="DBDBDB"/>
          </w:tcPr>
          <w:p>
            <w:pPr>
              <w:jc w:val="right"/>
              <w:ind w:right="580"/>
              <w:spacing w:after="0" w:line="201" w:lineRule="exact"/>
              <w:rPr>
                <w:sz w:val="20"/>
                <w:szCs w:val="20"/>
                <w:color w:val="auto"/>
              </w:rPr>
            </w:pPr>
            <w:r>
              <w:rPr>
                <w:rFonts w:ascii="Arial" w:cs="Arial" w:eastAsia="Arial" w:hAnsi="Arial"/>
                <w:sz w:val="18"/>
                <w:szCs w:val="18"/>
                <w:color w:val="auto"/>
              </w:rPr>
              <w:t>36</w:t>
            </w:r>
          </w:p>
        </w:tc>
      </w:tr>
      <w:tr>
        <w:trPr>
          <w:trHeight w:val="47"/>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38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28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line="201" w:lineRule="exact"/>
              <w:rPr>
                <w:sz w:val="20"/>
                <w:szCs w:val="20"/>
                <w:color w:val="auto"/>
              </w:rPr>
            </w:pPr>
            <w:r>
              <w:rPr>
                <w:rFonts w:ascii="Arial" w:cs="Arial" w:eastAsia="Arial" w:hAnsi="Arial"/>
                <w:sz w:val="18"/>
                <w:szCs w:val="18"/>
                <w:color w:val="auto"/>
                <w:w w:val="98"/>
              </w:rPr>
              <w:t>Item 6.</w:t>
            </w:r>
          </w:p>
        </w:tc>
        <w:tc>
          <w:tcPr>
            <w:tcW w:w="360" w:type="dxa"/>
            <w:vAlign w:val="bottom"/>
            <w:gridSpan w:val="3"/>
          </w:tcPr>
          <w:p>
            <w:pPr>
              <w:spacing w:after="0"/>
              <w:rPr>
                <w:sz w:val="17"/>
                <w:szCs w:val="17"/>
                <w:color w:val="auto"/>
              </w:rPr>
            </w:pPr>
          </w:p>
        </w:tc>
        <w:tc>
          <w:tcPr>
            <w:tcW w:w="6720" w:type="dxa"/>
            <w:vAlign w:val="bottom"/>
            <w:gridSpan w:val="10"/>
          </w:tcPr>
          <w:p>
            <w:pPr>
              <w:ind w:left="80"/>
              <w:spacing w:after="0" w:line="201" w:lineRule="exact"/>
              <w:rPr>
                <w:sz w:val="20"/>
                <w:szCs w:val="20"/>
                <w:color w:val="auto"/>
              </w:rPr>
            </w:pPr>
            <w:r>
              <w:rPr>
                <w:rFonts w:ascii="Arial" w:cs="Arial" w:eastAsia="Arial" w:hAnsi="Arial"/>
                <w:sz w:val="18"/>
                <w:szCs w:val="18"/>
                <w:color w:val="auto"/>
              </w:rPr>
              <w:t>Exhibits</w:t>
            </w:r>
          </w:p>
        </w:tc>
        <w:tc>
          <w:tcPr>
            <w:tcW w:w="260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37</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68"/>
        </w:trPr>
        <w:tc>
          <w:tcPr>
            <w:tcW w:w="2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42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4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3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2280" w:type="dxa"/>
            <w:vAlign w:val="bottom"/>
            <w:shd w:val="clear" w:color="auto" w:fill="DBDBDB"/>
          </w:tcPr>
          <w:p>
            <w:pPr>
              <w:spacing w:after="0"/>
              <w:rPr>
                <w:sz w:val="23"/>
                <w:szCs w:val="23"/>
                <w:color w:val="auto"/>
              </w:rPr>
            </w:pPr>
          </w:p>
        </w:tc>
        <w:tc>
          <w:tcPr>
            <w:tcW w:w="1820" w:type="dxa"/>
            <w:vAlign w:val="bottom"/>
            <w:shd w:val="clear" w:color="auto" w:fill="DBDBDB"/>
          </w:tcPr>
          <w:p>
            <w:pPr>
              <w:spacing w:after="0"/>
              <w:rPr>
                <w:sz w:val="23"/>
                <w:szCs w:val="23"/>
                <w:color w:val="auto"/>
              </w:rPr>
            </w:pPr>
          </w:p>
        </w:tc>
        <w:tc>
          <w:tcPr>
            <w:tcW w:w="182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580" w:type="dxa"/>
            <w:vAlign w:val="bottom"/>
            <w:shd w:val="clear" w:color="auto" w:fill="DBDBDB"/>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1" w:lineRule="exact"/>
              <w:rPr>
                <w:sz w:val="20"/>
                <w:szCs w:val="20"/>
                <w:color w:val="auto"/>
              </w:rPr>
            </w:pPr>
            <w:r>
              <w:rPr>
                <w:rFonts w:ascii="Arial" w:cs="Arial" w:eastAsia="Arial" w:hAnsi="Arial"/>
                <w:sz w:val="18"/>
                <w:szCs w:val="18"/>
                <w:color w:val="auto"/>
              </w:rPr>
              <w:t>Signatures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0" w:type="dxa"/>
            <w:vAlign w:val="bottom"/>
            <w:gridSpan w:val="3"/>
          </w:tcPr>
          <w:p>
            <w:pPr>
              <w:jc w:val="right"/>
              <w:ind w:right="580"/>
              <w:spacing w:after="0" w:line="201" w:lineRule="exact"/>
              <w:rPr>
                <w:sz w:val="20"/>
                <w:szCs w:val="20"/>
                <w:color w:val="auto"/>
              </w:rPr>
            </w:pPr>
            <w:r>
              <w:rPr>
                <w:rFonts w:ascii="Arial" w:cs="Arial" w:eastAsia="Arial" w:hAnsi="Arial"/>
                <w:sz w:val="18"/>
                <w:szCs w:val="18"/>
                <w:color w:val="auto"/>
              </w:rPr>
              <w:t>38</w:t>
            </w:r>
          </w:p>
        </w:tc>
      </w:tr>
      <w:tr>
        <w:trPr>
          <w:trHeight w:val="1866"/>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Cautionary Note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20320</wp:posOffset>
            </wp:positionV>
            <wp:extent cx="5931535" cy="323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31535"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Many of the forward-looking statements are located in Part I, Item 2 of this Form 10-Q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"can have," "likely," the negatives thereof and other similar expressions.</w:t>
      </w:r>
    </w:p>
    <w:p>
      <w:pPr>
        <w:spacing w:after="0" w:line="20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10-Q in the context of the risks and uncertainties disclosed in our Annual Report on Form 10-K for the fiscal year ended December 26, 2021 filed with the Securities and Exchange Commission (the "SEC") on March 10, 2022, which is available on the SEC's website at www.sec.gov.</w:t>
      </w:r>
    </w:p>
    <w:p>
      <w:pPr>
        <w:spacing w:after="0" w:line="204"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The forward-looking statements included in this Form 10-Q are made only as of the date hereof. The Company undertakes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20320</wp:posOffset>
            </wp:positionV>
            <wp:extent cx="5931535" cy="323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31535"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Item 1. Financial Statements (Unaudited)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040" w:type="dxa"/>
            <w:vAlign w:val="bottom"/>
            <w:gridSpan w:val="5"/>
          </w:tcPr>
          <w:p>
            <w:pPr>
              <w:ind w:left="2080"/>
              <w:spacing w:after="0"/>
              <w:rPr>
                <w:sz w:val="20"/>
                <w:szCs w:val="20"/>
                <w:color w:val="auto"/>
              </w:rPr>
            </w:pPr>
            <w:r>
              <w:rPr>
                <w:rFonts w:ascii="Arial" w:cs="Arial" w:eastAsia="Arial" w:hAnsi="Arial"/>
                <w:sz w:val="18"/>
                <w:szCs w:val="18"/>
                <w:b w:val="1"/>
                <w:bCs w:val="1"/>
                <w:color w:val="auto"/>
              </w:rPr>
              <w:t>Page</w:t>
            </w:r>
          </w:p>
        </w:tc>
      </w:tr>
      <w:tr>
        <w:trPr>
          <w:trHeight w:val="209"/>
        </w:trPr>
        <w:tc>
          <w:tcPr>
            <w:tcW w:w="140" w:type="dxa"/>
            <w:vAlign w:val="bottom"/>
            <w:shd w:val="clear" w:color="auto" w:fill="DBDBDB"/>
          </w:tcPr>
          <w:p>
            <w:pPr>
              <w:spacing w:after="0"/>
              <w:rPr>
                <w:sz w:val="18"/>
                <w:szCs w:val="18"/>
                <w:color w:val="auto"/>
              </w:rPr>
            </w:pPr>
          </w:p>
        </w:tc>
        <w:tc>
          <w:tcPr>
            <w:tcW w:w="8060" w:type="dxa"/>
            <w:vAlign w:val="bottom"/>
            <w:gridSpan w:val="21"/>
            <w:shd w:val="clear" w:color="auto" w:fill="DBDBDB"/>
          </w:tcPr>
          <w:p>
            <w:pPr>
              <w:spacing w:after="0"/>
              <w:rPr>
                <w:sz w:val="20"/>
                <w:szCs w:val="20"/>
                <w:color w:val="auto"/>
              </w:rPr>
            </w:pPr>
            <w:r>
              <w:rPr>
                <w:rFonts w:ascii="Arial" w:cs="Arial" w:eastAsia="Arial" w:hAnsi="Arial"/>
                <w:sz w:val="18"/>
                <w:szCs w:val="18"/>
                <w:color w:val="auto"/>
              </w:rPr>
              <w:t>Condensed Consolidated Balance Sheets</w:t>
            </w:r>
          </w:p>
        </w:tc>
        <w:tc>
          <w:tcPr>
            <w:tcW w:w="2400" w:type="dxa"/>
            <w:vAlign w:val="bottom"/>
            <w:gridSpan w:val="4"/>
            <w:shd w:val="clear" w:color="auto" w:fill="DBDBDB"/>
          </w:tcPr>
          <w:p>
            <w:pPr>
              <w:jc w:val="center"/>
              <w:ind w:left="2091"/>
              <w:spacing w:after="0"/>
              <w:rPr>
                <w:sz w:val="20"/>
                <w:szCs w:val="20"/>
                <w:color w:val="auto"/>
              </w:rPr>
            </w:pPr>
            <w:r>
              <w:rPr>
                <w:rFonts w:ascii="Arial" w:cs="Arial" w:eastAsia="Arial" w:hAnsi="Arial"/>
                <w:sz w:val="18"/>
                <w:szCs w:val="18"/>
                <w:color w:val="auto"/>
                <w:w w:val="99"/>
              </w:rPr>
              <w:t>3</w:t>
            </w:r>
          </w:p>
        </w:tc>
        <w:tc>
          <w:tcPr>
            <w:tcW w:w="640" w:type="dxa"/>
            <w:vAlign w:val="bottom"/>
            <w:shd w:val="clear" w:color="auto" w:fill="DBDBDB"/>
          </w:tcPr>
          <w:p>
            <w:pPr>
              <w:spacing w:after="0"/>
              <w:rPr>
                <w:sz w:val="18"/>
                <w:szCs w:val="18"/>
                <w:color w:val="auto"/>
              </w:rPr>
            </w:pP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8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8060" w:type="dxa"/>
            <w:vAlign w:val="bottom"/>
            <w:gridSpan w:val="21"/>
          </w:tcPr>
          <w:p>
            <w:pPr>
              <w:spacing w:after="0" w:line="201" w:lineRule="exact"/>
              <w:rPr>
                <w:sz w:val="20"/>
                <w:szCs w:val="20"/>
                <w:color w:val="auto"/>
              </w:rPr>
            </w:pPr>
            <w:r>
              <w:rPr>
                <w:rFonts w:ascii="Arial" w:cs="Arial" w:eastAsia="Arial" w:hAnsi="Arial"/>
                <w:sz w:val="18"/>
                <w:szCs w:val="18"/>
                <w:color w:val="auto"/>
              </w:rPr>
              <w:t>Condensed Consolidated Statements of Operations</w:t>
            </w:r>
          </w:p>
        </w:tc>
        <w:tc>
          <w:tcPr>
            <w:tcW w:w="2400" w:type="dxa"/>
            <w:vAlign w:val="bottom"/>
            <w:gridSpan w:val="4"/>
          </w:tcPr>
          <w:p>
            <w:pPr>
              <w:jc w:val="center"/>
              <w:ind w:left="2091"/>
              <w:spacing w:after="0" w:line="201" w:lineRule="exact"/>
              <w:rPr>
                <w:sz w:val="20"/>
                <w:szCs w:val="20"/>
                <w:color w:val="auto"/>
              </w:rPr>
            </w:pPr>
            <w:r>
              <w:rPr>
                <w:rFonts w:ascii="Arial" w:cs="Arial" w:eastAsia="Arial" w:hAnsi="Arial"/>
                <w:sz w:val="18"/>
                <w:szCs w:val="18"/>
                <w:color w:val="auto"/>
                <w:w w:val="99"/>
              </w:rPr>
              <w:t>4</w:t>
            </w:r>
          </w:p>
        </w:tc>
        <w:tc>
          <w:tcPr>
            <w:tcW w:w="640" w:type="dxa"/>
            <w:vAlign w:val="bottom"/>
          </w:tcPr>
          <w:p>
            <w:pPr>
              <w:spacing w:after="0"/>
              <w:rPr>
                <w:sz w:val="17"/>
                <w:szCs w:val="17"/>
                <w:color w:val="auto"/>
              </w:rPr>
            </w:pPr>
          </w:p>
        </w:tc>
      </w:tr>
      <w:tr>
        <w:trPr>
          <w:trHeight w:val="47"/>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6000" w:type="dxa"/>
            <w:vAlign w:val="bottom"/>
            <w:gridSpan w:val="20"/>
            <w:shd w:val="clear" w:color="auto" w:fill="DBDBDB"/>
          </w:tcPr>
          <w:p>
            <w:pPr>
              <w:spacing w:after="0" w:line="201" w:lineRule="exact"/>
              <w:rPr>
                <w:sz w:val="20"/>
                <w:szCs w:val="20"/>
                <w:color w:val="auto"/>
              </w:rPr>
            </w:pPr>
            <w:r>
              <w:rPr>
                <w:rFonts w:ascii="Arial" w:cs="Arial" w:eastAsia="Arial" w:hAnsi="Arial"/>
                <w:sz w:val="18"/>
                <w:szCs w:val="18"/>
                <w:color w:val="auto"/>
                <w:w w:val="98"/>
              </w:rPr>
              <w:t>Condensed Consolidated Statements of Stockholders' and Members' Equity</w:t>
            </w:r>
          </w:p>
        </w:tc>
        <w:tc>
          <w:tcPr>
            <w:tcW w:w="2060" w:type="dxa"/>
            <w:vAlign w:val="bottom"/>
            <w:shd w:val="clear" w:color="auto" w:fill="DBDBDB"/>
          </w:tcPr>
          <w:p>
            <w:pPr>
              <w:spacing w:after="0"/>
              <w:rPr>
                <w:sz w:val="17"/>
                <w:szCs w:val="17"/>
                <w:color w:val="auto"/>
              </w:rPr>
            </w:pPr>
          </w:p>
        </w:tc>
        <w:tc>
          <w:tcPr>
            <w:tcW w:w="2240" w:type="dxa"/>
            <w:vAlign w:val="bottom"/>
            <w:gridSpan w:val="2"/>
            <w:shd w:val="clear" w:color="auto" w:fill="DBDBDB"/>
          </w:tcPr>
          <w:p>
            <w:pPr>
              <w:spacing w:after="0"/>
              <w:rPr>
                <w:sz w:val="17"/>
                <w:szCs w:val="17"/>
                <w:color w:val="auto"/>
              </w:rPr>
            </w:pPr>
          </w:p>
        </w:tc>
        <w:tc>
          <w:tcPr>
            <w:tcW w:w="160" w:type="dxa"/>
            <w:vAlign w:val="bottom"/>
            <w:gridSpan w:val="2"/>
            <w:shd w:val="clear" w:color="auto" w:fill="DBDBDB"/>
          </w:tcPr>
          <w:p>
            <w:pPr>
              <w:jc w:val="center"/>
              <w:ind w:right="60"/>
              <w:spacing w:after="0" w:line="201" w:lineRule="exact"/>
              <w:rPr>
                <w:sz w:val="20"/>
                <w:szCs w:val="20"/>
                <w:color w:val="auto"/>
              </w:rPr>
            </w:pPr>
            <w:r>
              <w:rPr>
                <w:rFonts w:ascii="Arial" w:cs="Arial" w:eastAsia="Arial" w:hAnsi="Arial"/>
                <w:sz w:val="18"/>
                <w:szCs w:val="18"/>
                <w:color w:val="auto"/>
                <w:w w:val="99"/>
              </w:rPr>
              <w:t>5</w:t>
            </w:r>
          </w:p>
        </w:tc>
        <w:tc>
          <w:tcPr>
            <w:tcW w:w="640" w:type="dxa"/>
            <w:vAlign w:val="bottom"/>
            <w:shd w:val="clear" w:color="auto" w:fill="DBDBDB"/>
          </w:tcPr>
          <w:p>
            <w:pPr>
              <w:spacing w:after="0"/>
              <w:rPr>
                <w:sz w:val="17"/>
                <w:szCs w:val="17"/>
                <w:color w:val="auto"/>
              </w:rPr>
            </w:pP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8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1560" w:type="dxa"/>
            <w:vAlign w:val="bottom"/>
            <w:tcBorders>
              <w:top w:val="single" w:sz="8" w:color="auto"/>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6000" w:type="dxa"/>
            <w:vAlign w:val="bottom"/>
            <w:gridSpan w:val="20"/>
          </w:tcPr>
          <w:p>
            <w:pPr>
              <w:spacing w:after="0" w:line="201" w:lineRule="exact"/>
              <w:rPr>
                <w:sz w:val="20"/>
                <w:szCs w:val="20"/>
                <w:color w:val="auto"/>
              </w:rPr>
            </w:pPr>
            <w:r>
              <w:rPr>
                <w:rFonts w:ascii="Arial" w:cs="Arial" w:eastAsia="Arial" w:hAnsi="Arial"/>
                <w:sz w:val="18"/>
                <w:szCs w:val="18"/>
                <w:color w:val="auto"/>
              </w:rPr>
              <w:t>Condensed Consolidated Statements of Cash Flows</w:t>
            </w:r>
          </w:p>
        </w:tc>
        <w:tc>
          <w:tcPr>
            <w:tcW w:w="2060" w:type="dxa"/>
            <w:vAlign w:val="bottom"/>
          </w:tcPr>
          <w:p>
            <w:pPr>
              <w:spacing w:after="0"/>
              <w:rPr>
                <w:sz w:val="17"/>
                <w:szCs w:val="17"/>
                <w:color w:val="auto"/>
              </w:rPr>
            </w:pPr>
          </w:p>
        </w:tc>
        <w:tc>
          <w:tcPr>
            <w:tcW w:w="2240" w:type="dxa"/>
            <w:vAlign w:val="bottom"/>
            <w:gridSpan w:val="2"/>
          </w:tcPr>
          <w:p>
            <w:pPr>
              <w:spacing w:after="0"/>
              <w:rPr>
                <w:sz w:val="17"/>
                <w:szCs w:val="17"/>
                <w:color w:val="auto"/>
              </w:rPr>
            </w:pPr>
          </w:p>
        </w:tc>
        <w:tc>
          <w:tcPr>
            <w:tcW w:w="1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9"/>
              </w:rPr>
              <w:t>7</w:t>
            </w:r>
          </w:p>
        </w:tc>
        <w:tc>
          <w:tcPr>
            <w:tcW w:w="640" w:type="dxa"/>
            <w:vAlign w:val="bottom"/>
          </w:tcPr>
          <w:p>
            <w:pPr>
              <w:spacing w:after="0"/>
              <w:rPr>
                <w:sz w:val="17"/>
                <w:szCs w:val="17"/>
                <w:color w:val="auto"/>
              </w:rPr>
            </w:pPr>
          </w:p>
        </w:tc>
      </w:tr>
      <w:tr>
        <w:trPr>
          <w:trHeight w:val="47"/>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4440" w:type="dxa"/>
            <w:vAlign w:val="bottom"/>
            <w:gridSpan w:val="19"/>
            <w:shd w:val="clear" w:color="auto" w:fill="DBDBDB"/>
          </w:tcPr>
          <w:p>
            <w:pPr>
              <w:spacing w:after="0" w:line="201" w:lineRule="exact"/>
              <w:rPr>
                <w:sz w:val="20"/>
                <w:szCs w:val="20"/>
                <w:color w:val="auto"/>
              </w:rPr>
            </w:pPr>
            <w:r>
              <w:rPr>
                <w:rFonts w:ascii="Arial" w:cs="Arial" w:eastAsia="Arial" w:hAnsi="Arial"/>
                <w:sz w:val="18"/>
                <w:szCs w:val="18"/>
                <w:color w:val="auto"/>
                <w:w w:val="98"/>
              </w:rPr>
              <w:t>Notes to Condensed Consolidated Financial Statements</w:t>
            </w:r>
          </w:p>
        </w:tc>
        <w:tc>
          <w:tcPr>
            <w:tcW w:w="3620" w:type="dxa"/>
            <w:vAlign w:val="bottom"/>
            <w:gridSpan w:val="2"/>
            <w:shd w:val="clear" w:color="auto" w:fill="DBDBDB"/>
          </w:tcPr>
          <w:p>
            <w:pPr>
              <w:spacing w:after="0"/>
              <w:rPr>
                <w:sz w:val="17"/>
                <w:szCs w:val="17"/>
                <w:color w:val="auto"/>
              </w:rPr>
            </w:pPr>
          </w:p>
        </w:tc>
        <w:tc>
          <w:tcPr>
            <w:tcW w:w="2240" w:type="dxa"/>
            <w:vAlign w:val="bottom"/>
            <w:gridSpan w:val="2"/>
            <w:shd w:val="clear" w:color="auto" w:fill="DBDBDB"/>
          </w:tcPr>
          <w:p>
            <w:pPr>
              <w:spacing w:after="0"/>
              <w:rPr>
                <w:sz w:val="17"/>
                <w:szCs w:val="17"/>
                <w:color w:val="auto"/>
              </w:rPr>
            </w:pPr>
          </w:p>
        </w:tc>
        <w:tc>
          <w:tcPr>
            <w:tcW w:w="160" w:type="dxa"/>
            <w:vAlign w:val="bottom"/>
            <w:gridSpan w:val="2"/>
            <w:shd w:val="clear" w:color="auto" w:fill="DBDBDB"/>
          </w:tcPr>
          <w:p>
            <w:pPr>
              <w:jc w:val="center"/>
              <w:ind w:right="60"/>
              <w:spacing w:after="0" w:line="201" w:lineRule="exact"/>
              <w:rPr>
                <w:sz w:val="20"/>
                <w:szCs w:val="20"/>
                <w:color w:val="auto"/>
              </w:rPr>
            </w:pPr>
            <w:r>
              <w:rPr>
                <w:rFonts w:ascii="Arial" w:cs="Arial" w:eastAsia="Arial" w:hAnsi="Arial"/>
                <w:sz w:val="18"/>
                <w:szCs w:val="18"/>
                <w:color w:val="auto"/>
                <w:w w:val="99"/>
              </w:rPr>
              <w:t>9</w:t>
            </w:r>
          </w:p>
        </w:tc>
        <w:tc>
          <w:tcPr>
            <w:tcW w:w="640" w:type="dxa"/>
            <w:vAlign w:val="bottom"/>
            <w:shd w:val="clear" w:color="auto" w:fill="DBDBDB"/>
          </w:tcPr>
          <w:p>
            <w:pPr>
              <w:spacing w:after="0"/>
              <w:rPr>
                <w:sz w:val="17"/>
                <w:szCs w:val="17"/>
                <w:color w:val="auto"/>
              </w:rPr>
            </w:pP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8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gridSpan w:val="18"/>
          </w:tcPr>
          <w:p>
            <w:pPr>
              <w:spacing w:after="0" w:line="201" w:lineRule="exact"/>
              <w:rPr>
                <w:sz w:val="20"/>
                <w:szCs w:val="20"/>
                <w:color w:val="auto"/>
              </w:rPr>
            </w:pPr>
            <w:r>
              <w:rPr>
                <w:rFonts w:ascii="Arial" w:cs="Arial" w:eastAsia="Arial" w:hAnsi="Arial"/>
                <w:sz w:val="18"/>
                <w:szCs w:val="18"/>
                <w:color w:val="auto"/>
              </w:rPr>
              <w:t>Note 1. Description Of Business</w:t>
            </w:r>
          </w:p>
        </w:tc>
        <w:tc>
          <w:tcPr>
            <w:tcW w:w="3620" w:type="dxa"/>
            <w:vAlign w:val="bottom"/>
            <w:gridSpan w:val="2"/>
          </w:tcPr>
          <w:p>
            <w:pPr>
              <w:spacing w:after="0"/>
              <w:rPr>
                <w:sz w:val="17"/>
                <w:szCs w:val="17"/>
                <w:color w:val="auto"/>
              </w:rPr>
            </w:pPr>
          </w:p>
        </w:tc>
        <w:tc>
          <w:tcPr>
            <w:tcW w:w="2240" w:type="dxa"/>
            <w:vAlign w:val="bottom"/>
            <w:gridSpan w:val="2"/>
          </w:tcPr>
          <w:p>
            <w:pPr>
              <w:spacing w:after="0"/>
              <w:rPr>
                <w:sz w:val="17"/>
                <w:szCs w:val="17"/>
                <w:color w:val="auto"/>
              </w:rPr>
            </w:pPr>
          </w:p>
        </w:tc>
        <w:tc>
          <w:tcPr>
            <w:tcW w:w="1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9"/>
              </w:rPr>
              <w:t>9</w:t>
            </w:r>
          </w:p>
        </w:tc>
        <w:tc>
          <w:tcPr>
            <w:tcW w:w="640" w:type="dxa"/>
            <w:vAlign w:val="bottom"/>
          </w:tcPr>
          <w:p>
            <w:pPr>
              <w:spacing w:after="0"/>
              <w:rPr>
                <w:sz w:val="17"/>
                <w:szCs w:val="17"/>
                <w:color w:val="auto"/>
              </w:rPr>
            </w:pP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960" w:type="dxa"/>
            <w:vAlign w:val="bottom"/>
            <w:gridSpan w:val="20"/>
            <w:shd w:val="clear" w:color="auto" w:fill="DBDBDB"/>
          </w:tcPr>
          <w:p>
            <w:pPr>
              <w:spacing w:after="0" w:line="201" w:lineRule="exact"/>
              <w:rPr>
                <w:sz w:val="20"/>
                <w:szCs w:val="20"/>
                <w:color w:val="auto"/>
              </w:rPr>
            </w:pPr>
            <w:r>
              <w:rPr>
                <w:rFonts w:ascii="Arial" w:cs="Arial" w:eastAsia="Arial" w:hAnsi="Arial"/>
                <w:sz w:val="18"/>
                <w:szCs w:val="18"/>
                <w:color w:val="auto"/>
              </w:rPr>
              <w:t>Note 2. Summary Of Significant Accounting Policies</w:t>
            </w:r>
          </w:p>
        </w:tc>
        <w:tc>
          <w:tcPr>
            <w:tcW w:w="3040" w:type="dxa"/>
            <w:vAlign w:val="bottom"/>
            <w:gridSpan w:val="5"/>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10</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8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gridSpan w:val="17"/>
          </w:tcPr>
          <w:p>
            <w:pPr>
              <w:spacing w:after="0" w:line="201" w:lineRule="exact"/>
              <w:rPr>
                <w:sz w:val="20"/>
                <w:szCs w:val="20"/>
                <w:color w:val="auto"/>
              </w:rPr>
            </w:pPr>
            <w:r>
              <w:rPr>
                <w:rFonts w:ascii="Arial" w:cs="Arial" w:eastAsia="Arial" w:hAnsi="Arial"/>
                <w:sz w:val="18"/>
                <w:szCs w:val="18"/>
                <w:color w:val="auto"/>
              </w:rPr>
              <w:t>Note 3. Revenue Recognition</w:t>
            </w:r>
          </w:p>
        </w:tc>
        <w:tc>
          <w:tcPr>
            <w:tcW w:w="3860" w:type="dxa"/>
            <w:vAlign w:val="bottom"/>
            <w:gridSpan w:val="3"/>
          </w:tcPr>
          <w:p>
            <w:pPr>
              <w:spacing w:after="0"/>
              <w:rPr>
                <w:sz w:val="17"/>
                <w:szCs w:val="17"/>
                <w:color w:val="auto"/>
              </w:rPr>
            </w:pPr>
          </w:p>
        </w:tc>
        <w:tc>
          <w:tcPr>
            <w:tcW w:w="3040" w:type="dxa"/>
            <w:vAlign w:val="bottom"/>
            <w:gridSpan w:val="5"/>
          </w:tcPr>
          <w:p>
            <w:pPr>
              <w:jc w:val="center"/>
              <w:ind w:left="1471"/>
              <w:spacing w:after="0" w:line="201" w:lineRule="exact"/>
              <w:rPr>
                <w:sz w:val="20"/>
                <w:szCs w:val="20"/>
                <w:color w:val="auto"/>
              </w:rPr>
            </w:pPr>
            <w:r>
              <w:rPr>
                <w:rFonts w:ascii="Arial" w:cs="Arial" w:eastAsia="Arial" w:hAnsi="Arial"/>
                <w:sz w:val="18"/>
                <w:szCs w:val="18"/>
                <w:color w:val="auto"/>
                <w:w w:val="99"/>
              </w:rPr>
              <w:t>12</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960" w:type="dxa"/>
            <w:vAlign w:val="bottom"/>
            <w:gridSpan w:val="20"/>
            <w:shd w:val="clear" w:color="auto" w:fill="DBDBDB"/>
          </w:tcPr>
          <w:p>
            <w:pPr>
              <w:spacing w:after="0" w:line="201" w:lineRule="exact"/>
              <w:rPr>
                <w:sz w:val="20"/>
                <w:szCs w:val="20"/>
                <w:color w:val="auto"/>
              </w:rPr>
            </w:pPr>
            <w:r>
              <w:rPr>
                <w:rFonts w:ascii="Arial" w:cs="Arial" w:eastAsia="Arial" w:hAnsi="Arial"/>
                <w:sz w:val="18"/>
                <w:szCs w:val="18"/>
                <w:color w:val="auto"/>
              </w:rPr>
              <w:t>Note 4. Inventories</w:t>
            </w:r>
          </w:p>
        </w:tc>
        <w:tc>
          <w:tcPr>
            <w:tcW w:w="3040" w:type="dxa"/>
            <w:vAlign w:val="bottom"/>
            <w:gridSpan w:val="5"/>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13</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60" w:type="dxa"/>
            <w:vAlign w:val="bottom"/>
            <w:gridSpan w:val="20"/>
          </w:tcPr>
          <w:p>
            <w:pPr>
              <w:spacing w:after="0" w:line="201" w:lineRule="exact"/>
              <w:rPr>
                <w:sz w:val="20"/>
                <w:szCs w:val="20"/>
                <w:color w:val="auto"/>
              </w:rPr>
            </w:pPr>
            <w:r>
              <w:rPr>
                <w:rFonts w:ascii="Arial" w:cs="Arial" w:eastAsia="Arial" w:hAnsi="Arial"/>
                <w:sz w:val="18"/>
                <w:szCs w:val="18"/>
                <w:color w:val="auto"/>
              </w:rPr>
              <w:t>Note 5. Property &amp; Equipment, Net</w:t>
            </w:r>
          </w:p>
        </w:tc>
        <w:tc>
          <w:tcPr>
            <w:tcW w:w="3040" w:type="dxa"/>
            <w:vAlign w:val="bottom"/>
            <w:gridSpan w:val="5"/>
          </w:tcPr>
          <w:p>
            <w:pPr>
              <w:jc w:val="center"/>
              <w:ind w:left="1471"/>
              <w:spacing w:after="0" w:line="201" w:lineRule="exact"/>
              <w:rPr>
                <w:sz w:val="20"/>
                <w:szCs w:val="20"/>
                <w:color w:val="auto"/>
              </w:rPr>
            </w:pPr>
            <w:r>
              <w:rPr>
                <w:rFonts w:ascii="Arial" w:cs="Arial" w:eastAsia="Arial" w:hAnsi="Arial"/>
                <w:sz w:val="18"/>
                <w:szCs w:val="18"/>
                <w:color w:val="auto"/>
                <w:w w:val="99"/>
              </w:rPr>
              <w:t>13</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900" w:type="dxa"/>
            <w:vAlign w:val="bottom"/>
            <w:gridSpan w:val="11"/>
            <w:shd w:val="clear" w:color="auto" w:fill="DBDBDB"/>
          </w:tcPr>
          <w:p>
            <w:pPr>
              <w:spacing w:after="0" w:line="201" w:lineRule="exact"/>
              <w:rPr>
                <w:sz w:val="20"/>
                <w:szCs w:val="20"/>
                <w:color w:val="auto"/>
              </w:rPr>
            </w:pPr>
            <w:r>
              <w:rPr>
                <w:rFonts w:ascii="Arial" w:cs="Arial" w:eastAsia="Arial" w:hAnsi="Arial"/>
                <w:sz w:val="18"/>
                <w:szCs w:val="18"/>
                <w:color w:val="auto"/>
                <w:w w:val="98"/>
              </w:rPr>
              <w:t>Note 6. Goodwill &amp; Intangible Assets</w:t>
            </w:r>
          </w:p>
        </w:tc>
        <w:tc>
          <w:tcPr>
            <w:tcW w:w="5060" w:type="dxa"/>
            <w:vAlign w:val="bottom"/>
            <w:gridSpan w:val="9"/>
            <w:shd w:val="clear" w:color="auto" w:fill="DBDBDB"/>
          </w:tcPr>
          <w:p>
            <w:pPr>
              <w:spacing w:after="0"/>
              <w:rPr>
                <w:sz w:val="17"/>
                <w:szCs w:val="17"/>
                <w:color w:val="auto"/>
              </w:rPr>
            </w:pPr>
          </w:p>
        </w:tc>
        <w:tc>
          <w:tcPr>
            <w:tcW w:w="3040" w:type="dxa"/>
            <w:vAlign w:val="bottom"/>
            <w:gridSpan w:val="5"/>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14</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8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60" w:type="dxa"/>
            <w:vAlign w:val="bottom"/>
            <w:gridSpan w:val="20"/>
          </w:tcPr>
          <w:p>
            <w:pPr>
              <w:spacing w:after="0" w:line="201" w:lineRule="exact"/>
              <w:rPr>
                <w:sz w:val="20"/>
                <w:szCs w:val="20"/>
                <w:color w:val="auto"/>
              </w:rPr>
            </w:pPr>
            <w:r>
              <w:rPr>
                <w:rFonts w:ascii="Arial" w:cs="Arial" w:eastAsia="Arial" w:hAnsi="Arial"/>
                <w:sz w:val="18"/>
                <w:szCs w:val="18"/>
                <w:color w:val="auto"/>
              </w:rPr>
              <w:t>Note 7. Fair Value of Financial Instruments</w:t>
            </w:r>
          </w:p>
        </w:tc>
        <w:tc>
          <w:tcPr>
            <w:tcW w:w="3040" w:type="dxa"/>
            <w:vAlign w:val="bottom"/>
            <w:gridSpan w:val="5"/>
          </w:tcPr>
          <w:p>
            <w:pPr>
              <w:jc w:val="center"/>
              <w:ind w:left="1471"/>
              <w:spacing w:after="0" w:line="201" w:lineRule="exact"/>
              <w:rPr>
                <w:sz w:val="20"/>
                <w:szCs w:val="20"/>
                <w:color w:val="auto"/>
              </w:rPr>
            </w:pPr>
            <w:r>
              <w:rPr>
                <w:rFonts w:ascii="Arial" w:cs="Arial" w:eastAsia="Arial" w:hAnsi="Arial"/>
                <w:sz w:val="18"/>
                <w:szCs w:val="18"/>
                <w:color w:val="auto"/>
                <w:w w:val="99"/>
              </w:rPr>
              <w:t>14</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960" w:type="dxa"/>
            <w:vAlign w:val="bottom"/>
            <w:gridSpan w:val="20"/>
            <w:shd w:val="clear" w:color="auto" w:fill="DBDBDB"/>
          </w:tcPr>
          <w:p>
            <w:pPr>
              <w:spacing w:after="0" w:line="201" w:lineRule="exact"/>
              <w:rPr>
                <w:sz w:val="20"/>
                <w:szCs w:val="20"/>
                <w:color w:val="auto"/>
              </w:rPr>
            </w:pPr>
            <w:r>
              <w:rPr>
                <w:rFonts w:ascii="Arial" w:cs="Arial" w:eastAsia="Arial" w:hAnsi="Arial"/>
                <w:sz w:val="18"/>
                <w:szCs w:val="18"/>
                <w:color w:val="auto"/>
              </w:rPr>
              <w:t>Note 8. Debt</w:t>
            </w:r>
          </w:p>
        </w:tc>
        <w:tc>
          <w:tcPr>
            <w:tcW w:w="3040" w:type="dxa"/>
            <w:vAlign w:val="bottom"/>
            <w:gridSpan w:val="5"/>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16</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3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60" w:type="dxa"/>
            <w:vAlign w:val="bottom"/>
            <w:gridSpan w:val="20"/>
          </w:tcPr>
          <w:p>
            <w:pPr>
              <w:spacing w:after="0" w:line="201" w:lineRule="exact"/>
              <w:rPr>
                <w:sz w:val="20"/>
                <w:szCs w:val="20"/>
                <w:color w:val="auto"/>
              </w:rPr>
            </w:pPr>
            <w:r>
              <w:rPr>
                <w:rFonts w:ascii="Arial" w:cs="Arial" w:eastAsia="Arial" w:hAnsi="Arial"/>
                <w:sz w:val="18"/>
                <w:szCs w:val="18"/>
                <w:color w:val="auto"/>
              </w:rPr>
              <w:t>Note 9. Non-Controlling Interests</w:t>
            </w:r>
          </w:p>
        </w:tc>
        <w:tc>
          <w:tcPr>
            <w:tcW w:w="3040" w:type="dxa"/>
            <w:vAlign w:val="bottom"/>
            <w:gridSpan w:val="5"/>
          </w:tcPr>
          <w:p>
            <w:pPr>
              <w:jc w:val="center"/>
              <w:ind w:left="1471"/>
              <w:spacing w:after="0" w:line="201" w:lineRule="exact"/>
              <w:rPr>
                <w:sz w:val="20"/>
                <w:szCs w:val="20"/>
                <w:color w:val="auto"/>
              </w:rPr>
            </w:pPr>
            <w:r>
              <w:rPr>
                <w:rFonts w:ascii="Arial" w:cs="Arial" w:eastAsia="Arial" w:hAnsi="Arial"/>
                <w:sz w:val="18"/>
                <w:szCs w:val="18"/>
                <w:color w:val="auto"/>
                <w:w w:val="99"/>
              </w:rPr>
              <w:t>18</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0" w:type="dxa"/>
            <w:vAlign w:val="bottom"/>
            <w:gridSpan w:val="12"/>
            <w:shd w:val="clear" w:color="auto" w:fill="DBDBDB"/>
          </w:tcPr>
          <w:p>
            <w:pPr>
              <w:spacing w:after="0" w:line="201" w:lineRule="exact"/>
              <w:rPr>
                <w:sz w:val="20"/>
                <w:szCs w:val="20"/>
                <w:color w:val="auto"/>
              </w:rPr>
            </w:pPr>
            <w:r>
              <w:rPr>
                <w:rFonts w:ascii="Arial" w:cs="Arial" w:eastAsia="Arial" w:hAnsi="Arial"/>
                <w:sz w:val="18"/>
                <w:szCs w:val="18"/>
                <w:color w:val="auto"/>
                <w:w w:val="98"/>
              </w:rPr>
              <w:t>Note 10. Equity-Based Compensation</w:t>
            </w:r>
          </w:p>
        </w:tc>
        <w:tc>
          <w:tcPr>
            <w:tcW w:w="4960" w:type="dxa"/>
            <w:vAlign w:val="bottom"/>
            <w:gridSpan w:val="8"/>
            <w:shd w:val="clear" w:color="auto" w:fill="DBDBDB"/>
          </w:tcPr>
          <w:p>
            <w:pPr>
              <w:spacing w:after="0"/>
              <w:rPr>
                <w:sz w:val="17"/>
                <w:szCs w:val="17"/>
                <w:color w:val="auto"/>
              </w:rPr>
            </w:pPr>
          </w:p>
        </w:tc>
        <w:tc>
          <w:tcPr>
            <w:tcW w:w="3040" w:type="dxa"/>
            <w:vAlign w:val="bottom"/>
            <w:gridSpan w:val="5"/>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19</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8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12"/>
          </w:tcPr>
          <w:p>
            <w:pPr>
              <w:spacing w:after="0" w:line="201" w:lineRule="exact"/>
              <w:rPr>
                <w:sz w:val="20"/>
                <w:szCs w:val="20"/>
                <w:color w:val="auto"/>
              </w:rPr>
            </w:pPr>
            <w:r>
              <w:rPr>
                <w:rFonts w:ascii="Arial" w:cs="Arial" w:eastAsia="Arial" w:hAnsi="Arial"/>
                <w:sz w:val="18"/>
                <w:szCs w:val="18"/>
                <w:color w:val="auto"/>
              </w:rPr>
              <w:t>Note 11. Income Taxes</w:t>
            </w:r>
          </w:p>
        </w:tc>
        <w:tc>
          <w:tcPr>
            <w:tcW w:w="4960" w:type="dxa"/>
            <w:vAlign w:val="bottom"/>
            <w:gridSpan w:val="8"/>
          </w:tcPr>
          <w:p>
            <w:pPr>
              <w:spacing w:after="0"/>
              <w:rPr>
                <w:sz w:val="17"/>
                <w:szCs w:val="17"/>
                <w:color w:val="auto"/>
              </w:rPr>
            </w:pPr>
          </w:p>
        </w:tc>
        <w:tc>
          <w:tcPr>
            <w:tcW w:w="3040" w:type="dxa"/>
            <w:vAlign w:val="bottom"/>
            <w:gridSpan w:val="5"/>
          </w:tcPr>
          <w:p>
            <w:pPr>
              <w:jc w:val="center"/>
              <w:ind w:left="1471"/>
              <w:spacing w:after="0" w:line="201" w:lineRule="exact"/>
              <w:rPr>
                <w:sz w:val="20"/>
                <w:szCs w:val="20"/>
                <w:color w:val="auto"/>
              </w:rPr>
            </w:pPr>
            <w:r>
              <w:rPr>
                <w:rFonts w:ascii="Arial" w:cs="Arial" w:eastAsia="Arial" w:hAnsi="Arial"/>
                <w:sz w:val="18"/>
                <w:szCs w:val="18"/>
                <w:color w:val="auto"/>
                <w:w w:val="99"/>
              </w:rPr>
              <w:t>19</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40" w:type="dxa"/>
            <w:vAlign w:val="bottom"/>
            <w:gridSpan w:val="9"/>
            <w:shd w:val="clear" w:color="auto" w:fill="DBDBDB"/>
          </w:tcPr>
          <w:p>
            <w:pPr>
              <w:spacing w:after="0" w:line="201" w:lineRule="exact"/>
              <w:rPr>
                <w:sz w:val="20"/>
                <w:szCs w:val="20"/>
                <w:color w:val="auto"/>
              </w:rPr>
            </w:pPr>
            <w:r>
              <w:rPr>
                <w:rFonts w:ascii="Arial" w:cs="Arial" w:eastAsia="Arial" w:hAnsi="Arial"/>
                <w:sz w:val="18"/>
                <w:szCs w:val="18"/>
                <w:color w:val="auto"/>
                <w:w w:val="98"/>
              </w:rPr>
              <w:t>Note 12. Earnings (Loss) Per Share</w:t>
            </w:r>
          </w:p>
        </w:tc>
        <w:tc>
          <w:tcPr>
            <w:tcW w:w="5120" w:type="dxa"/>
            <w:vAlign w:val="bottom"/>
            <w:gridSpan w:val="11"/>
            <w:shd w:val="clear" w:color="auto" w:fill="DBDBDB"/>
          </w:tcPr>
          <w:p>
            <w:pPr>
              <w:spacing w:after="0"/>
              <w:rPr>
                <w:sz w:val="17"/>
                <w:szCs w:val="17"/>
                <w:color w:val="auto"/>
              </w:rPr>
            </w:pPr>
          </w:p>
        </w:tc>
        <w:tc>
          <w:tcPr>
            <w:tcW w:w="3040" w:type="dxa"/>
            <w:vAlign w:val="bottom"/>
            <w:gridSpan w:val="5"/>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19</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8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1"/>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9"/>
          </w:tcPr>
          <w:p>
            <w:pPr>
              <w:spacing w:after="0" w:line="201" w:lineRule="exact"/>
              <w:rPr>
                <w:sz w:val="20"/>
                <w:szCs w:val="20"/>
                <w:color w:val="auto"/>
              </w:rPr>
            </w:pPr>
            <w:r>
              <w:rPr>
                <w:rFonts w:ascii="Arial" w:cs="Arial" w:eastAsia="Arial" w:hAnsi="Arial"/>
                <w:sz w:val="18"/>
                <w:szCs w:val="18"/>
                <w:color w:val="auto"/>
              </w:rPr>
              <w:t>Note 13. Contingencies</w:t>
            </w:r>
          </w:p>
        </w:tc>
        <w:tc>
          <w:tcPr>
            <w:tcW w:w="5120" w:type="dxa"/>
            <w:vAlign w:val="bottom"/>
            <w:gridSpan w:val="11"/>
          </w:tcPr>
          <w:p>
            <w:pPr>
              <w:spacing w:after="0"/>
              <w:rPr>
                <w:sz w:val="17"/>
                <w:szCs w:val="17"/>
                <w:color w:val="auto"/>
              </w:rPr>
            </w:pPr>
          </w:p>
        </w:tc>
        <w:tc>
          <w:tcPr>
            <w:tcW w:w="3040" w:type="dxa"/>
            <w:vAlign w:val="bottom"/>
            <w:gridSpan w:val="5"/>
          </w:tcPr>
          <w:p>
            <w:pPr>
              <w:jc w:val="center"/>
              <w:ind w:left="1471"/>
              <w:spacing w:after="0" w:line="201" w:lineRule="exact"/>
              <w:rPr>
                <w:sz w:val="20"/>
                <w:szCs w:val="20"/>
                <w:color w:val="auto"/>
              </w:rPr>
            </w:pPr>
            <w:r>
              <w:rPr>
                <w:rFonts w:ascii="Arial" w:cs="Arial" w:eastAsia="Arial" w:hAnsi="Arial"/>
                <w:sz w:val="18"/>
                <w:szCs w:val="18"/>
                <w:color w:val="auto"/>
                <w:w w:val="99"/>
              </w:rPr>
              <w:t>20</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1"/>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960" w:type="dxa"/>
            <w:vAlign w:val="bottom"/>
            <w:gridSpan w:val="20"/>
            <w:shd w:val="clear" w:color="auto" w:fill="DBDBDB"/>
          </w:tcPr>
          <w:p>
            <w:pPr>
              <w:spacing w:after="0" w:line="201" w:lineRule="exact"/>
              <w:rPr>
                <w:sz w:val="20"/>
                <w:szCs w:val="20"/>
                <w:color w:val="auto"/>
              </w:rPr>
            </w:pPr>
            <w:r>
              <w:rPr>
                <w:rFonts w:ascii="Arial" w:cs="Arial" w:eastAsia="Arial" w:hAnsi="Arial"/>
                <w:sz w:val="18"/>
                <w:szCs w:val="18"/>
                <w:color w:val="auto"/>
              </w:rPr>
              <w:t>Note 14. Related Party Transactions</w:t>
            </w:r>
          </w:p>
        </w:tc>
        <w:tc>
          <w:tcPr>
            <w:tcW w:w="3040" w:type="dxa"/>
            <w:vAlign w:val="bottom"/>
            <w:gridSpan w:val="5"/>
            <w:shd w:val="clear" w:color="auto" w:fill="DBDBDB"/>
          </w:tcPr>
          <w:p>
            <w:pPr>
              <w:jc w:val="center"/>
              <w:ind w:left="1471"/>
              <w:spacing w:after="0" w:line="201" w:lineRule="exact"/>
              <w:rPr>
                <w:sz w:val="20"/>
                <w:szCs w:val="20"/>
                <w:color w:val="auto"/>
              </w:rPr>
            </w:pPr>
            <w:r>
              <w:rPr>
                <w:rFonts w:ascii="Arial" w:cs="Arial" w:eastAsia="Arial" w:hAnsi="Arial"/>
                <w:sz w:val="18"/>
                <w:szCs w:val="18"/>
                <w:color w:val="auto"/>
                <w:w w:val="99"/>
              </w:rPr>
              <w:t>20</w:t>
            </w:r>
          </w:p>
        </w:tc>
      </w:tr>
      <w:tr>
        <w:trPr>
          <w:trHeight w:val="47"/>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0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8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560" w:type="dxa"/>
            <w:vAlign w:val="bottom"/>
            <w:tcBorders>
              <w:top w:val="single" w:sz="8" w:color="DBDBDB"/>
            </w:tcBorders>
            <w:shd w:val="clear" w:color="auto" w:fill="DBDBDB"/>
          </w:tcPr>
          <w:p>
            <w:pPr>
              <w:spacing w:after="0"/>
              <w:rPr>
                <w:sz w:val="4"/>
                <w:szCs w:val="4"/>
                <w:color w:val="auto"/>
              </w:rPr>
            </w:pPr>
          </w:p>
        </w:tc>
        <w:tc>
          <w:tcPr>
            <w:tcW w:w="2060" w:type="dxa"/>
            <w:vAlign w:val="bottom"/>
            <w:tcBorders>
              <w:top w:val="single" w:sz="8" w:color="DBDBDB"/>
            </w:tcBorders>
            <w:shd w:val="clear" w:color="auto" w:fill="DBDBDB"/>
          </w:tcPr>
          <w:p>
            <w:pPr>
              <w:spacing w:after="0"/>
              <w:rPr>
                <w:sz w:val="4"/>
                <w:szCs w:val="4"/>
                <w:color w:val="auto"/>
              </w:rPr>
            </w:pPr>
          </w:p>
        </w:tc>
        <w:tc>
          <w:tcPr>
            <w:tcW w:w="2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26,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25"/>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45"/>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Cash and cash equivalents and restricted cash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49,730</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39,263</w:t>
            </w: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8,830</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7,840</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5,639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6,078</w:t>
            </w:r>
          </w:p>
        </w:tc>
      </w:tr>
      <w:tr>
        <w:trPr>
          <w:trHeight w:val="243"/>
        </w:trPr>
        <w:tc>
          <w:tcPr>
            <w:tcW w:w="79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5,082</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5,836</w:t>
            </w:r>
          </w:p>
        </w:tc>
      </w:tr>
      <w:tr>
        <w:trPr>
          <w:trHeight w:val="235"/>
        </w:trPr>
        <w:tc>
          <w:tcPr>
            <w:tcW w:w="79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69,281</w:t>
            </w:r>
          </w:p>
        </w:tc>
        <w:tc>
          <w:tcPr>
            <w:tcW w:w="12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59,017</w:t>
            </w:r>
          </w:p>
        </w:tc>
      </w:tr>
      <w:tr>
        <w:trPr>
          <w:trHeight w:val="235"/>
        </w:trPr>
        <w:tc>
          <w:tcPr>
            <w:tcW w:w="792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shd w:val="clear" w:color="auto" w:fill="DBDBDB"/>
          </w:tcPr>
          <w:p>
            <w:pPr>
              <w:spacing w:after="0"/>
              <w:rPr>
                <w:sz w:val="20"/>
                <w:szCs w:val="20"/>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193,813</w:t>
            </w:r>
          </w:p>
        </w:tc>
        <w:tc>
          <w:tcPr>
            <w:tcW w:w="12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190,834</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223,925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34,263</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35,832</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Equity method investment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16,083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16,170</w:t>
            </w: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tax asset</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71,949</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74,455</w:t>
            </w:r>
          </w:p>
        </w:tc>
      </w:tr>
      <w:tr>
        <w:trPr>
          <w:trHeight w:val="235"/>
        </w:trPr>
        <w:tc>
          <w:tcPr>
            <w:tcW w:w="79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4,282</w:t>
            </w:r>
          </w:p>
        </w:tc>
        <w:tc>
          <w:tcPr>
            <w:tcW w:w="12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w:t>
            </w:r>
          </w:p>
        </w:tc>
      </w:tr>
      <w:tr>
        <w:trPr>
          <w:trHeight w:val="235"/>
        </w:trPr>
        <w:tc>
          <w:tcPr>
            <w:tcW w:w="792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shd w:val="clear" w:color="auto" w:fill="DBDBDB"/>
          </w:tcPr>
          <w:p>
            <w:pPr>
              <w:spacing w:after="0"/>
              <w:rPr>
                <w:sz w:val="20"/>
                <w:szCs w:val="20"/>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744,800</w:t>
            </w:r>
          </w:p>
        </w:tc>
        <w:tc>
          <w:tcPr>
            <w:tcW w:w="12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749,722</w:t>
            </w:r>
          </w:p>
        </w:tc>
      </w:tr>
      <w:tr>
        <w:trPr>
          <w:trHeight w:val="23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1,007,894</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999,573</w:t>
            </w: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4"/>
        </w:trPr>
        <w:tc>
          <w:tcPr>
            <w:tcW w:w="7920" w:type="dxa"/>
            <w:vAlign w:val="bottom"/>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142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520" w:type="dxa"/>
            <w:vAlign w:val="bottom"/>
            <w:shd w:val="clear" w:color="auto" w:fill="DBDBDB"/>
          </w:tcPr>
          <w:p>
            <w:pPr>
              <w:spacing w:after="0"/>
              <w:rPr>
                <w:sz w:val="5"/>
                <w:szCs w:val="5"/>
                <w:color w:val="auto"/>
              </w:rPr>
            </w:pPr>
          </w:p>
        </w:tc>
        <w:tc>
          <w:tcPr>
            <w:tcW w:w="1080" w:type="dxa"/>
            <w:vAlign w:val="bottom"/>
            <w:shd w:val="clear" w:color="auto" w:fill="DBDBDB"/>
          </w:tcPr>
          <w:p>
            <w:pPr>
              <w:spacing w:after="0"/>
              <w:rPr>
                <w:sz w:val="5"/>
                <w:szCs w:val="5"/>
                <w:color w:val="auto"/>
              </w:rPr>
            </w:pPr>
          </w:p>
        </w:tc>
      </w:tr>
      <w:tr>
        <w:trPr>
          <w:trHeight w:val="238"/>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5"/>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20,382</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27,249</w:t>
            </w: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Current deferred revenue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4,649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6,893</w:t>
            </w:r>
          </w:p>
        </w:tc>
      </w:tr>
      <w:tr>
        <w:trPr>
          <w:trHeight w:val="243"/>
        </w:trPr>
        <w:tc>
          <w:tcPr>
            <w:tcW w:w="79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25,123</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29,472</w:t>
            </w:r>
          </w:p>
        </w:tc>
      </w:tr>
      <w:tr>
        <w:trPr>
          <w:trHeight w:val="234"/>
        </w:trPr>
        <w:tc>
          <w:tcPr>
            <w:tcW w:w="792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53,478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66,938</w:t>
            </w:r>
          </w:p>
        </w:tc>
      </w:tr>
      <w:tr>
        <w:trPr>
          <w:trHeight w:val="249"/>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315,410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315,829</w:t>
            </w: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rent</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36,511</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32,174</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Tax receivable agreement liability</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154,883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156,638</w:t>
            </w:r>
          </w:p>
        </w:tc>
      </w:tr>
      <w:tr>
        <w:trPr>
          <w:trHeight w:val="243"/>
        </w:trPr>
        <w:tc>
          <w:tcPr>
            <w:tcW w:w="79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3,800</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4,588</w:t>
            </w:r>
          </w:p>
        </w:tc>
      </w:tr>
      <w:tr>
        <w:trPr>
          <w:trHeight w:val="235"/>
        </w:trPr>
        <w:tc>
          <w:tcPr>
            <w:tcW w:w="79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510,604</w:t>
            </w:r>
          </w:p>
        </w:tc>
        <w:tc>
          <w:tcPr>
            <w:tcW w:w="12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509,229</w:t>
            </w:r>
          </w:p>
        </w:tc>
      </w:tr>
      <w:tr>
        <w:trPr>
          <w:trHeight w:val="242"/>
        </w:trPr>
        <w:tc>
          <w:tcPr>
            <w:tcW w:w="792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564,082</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576,167</w:t>
            </w:r>
          </w:p>
        </w:tc>
      </w:tr>
      <w:tr>
        <w:trPr>
          <w:trHeight w:val="34"/>
        </w:trPr>
        <w:tc>
          <w:tcPr>
            <w:tcW w:w="7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2"/>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COMMITMENTS AND CONTINGENCIES (NOTE 13)</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Preferred stock, $0.01 par value per share, 10,000,000 shares authorized, — issued and outstanding</w:t>
            </w:r>
          </w:p>
        </w:tc>
        <w:tc>
          <w:tcPr>
            <w:tcW w:w="180" w:type="dxa"/>
            <w:vAlign w:val="bottom"/>
            <w:shd w:val="clear" w:color="auto" w:fill="DBDBDB"/>
          </w:tcPr>
          <w:p>
            <w:pPr>
              <w:spacing w:after="0"/>
              <w:rPr>
                <w:sz w:val="21"/>
                <w:szCs w:val="21"/>
                <w:color w:val="auto"/>
              </w:rPr>
            </w:pPr>
          </w:p>
        </w:tc>
        <w:tc>
          <w:tcPr>
            <w:tcW w:w="15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920" w:type="dxa"/>
            <w:vAlign w:val="bottom"/>
          </w:tcPr>
          <w:p>
            <w:pPr>
              <w:ind w:left="140"/>
              <w:spacing w:after="0"/>
              <w:rPr>
                <w:sz w:val="20"/>
                <w:szCs w:val="20"/>
                <w:color w:val="auto"/>
              </w:rPr>
            </w:pPr>
            <w:r>
              <w:rPr>
                <w:rFonts w:ascii="Arial" w:cs="Arial" w:eastAsia="Arial" w:hAnsi="Arial"/>
                <w:sz w:val="16"/>
                <w:szCs w:val="16"/>
                <w:color w:val="auto"/>
              </w:rPr>
              <w:t>Class A common stock, $0.01 par value per share, 380,000,000 shares authorized, and 36,218,355 and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1"/>
        </w:trPr>
        <w:tc>
          <w:tcPr>
            <w:tcW w:w="7920" w:type="dxa"/>
            <w:vAlign w:val="bottom"/>
          </w:tcPr>
          <w:p>
            <w:pPr>
              <w:ind w:left="140"/>
              <w:spacing w:after="0"/>
              <w:rPr>
                <w:sz w:val="20"/>
                <w:szCs w:val="20"/>
                <w:color w:val="auto"/>
              </w:rPr>
            </w:pPr>
            <w:r>
              <w:rPr>
                <w:rFonts w:ascii="Arial" w:cs="Arial" w:eastAsia="Arial" w:hAnsi="Arial"/>
                <w:sz w:val="16"/>
                <w:szCs w:val="16"/>
                <w:color w:val="auto"/>
              </w:rPr>
              <w:t>35,807,171 shares issued and outstanding at June 26, 2022 and December 26, 2021, respectively.</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22"/>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Class B common stock, $0.00001 par value per share, 50,000,000 shares authorized, and 35,673,321</w:t>
            </w: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shares issued and outstanding at June 26, 2022 and December 26, 2021, respectively.</w:t>
            </w:r>
          </w:p>
        </w:tc>
        <w:tc>
          <w:tcPr>
            <w:tcW w:w="180" w:type="dxa"/>
            <w:vAlign w:val="bottom"/>
            <w:shd w:val="clear" w:color="auto" w:fill="DBDBDB"/>
          </w:tcPr>
          <w:p>
            <w:pPr>
              <w:spacing w:after="0"/>
              <w:rPr>
                <w:sz w:val="19"/>
                <w:szCs w:val="19"/>
                <w:color w:val="auto"/>
              </w:rPr>
            </w:pPr>
          </w:p>
        </w:tc>
        <w:tc>
          <w:tcPr>
            <w:tcW w:w="15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Additional paid-in-capital</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192,862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186,856</w:t>
            </w:r>
          </w:p>
        </w:tc>
      </w:tr>
      <w:tr>
        <w:trPr>
          <w:trHeight w:val="243"/>
        </w:trPr>
        <w:tc>
          <w:tcPr>
            <w:tcW w:w="79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(10,645)</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(15,950)</w:t>
            </w:r>
          </w:p>
        </w:tc>
      </w:tr>
      <w:tr>
        <w:trPr>
          <w:trHeight w:val="234"/>
        </w:trPr>
        <w:tc>
          <w:tcPr>
            <w:tcW w:w="7920" w:type="dxa"/>
            <w:vAlign w:val="bottom"/>
          </w:tcPr>
          <w:p>
            <w:pPr>
              <w:ind w:left="140"/>
              <w:spacing w:after="0"/>
              <w:rPr>
                <w:sz w:val="20"/>
                <w:szCs w:val="20"/>
                <w:color w:val="auto"/>
              </w:rPr>
            </w:pPr>
            <w:r>
              <w:rPr>
                <w:rFonts w:ascii="Arial" w:cs="Arial" w:eastAsia="Arial" w:hAnsi="Arial"/>
                <w:sz w:val="16"/>
                <w:szCs w:val="16"/>
                <w:color w:val="auto"/>
              </w:rPr>
              <w:t>Total stockholders' equity attributable to Portillo's Inc.</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182,579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171,264</w:t>
            </w:r>
          </w:p>
        </w:tc>
      </w:tr>
      <w:tr>
        <w:trPr>
          <w:trHeight w:val="243"/>
        </w:trPr>
        <w:tc>
          <w:tcPr>
            <w:tcW w:w="79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261,233</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252,142</w:t>
            </w:r>
          </w:p>
        </w:tc>
      </w:tr>
      <w:tr>
        <w:trPr>
          <w:trHeight w:val="235"/>
        </w:trPr>
        <w:tc>
          <w:tcPr>
            <w:tcW w:w="79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443,812</w:t>
            </w:r>
          </w:p>
        </w:tc>
        <w:tc>
          <w:tcPr>
            <w:tcW w:w="12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423,406</w:t>
            </w:r>
          </w:p>
        </w:tc>
      </w:tr>
      <w:tr>
        <w:trPr>
          <w:trHeight w:val="263"/>
        </w:trPr>
        <w:tc>
          <w:tcPr>
            <w:tcW w:w="79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1,007,894</w:t>
            </w:r>
          </w:p>
        </w:tc>
        <w:tc>
          <w:tcPr>
            <w:tcW w:w="120" w:type="dxa"/>
            <w:vAlign w:val="bottom"/>
            <w:tcBorders>
              <w:bottom w:val="single" w:sz="8" w:color="DBDBDB"/>
            </w:tcBorders>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999,573</w:t>
            </w:r>
          </w:p>
        </w:tc>
      </w:tr>
      <w:tr>
        <w:trPr>
          <w:trHeight w:val="20"/>
        </w:trPr>
        <w:tc>
          <w:tcPr>
            <w:tcW w:w="79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5"/>
          </w:tcPr>
          <w:p>
            <w:pPr>
              <w:ind w:left="76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9"/>
                <w:szCs w:val="19"/>
                <w:color w:val="auto"/>
              </w:rPr>
            </w:pPr>
          </w:p>
        </w:tc>
        <w:tc>
          <w:tcPr>
            <w:tcW w:w="278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5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26, 2022</w:t>
            </w:r>
          </w:p>
        </w:tc>
        <w:tc>
          <w:tcPr>
            <w:tcW w:w="14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27, 2021</w:t>
            </w:r>
          </w:p>
        </w:tc>
        <w:tc>
          <w:tcPr>
            <w:tcW w:w="140" w:type="dxa"/>
            <w:vAlign w:val="bottom"/>
          </w:tcPr>
          <w:p>
            <w:pPr>
              <w:spacing w:after="0"/>
              <w:rPr>
                <w:sz w:val="21"/>
                <w:szCs w:val="21"/>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26, 2022</w:t>
            </w:r>
          </w:p>
        </w:tc>
        <w:tc>
          <w:tcPr>
            <w:tcW w:w="140" w:type="dxa"/>
            <w:vAlign w:val="bottom"/>
          </w:tcPr>
          <w:p>
            <w:pPr>
              <w:spacing w:after="0"/>
              <w:rPr>
                <w:sz w:val="21"/>
                <w:szCs w:val="21"/>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27, 2021</w:t>
            </w:r>
          </w:p>
        </w:tc>
      </w:tr>
      <w:tr>
        <w:trPr>
          <w:trHeight w:val="252"/>
        </w:trPr>
        <w:tc>
          <w:tcPr>
            <w:tcW w:w="5320" w:type="dxa"/>
            <w:vAlign w:val="bottom"/>
            <w:tcBorders>
              <w:top w:val="single" w:sz="8" w:color="DBDBDB"/>
            </w:tcBorders>
            <w:shd w:val="clear" w:color="auto" w:fill="DBDBDB"/>
          </w:tcPr>
          <w:p>
            <w:pPr>
              <w:spacing w:after="0"/>
              <w:rPr>
                <w:sz w:val="21"/>
                <w:szCs w:val="21"/>
                <w:color w:val="auto"/>
              </w:rPr>
            </w:pPr>
          </w:p>
        </w:tc>
        <w:tc>
          <w:tcPr>
            <w:tcW w:w="140" w:type="dxa"/>
            <w:vAlign w:val="bottom"/>
            <w:tcBorders>
              <w:top w:val="single" w:sz="8" w:color="auto"/>
            </w:tcBorders>
            <w:shd w:val="clear" w:color="auto" w:fill="DBDBDB"/>
          </w:tcPr>
          <w:p>
            <w:pPr>
              <w:spacing w:after="0"/>
              <w:rPr>
                <w:sz w:val="21"/>
                <w:szCs w:val="21"/>
                <w:color w:val="auto"/>
              </w:rPr>
            </w:pPr>
          </w:p>
        </w:tc>
        <w:tc>
          <w:tcPr>
            <w:tcW w:w="1260" w:type="dxa"/>
            <w:vAlign w:val="bottom"/>
            <w:tcBorders>
              <w:top w:val="single" w:sz="8" w:color="auto"/>
            </w:tcBorders>
            <w:shd w:val="clear" w:color="auto" w:fill="DBDBDB"/>
          </w:tcPr>
          <w:p>
            <w:pPr>
              <w:spacing w:after="0"/>
              <w:rPr>
                <w:sz w:val="21"/>
                <w:szCs w:val="21"/>
                <w:color w:val="auto"/>
              </w:rPr>
            </w:pPr>
          </w:p>
        </w:tc>
        <w:tc>
          <w:tcPr>
            <w:tcW w:w="100" w:type="dxa"/>
            <w:vAlign w:val="bottom"/>
            <w:tcBorders>
              <w:top w:val="single" w:sz="8" w:color="DBDBDB"/>
            </w:tcBorders>
            <w:shd w:val="clear" w:color="auto" w:fill="DBDBDB"/>
          </w:tcPr>
          <w:p>
            <w:pPr>
              <w:spacing w:after="0"/>
              <w:rPr>
                <w:sz w:val="21"/>
                <w:szCs w:val="21"/>
                <w:color w:val="auto"/>
              </w:rPr>
            </w:pPr>
          </w:p>
        </w:tc>
        <w:tc>
          <w:tcPr>
            <w:tcW w:w="140" w:type="dxa"/>
            <w:vAlign w:val="bottom"/>
            <w:tcBorders>
              <w:top w:val="single" w:sz="8" w:color="auto"/>
            </w:tcBorders>
            <w:shd w:val="clear" w:color="auto" w:fill="DBDBDB"/>
          </w:tcPr>
          <w:p>
            <w:pPr>
              <w:spacing w:after="0"/>
              <w:rPr>
                <w:sz w:val="21"/>
                <w:szCs w:val="21"/>
                <w:color w:val="auto"/>
              </w:rPr>
            </w:pPr>
          </w:p>
        </w:tc>
        <w:tc>
          <w:tcPr>
            <w:tcW w:w="1260" w:type="dxa"/>
            <w:vAlign w:val="bottom"/>
            <w:tcBorders>
              <w:top w:val="single" w:sz="8" w:color="auto"/>
            </w:tcBorders>
            <w:shd w:val="clear" w:color="auto" w:fill="DBDBDB"/>
          </w:tcPr>
          <w:p>
            <w:pPr>
              <w:spacing w:after="0"/>
              <w:rPr>
                <w:sz w:val="21"/>
                <w:szCs w:val="21"/>
                <w:color w:val="auto"/>
              </w:rPr>
            </w:pPr>
          </w:p>
        </w:tc>
        <w:tc>
          <w:tcPr>
            <w:tcW w:w="100" w:type="dxa"/>
            <w:vAlign w:val="bottom"/>
            <w:tcBorders>
              <w:top w:val="single" w:sz="8" w:color="DBDBDB"/>
            </w:tcBorders>
            <w:shd w:val="clear" w:color="auto" w:fill="DBDBDB"/>
          </w:tcPr>
          <w:p>
            <w:pPr>
              <w:spacing w:after="0"/>
              <w:rPr>
                <w:sz w:val="21"/>
                <w:szCs w:val="21"/>
                <w:color w:val="auto"/>
              </w:rPr>
            </w:pPr>
          </w:p>
        </w:tc>
        <w:tc>
          <w:tcPr>
            <w:tcW w:w="140" w:type="dxa"/>
            <w:vAlign w:val="bottom"/>
            <w:tcBorders>
              <w:top w:val="single" w:sz="8" w:color="auto"/>
            </w:tcBorders>
            <w:shd w:val="clear" w:color="auto" w:fill="DBDBDB"/>
          </w:tcPr>
          <w:p>
            <w:pPr>
              <w:spacing w:after="0"/>
              <w:rPr>
                <w:sz w:val="21"/>
                <w:szCs w:val="21"/>
                <w:color w:val="auto"/>
              </w:rPr>
            </w:pPr>
          </w:p>
        </w:tc>
        <w:tc>
          <w:tcPr>
            <w:tcW w:w="1260" w:type="dxa"/>
            <w:vAlign w:val="bottom"/>
            <w:tcBorders>
              <w:top w:val="single" w:sz="8" w:color="auto"/>
            </w:tcBorders>
            <w:shd w:val="clear" w:color="auto" w:fill="DBDBDB"/>
          </w:tcPr>
          <w:p>
            <w:pPr>
              <w:spacing w:after="0"/>
              <w:rPr>
                <w:sz w:val="21"/>
                <w:szCs w:val="21"/>
                <w:color w:val="auto"/>
              </w:rPr>
            </w:pPr>
          </w:p>
        </w:tc>
        <w:tc>
          <w:tcPr>
            <w:tcW w:w="120" w:type="dxa"/>
            <w:vAlign w:val="bottom"/>
            <w:tcBorders>
              <w:top w:val="single" w:sz="8" w:color="DBDBDB"/>
            </w:tcBorders>
            <w:shd w:val="clear" w:color="auto" w:fill="DBDBDB"/>
          </w:tcPr>
          <w:p>
            <w:pPr>
              <w:spacing w:after="0"/>
              <w:rPr>
                <w:sz w:val="21"/>
                <w:szCs w:val="21"/>
                <w:color w:val="auto"/>
              </w:rPr>
            </w:pPr>
          </w:p>
        </w:tc>
        <w:tc>
          <w:tcPr>
            <w:tcW w:w="140" w:type="dxa"/>
            <w:vAlign w:val="bottom"/>
            <w:tcBorders>
              <w:top w:val="single" w:sz="8" w:color="auto"/>
            </w:tcBorders>
            <w:shd w:val="clear" w:color="auto" w:fill="DBDBDB"/>
          </w:tcPr>
          <w:p>
            <w:pPr>
              <w:spacing w:after="0"/>
              <w:rPr>
                <w:sz w:val="21"/>
                <w:szCs w:val="21"/>
                <w:color w:val="auto"/>
              </w:rPr>
            </w:pPr>
          </w:p>
        </w:tc>
        <w:tc>
          <w:tcPr>
            <w:tcW w:w="1260" w:type="dxa"/>
            <w:vAlign w:val="bottom"/>
            <w:tcBorders>
              <w:top w:val="single" w:sz="8" w:color="auto"/>
            </w:tcBorders>
            <w:shd w:val="clear" w:color="auto" w:fill="DBDBDB"/>
          </w:tcPr>
          <w:p>
            <w:pPr>
              <w:spacing w:after="0"/>
              <w:rPr>
                <w:sz w:val="21"/>
                <w:szCs w:val="21"/>
                <w:color w:val="auto"/>
              </w:rPr>
            </w:pPr>
          </w:p>
        </w:tc>
      </w:tr>
      <w:tr>
        <w:trPr>
          <w:trHeight w:val="238"/>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REVENUES,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150,623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140,734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285,105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258,041</w:t>
            </w:r>
          </w:p>
        </w:tc>
      </w:tr>
      <w:tr>
        <w:trPr>
          <w:trHeight w:val="272"/>
        </w:trPr>
        <w:tc>
          <w:tcPr>
            <w:tcW w:w="53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r>
      <w:tr>
        <w:trPr>
          <w:trHeight w:val="238"/>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COST AND EXPENSES: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5"/>
        </w:trPr>
        <w:tc>
          <w:tcPr>
            <w:tcW w:w="53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Restaurant operating expenses: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r>
      <w:tr>
        <w:trPr>
          <w:trHeight w:val="234"/>
        </w:trPr>
        <w:tc>
          <w:tcPr>
            <w:tcW w:w="5320" w:type="dxa"/>
            <w:vAlign w:val="bottom"/>
          </w:tcPr>
          <w:p>
            <w:pPr>
              <w:ind w:left="220"/>
              <w:spacing w:after="0"/>
              <w:rPr>
                <w:sz w:val="20"/>
                <w:szCs w:val="20"/>
                <w:color w:val="auto"/>
              </w:rPr>
            </w:pPr>
            <w:r>
              <w:rPr>
                <w:rFonts w:ascii="Arial" w:cs="Arial" w:eastAsia="Arial" w:hAnsi="Arial"/>
                <w:sz w:val="16"/>
                <w:szCs w:val="16"/>
                <w:color w:val="auto"/>
              </w:rPr>
              <w:t>Cost of goods sold, excluding depreciation and amortization</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51,774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98,040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77,180</w:t>
            </w:r>
          </w:p>
        </w:tc>
      </w:tr>
      <w:tr>
        <w:trPr>
          <w:trHeight w:val="249"/>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Labor</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37,906</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34,482</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75,219</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65,512</w:t>
            </w:r>
          </w:p>
        </w:tc>
      </w:tr>
      <w:tr>
        <w:trPr>
          <w:trHeight w:val="234"/>
        </w:trPr>
        <w:tc>
          <w:tcPr>
            <w:tcW w:w="5320" w:type="dxa"/>
            <w:vAlign w:val="bottom"/>
          </w:tcPr>
          <w:p>
            <w:pPr>
              <w:ind w:left="220"/>
              <w:spacing w:after="0"/>
              <w:rPr>
                <w:sz w:val="20"/>
                <w:szCs w:val="20"/>
                <w:color w:val="auto"/>
              </w:rPr>
            </w:pPr>
            <w:r>
              <w:rPr>
                <w:rFonts w:ascii="Arial" w:cs="Arial" w:eastAsia="Arial" w:hAnsi="Arial"/>
                <w:sz w:val="16"/>
                <w:szCs w:val="16"/>
                <w:color w:val="auto"/>
              </w:rPr>
              <w:t>Occupancy</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13,890</w:t>
            </w:r>
          </w:p>
        </w:tc>
      </w:tr>
      <w:tr>
        <w:trPr>
          <w:trHeight w:val="243"/>
        </w:trPr>
        <w:tc>
          <w:tcPr>
            <w:tcW w:w="532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operating expenses</w:t>
            </w:r>
          </w:p>
        </w:tc>
        <w:tc>
          <w:tcPr>
            <w:tcW w:w="14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15,178</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13,925</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30,343</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28,633</w:t>
            </w:r>
          </w:p>
        </w:tc>
      </w:tr>
      <w:tr>
        <w:trPr>
          <w:trHeight w:val="238"/>
        </w:trPr>
        <w:tc>
          <w:tcPr>
            <w:tcW w:w="5320" w:type="dxa"/>
            <w:vAlign w:val="bottom"/>
          </w:tcPr>
          <w:p>
            <w:pPr>
              <w:ind w:left="460"/>
              <w:spacing w:after="0"/>
              <w:rPr>
                <w:sz w:val="20"/>
                <w:szCs w:val="20"/>
                <w:color w:val="auto"/>
              </w:rPr>
            </w:pPr>
            <w:r>
              <w:rPr>
                <w:rFonts w:ascii="Arial" w:cs="Arial" w:eastAsia="Arial" w:hAnsi="Arial"/>
                <w:sz w:val="16"/>
                <w:szCs w:val="16"/>
                <w:b w:val="1"/>
                <w:bCs w:val="1"/>
                <w:color w:val="auto"/>
              </w:rPr>
              <w:t>Total restaurant operating expenses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112,237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97,669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218,736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185,215</w:t>
            </w:r>
          </w:p>
        </w:tc>
      </w:tr>
      <w:tr>
        <w:trPr>
          <w:trHeight w:val="151"/>
        </w:trPr>
        <w:tc>
          <w:tcPr>
            <w:tcW w:w="53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r>
      <w:tr>
        <w:trPr>
          <w:trHeight w:val="234"/>
        </w:trPr>
        <w:tc>
          <w:tcPr>
            <w:tcW w:w="5320" w:type="dxa"/>
            <w:vAlign w:val="bottom"/>
          </w:tcPr>
          <w:p>
            <w:pPr>
              <w:ind w:left="2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24,005</w:t>
            </w:r>
          </w:p>
        </w:tc>
      </w:tr>
      <w:tr>
        <w:trPr>
          <w:trHeight w:val="249"/>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Pre-opening expenses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979</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1,960</w:t>
            </w:r>
          </w:p>
        </w:tc>
      </w:tr>
      <w:tr>
        <w:trPr>
          <w:trHeight w:val="234"/>
        </w:trPr>
        <w:tc>
          <w:tcPr>
            <w:tcW w:w="5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12,709</w:t>
            </w:r>
          </w:p>
        </w:tc>
      </w:tr>
      <w:tr>
        <w:trPr>
          <w:trHeight w:val="249"/>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(359)</w:t>
            </w:r>
          </w:p>
        </w:tc>
      </w:tr>
      <w:tr>
        <w:trPr>
          <w:trHeight w:val="235"/>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loss (income), net</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r>
      <w:tr>
        <w:trPr>
          <w:trHeight w:val="242"/>
        </w:trPr>
        <w:tc>
          <w:tcPr>
            <w:tcW w:w="53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17,439</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24,461</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24,253</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35,314</w:t>
            </w:r>
          </w:p>
        </w:tc>
      </w:tr>
      <w:tr>
        <w:trPr>
          <w:trHeight w:val="234"/>
        </w:trPr>
        <w:tc>
          <w:tcPr>
            <w:tcW w:w="53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21,441</w:t>
            </w:r>
          </w:p>
        </w:tc>
      </w:tr>
      <w:tr>
        <w:trPr>
          <w:trHeight w:val="243"/>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(1,754)</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13,873</w:t>
            </w:r>
          </w:p>
        </w:tc>
      </w:tr>
      <w:tr>
        <w:trPr>
          <w:trHeight w:val="239"/>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2,340</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2,505</w:t>
            </w: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13,873</w:t>
            </w:r>
          </w:p>
        </w:tc>
      </w:tr>
      <w:tr>
        <w:trPr>
          <w:trHeight w:val="239"/>
        </w:trPr>
        <w:tc>
          <w:tcPr>
            <w:tcW w:w="5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Redeemable preferred units accretion</w:t>
            </w:r>
          </w:p>
        </w:tc>
        <w:tc>
          <w:tcPr>
            <w:tcW w:w="140" w:type="dxa"/>
            <w:vAlign w:val="bottom"/>
            <w:shd w:val="clear" w:color="auto" w:fill="DBDBDB"/>
          </w:tcPr>
          <w:p>
            <w:pPr>
              <w:spacing w:after="0"/>
              <w:rPr>
                <w:sz w:val="20"/>
                <w:szCs w:val="20"/>
                <w:color w:val="auto"/>
              </w:rPr>
            </w:pPr>
          </w:p>
        </w:tc>
        <w:tc>
          <w:tcPr>
            <w:tcW w:w="1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(5,577)</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(11,092)</w:t>
            </w:r>
          </w:p>
        </w:tc>
      </w:tr>
      <w:tr>
        <w:trPr>
          <w:trHeight w:val="238"/>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COMMON UNIT HOLDERS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2,781</w:t>
            </w:r>
          </w:p>
        </w:tc>
      </w:tr>
      <w:tr>
        <w:trPr>
          <w:trHeight w:val="239"/>
        </w:trPr>
        <w:tc>
          <w:tcPr>
            <w:tcW w:w="5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5,645</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6,001</w:t>
            </w: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PORTILLO'S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8,172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5,305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2,781</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9"/>
        </w:trPr>
        <w:tc>
          <w:tcPr>
            <w:tcW w:w="53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r>
      <w:tr>
        <w:trPr>
          <w:trHeight w:val="234"/>
        </w:trPr>
        <w:tc>
          <w:tcPr>
            <w:tcW w:w="5320" w:type="dxa"/>
            <w:vAlign w:val="bottom"/>
          </w:tcPr>
          <w:p>
            <w:pPr>
              <w:ind w:left="20"/>
              <w:spacing w:after="0"/>
              <w:rPr>
                <w:sz w:val="20"/>
                <w:szCs w:val="20"/>
                <w:color w:val="auto"/>
              </w:rPr>
            </w:pPr>
            <w:r>
              <w:rPr>
                <w:rFonts w:ascii="Arial" w:cs="Arial" w:eastAsia="Arial" w:hAnsi="Arial"/>
                <w:sz w:val="16"/>
                <w:szCs w:val="16"/>
                <w:color w:val="auto"/>
              </w:rPr>
              <w:t>Income per common share attributable to Portillo's Inc.:</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4"/>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53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53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2"/>
        </w:trPr>
        <w:tc>
          <w:tcPr>
            <w:tcW w:w="53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r>
      <w:tr>
        <w:trPr>
          <w:trHeight w:val="234"/>
        </w:trPr>
        <w:tc>
          <w:tcPr>
            <w:tcW w:w="532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4"/>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35,991,079</w:t>
            </w: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51,200,644</w:t>
            </w: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35,899,125</w:t>
            </w:r>
          </w:p>
        </w:tc>
        <w:tc>
          <w:tcPr>
            <w:tcW w:w="12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51,196,539</w:t>
            </w:r>
          </w:p>
        </w:tc>
      </w:tr>
      <w:tr>
        <w:trPr>
          <w:trHeight w:val="20"/>
        </w:trPr>
        <w:tc>
          <w:tcPr>
            <w:tcW w:w="53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39,687,090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51,568,909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39,839,292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51,563,292</w:t>
            </w: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ind w:right="3440"/>
        <w:spacing w:after="0" w:line="250" w:lineRule="auto"/>
        <w:rPr>
          <w:sz w:val="20"/>
          <w:szCs w:val="20"/>
          <w:color w:val="auto"/>
        </w:rPr>
      </w:pPr>
      <w:r>
        <w:rPr>
          <w:rFonts w:ascii="Arial" w:cs="Arial" w:eastAsia="Arial" w:hAnsi="Arial"/>
          <w:sz w:val="18"/>
          <w:szCs w:val="18"/>
          <w:b w:val="1"/>
          <w:bCs w:val="1"/>
          <w:color w:val="auto"/>
        </w:rPr>
        <w:t>CONDENSED CONSOLIDATED STATEMENTS OF STOCKHOLDERS' AND MEMBERS' EQUITY (UNAUDITED)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60" w:type="dxa"/>
            <w:vAlign w:val="bottom"/>
            <w:gridSpan w:val="23"/>
          </w:tcPr>
          <w:p>
            <w:pPr>
              <w:ind w:left="100"/>
              <w:spacing w:after="0"/>
              <w:rPr>
                <w:sz w:val="20"/>
                <w:szCs w:val="20"/>
                <w:color w:val="auto"/>
              </w:rPr>
            </w:pPr>
            <w:r>
              <w:rPr>
                <w:rFonts w:ascii="Arial" w:cs="Arial" w:eastAsia="Arial" w:hAnsi="Arial"/>
                <w:sz w:val="16"/>
                <w:szCs w:val="16"/>
                <w:b w:val="1"/>
                <w:bCs w:val="1"/>
                <w:color w:val="auto"/>
              </w:rPr>
              <w:t>Quarter Ended June 26, 2022 and June 27, 2021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5"/>
            <w:vMerge w:val="restart"/>
          </w:tcPr>
          <w:p>
            <w:pPr>
              <w:jc w:val="right"/>
              <w:ind w:right="180"/>
              <w:spacing w:after="0"/>
              <w:rPr>
                <w:sz w:val="20"/>
                <w:szCs w:val="20"/>
                <w:color w:val="auto"/>
              </w:rPr>
            </w:pPr>
            <w:r>
              <w:rPr>
                <w:rFonts w:ascii="Arial" w:cs="Arial" w:eastAsia="Arial" w:hAnsi="Arial"/>
                <w:sz w:val="16"/>
                <w:szCs w:val="16"/>
                <w:b w:val="1"/>
                <w:bCs w:val="1"/>
                <w:color w:val="auto"/>
                <w:w w:val="98"/>
              </w:rPr>
              <w:t>Preferred Units</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top w:val="single" w:sz="8" w:color="auto"/>
            </w:tcBorders>
            <w:gridSpan w:val="9"/>
            <w:vMerge w:val="restart"/>
          </w:tcPr>
          <w:p>
            <w:pPr>
              <w:ind w:left="60"/>
              <w:spacing w:after="0"/>
              <w:rPr>
                <w:sz w:val="20"/>
                <w:szCs w:val="20"/>
                <w:color w:val="auto"/>
              </w:rPr>
            </w:pPr>
            <w:r>
              <w:rPr>
                <w:rFonts w:ascii="Arial" w:cs="Arial" w:eastAsia="Arial" w:hAnsi="Arial"/>
                <w:sz w:val="16"/>
                <w:szCs w:val="16"/>
                <w:b w:val="1"/>
                <w:bCs w:val="1"/>
                <w:color w:val="auto"/>
              </w:rPr>
              <w:t>Class A Common</w:t>
            </w:r>
          </w:p>
        </w:tc>
        <w:tc>
          <w:tcPr>
            <w:tcW w:w="16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gridSpan w:val="8"/>
            <w:vMerge w:val="restart"/>
          </w:tcPr>
          <w:p>
            <w:pPr>
              <w:spacing w:after="0"/>
              <w:rPr>
                <w:sz w:val="20"/>
                <w:szCs w:val="20"/>
                <w:color w:val="auto"/>
              </w:rPr>
            </w:pPr>
            <w:r>
              <w:rPr>
                <w:rFonts w:ascii="Arial" w:cs="Arial" w:eastAsia="Arial" w:hAnsi="Arial"/>
                <w:sz w:val="16"/>
                <w:szCs w:val="16"/>
                <w:b w:val="1"/>
                <w:bCs w:val="1"/>
                <w:color w:val="auto"/>
              </w:rPr>
              <w:t>Class B Common</w:t>
            </w: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5"/>
            <w:vMerge w:val="continue"/>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9"/>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5"/>
            <w:vMerge w:val="continue"/>
          </w:tcPr>
          <w:p>
            <w:pPr>
              <w:spacing w:after="0"/>
              <w:rPr>
                <w:sz w:val="15"/>
                <w:szCs w:val="15"/>
                <w:color w:val="auto"/>
              </w:rPr>
            </w:pPr>
          </w:p>
        </w:tc>
        <w:tc>
          <w:tcPr>
            <w:tcW w:w="80" w:type="dxa"/>
            <w:vAlign w:val="bottom"/>
            <w:tcBorders>
              <w:top w:val="single" w:sz="8" w:color="auto"/>
            </w:tcBorders>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6"/>
                <w:szCs w:val="16"/>
                <w:b w:val="1"/>
                <w:bCs w:val="1"/>
                <w:color w:val="auto"/>
              </w:rPr>
              <w:t>Stock</w:t>
            </w: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top w:val="single" w:sz="8" w:color="auto"/>
            </w:tcBorders>
            <w:gridSpan w:val="5"/>
          </w:tcPr>
          <w:p>
            <w:pPr>
              <w:ind w:left="440"/>
              <w:spacing w:after="0" w:line="155" w:lineRule="exact"/>
              <w:rPr>
                <w:sz w:val="20"/>
                <w:szCs w:val="20"/>
                <w:color w:val="auto"/>
              </w:rPr>
            </w:pPr>
            <w:r>
              <w:rPr>
                <w:rFonts w:ascii="Arial" w:cs="Arial" w:eastAsia="Arial" w:hAnsi="Arial"/>
                <w:sz w:val="16"/>
                <w:szCs w:val="16"/>
                <w:b w:val="1"/>
                <w:bCs w:val="1"/>
                <w:color w:val="auto"/>
              </w:rPr>
              <w:t>Stock</w:t>
            </w:r>
          </w:p>
        </w:tc>
        <w:tc>
          <w:tcPr>
            <w:tcW w:w="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tcBorders>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w:t>
            </w:r>
          </w:p>
        </w:tc>
        <w:tc>
          <w:tcPr>
            <w:tcW w:w="22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Arial" w:cs="Arial" w:eastAsia="Arial" w:hAnsi="Arial"/>
                <w:sz w:val="16"/>
                <w:szCs w:val="16"/>
                <w:b w:val="1"/>
                <w:bCs w:val="1"/>
                <w:color w:val="auto"/>
              </w:rPr>
              <w:t>Member's</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39"/>
        </w:trPr>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7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Units</w:t>
            </w: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Amounts</w:t>
            </w:r>
          </w:p>
        </w:tc>
        <w:tc>
          <w:tcPr>
            <w:tcW w:w="80" w:type="dxa"/>
            <w:vAlign w:val="bottom"/>
            <w:tcBorders>
              <w:bottom w:val="single" w:sz="8" w:color="auto"/>
            </w:tcBorders>
            <w:shd w:val="clear" w:color="auto" w:fill="000000"/>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Equity</w:t>
            </w: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8"/>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March 28,</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2021</w:t>
            </w:r>
          </w:p>
        </w:tc>
        <w:tc>
          <w:tcPr>
            <w:tcW w:w="8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206,086</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135,673</w:t>
            </w:r>
          </w:p>
        </w:tc>
        <w:tc>
          <w:tcPr>
            <w:tcW w:w="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DBDBDB"/>
          </w:tcPr>
          <w:p>
            <w:pPr>
              <w:spacing w:after="0"/>
              <w:rPr>
                <w:sz w:val="19"/>
                <w:szCs w:val="19"/>
                <w:color w:val="auto"/>
              </w:rPr>
            </w:pPr>
          </w:p>
        </w:tc>
        <w:tc>
          <w:tcPr>
            <w:tcW w:w="6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135,673</w:t>
            </w: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13,749</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Issuance of</w:t>
            </w:r>
          </w:p>
        </w:tc>
        <w:tc>
          <w:tcPr>
            <w:tcW w:w="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common units</w:t>
            </w:r>
          </w:p>
        </w:tc>
        <w:tc>
          <w:tcPr>
            <w:tcW w:w="18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6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Equity-based</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Redeemable</w:t>
            </w:r>
          </w:p>
        </w:tc>
        <w:tc>
          <w:tcPr>
            <w:tcW w:w="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preferred</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accretion</w:t>
            </w:r>
          </w:p>
        </w:tc>
        <w:tc>
          <w:tcPr>
            <w:tcW w:w="180" w:type="dxa"/>
            <w:vAlign w:val="bottom"/>
            <w:shd w:val="clear" w:color="auto" w:fill="DBDBDB"/>
          </w:tcPr>
          <w:p>
            <w:pPr>
              <w:spacing w:after="0"/>
              <w:rPr>
                <w:sz w:val="20"/>
                <w:szCs w:val="20"/>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5,577</w:t>
            </w:r>
          </w:p>
        </w:tc>
        <w:tc>
          <w:tcPr>
            <w:tcW w:w="80" w:type="dxa"/>
            <w:vAlign w:val="bottom"/>
            <w:shd w:val="clear" w:color="auto" w:fill="000000"/>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(5,577)</w:t>
            </w:r>
          </w:p>
        </w:tc>
        <w:tc>
          <w:tcPr>
            <w:tcW w:w="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6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0"/>
                <w:szCs w:val="20"/>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01"/>
        </w:trPr>
        <w:tc>
          <w:tcPr>
            <w:tcW w:w="12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27, 2021</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211,663</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144,113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144,113</w:t>
            </w:r>
          </w:p>
        </w:tc>
        <w:tc>
          <w:tcPr>
            <w:tcW w:w="0" w:type="dxa"/>
            <w:vAlign w:val="bottom"/>
          </w:tcPr>
          <w:p>
            <w:pPr>
              <w:spacing w:after="0"/>
              <w:rPr>
                <w:sz w:val="1"/>
                <w:szCs w:val="1"/>
                <w:color w:val="auto"/>
              </w:rPr>
            </w:pPr>
          </w:p>
        </w:tc>
      </w:tr>
      <w:tr>
        <w:trPr>
          <w:trHeight w:val="242"/>
        </w:trPr>
        <w:tc>
          <w:tcPr>
            <w:tcW w:w="118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auto"/>
            </w:tcBorders>
            <w:shd w:val="clear" w:color="auto" w:fill="DBDBDB"/>
          </w:tcPr>
          <w:p>
            <w:pPr>
              <w:spacing w:after="0"/>
              <w:rPr>
                <w:sz w:val="21"/>
                <w:szCs w:val="21"/>
                <w:color w:val="auto"/>
              </w:rPr>
            </w:pPr>
          </w:p>
        </w:tc>
        <w:tc>
          <w:tcPr>
            <w:tcW w:w="180" w:type="dxa"/>
            <w:vAlign w:val="bottom"/>
            <w:tcBorders>
              <w:top w:val="single" w:sz="8" w:color="auto"/>
            </w:tcBorders>
            <w:shd w:val="clear" w:color="auto" w:fill="DBDBDB"/>
          </w:tcPr>
          <w:p>
            <w:pPr>
              <w:spacing w:after="0"/>
              <w:rPr>
                <w:sz w:val="21"/>
                <w:szCs w:val="21"/>
                <w:color w:val="auto"/>
              </w:rPr>
            </w:pPr>
          </w:p>
        </w:tc>
        <w:tc>
          <w:tcPr>
            <w:tcW w:w="48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DBDBDB"/>
            </w:tcBorders>
            <w:shd w:val="clear" w:color="auto" w:fill="DBDBDB"/>
          </w:tcPr>
          <w:p>
            <w:pPr>
              <w:spacing w:after="0"/>
              <w:rPr>
                <w:sz w:val="21"/>
                <w:szCs w:val="21"/>
                <w:color w:val="auto"/>
              </w:rPr>
            </w:pPr>
          </w:p>
        </w:tc>
        <w:tc>
          <w:tcPr>
            <w:tcW w:w="120" w:type="dxa"/>
            <w:vAlign w:val="bottom"/>
            <w:tcBorders>
              <w:top w:val="single" w:sz="8" w:color="auto"/>
            </w:tcBorders>
            <w:shd w:val="clear" w:color="auto" w:fill="DBDBDB"/>
          </w:tcPr>
          <w:p>
            <w:pPr>
              <w:spacing w:after="0"/>
              <w:rPr>
                <w:sz w:val="21"/>
                <w:szCs w:val="21"/>
                <w:color w:val="auto"/>
              </w:rPr>
            </w:pPr>
          </w:p>
        </w:tc>
        <w:tc>
          <w:tcPr>
            <w:tcW w:w="480" w:type="dxa"/>
            <w:vAlign w:val="bottom"/>
            <w:tcBorders>
              <w:top w:val="single" w:sz="8" w:color="auto"/>
            </w:tcBorders>
            <w:shd w:val="clear" w:color="auto" w:fill="DBDBDB"/>
          </w:tcPr>
          <w:p>
            <w:pPr>
              <w:spacing w:after="0"/>
              <w:rPr>
                <w:sz w:val="21"/>
                <w:szCs w:val="21"/>
                <w:color w:val="auto"/>
              </w:rPr>
            </w:pPr>
          </w:p>
        </w:tc>
        <w:tc>
          <w:tcPr>
            <w:tcW w:w="18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auto"/>
            </w:tcBorders>
            <w:shd w:val="clear" w:color="auto" w:fill="000000"/>
          </w:tcPr>
          <w:p>
            <w:pPr>
              <w:spacing w:after="0"/>
              <w:rPr>
                <w:sz w:val="21"/>
                <w:szCs w:val="21"/>
                <w:color w:val="auto"/>
              </w:rPr>
            </w:pPr>
          </w:p>
        </w:tc>
        <w:tc>
          <w:tcPr>
            <w:tcW w:w="140" w:type="dxa"/>
            <w:vAlign w:val="bottom"/>
            <w:tcBorders>
              <w:top w:val="single" w:sz="8" w:color="auto"/>
            </w:tcBorders>
            <w:shd w:val="clear" w:color="auto" w:fill="DBDBDB"/>
          </w:tcPr>
          <w:p>
            <w:pPr>
              <w:spacing w:after="0"/>
              <w:rPr>
                <w:sz w:val="21"/>
                <w:szCs w:val="21"/>
                <w:color w:val="auto"/>
              </w:rPr>
            </w:pPr>
          </w:p>
        </w:tc>
        <w:tc>
          <w:tcPr>
            <w:tcW w:w="68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DBDBDB"/>
            </w:tcBorders>
            <w:shd w:val="clear" w:color="auto" w:fill="DBDBDB"/>
          </w:tcPr>
          <w:p>
            <w:pPr>
              <w:spacing w:after="0"/>
              <w:rPr>
                <w:sz w:val="21"/>
                <w:szCs w:val="21"/>
                <w:color w:val="auto"/>
              </w:rPr>
            </w:pPr>
          </w:p>
        </w:tc>
        <w:tc>
          <w:tcPr>
            <w:tcW w:w="100" w:type="dxa"/>
            <w:vAlign w:val="bottom"/>
            <w:tcBorders>
              <w:top w:val="single" w:sz="8" w:color="auto"/>
            </w:tcBorders>
            <w:shd w:val="clear" w:color="auto" w:fill="DBDBDB"/>
          </w:tcPr>
          <w:p>
            <w:pPr>
              <w:spacing w:after="0"/>
              <w:rPr>
                <w:sz w:val="21"/>
                <w:szCs w:val="21"/>
                <w:color w:val="auto"/>
              </w:rPr>
            </w:pPr>
          </w:p>
        </w:tc>
        <w:tc>
          <w:tcPr>
            <w:tcW w:w="60" w:type="dxa"/>
            <w:vAlign w:val="bottom"/>
            <w:tcBorders>
              <w:top w:val="single" w:sz="8" w:color="auto"/>
            </w:tcBorders>
            <w:shd w:val="clear" w:color="auto" w:fill="DBDBDB"/>
          </w:tcPr>
          <w:p>
            <w:pPr>
              <w:spacing w:after="0"/>
              <w:rPr>
                <w:sz w:val="21"/>
                <w:szCs w:val="21"/>
                <w:color w:val="auto"/>
              </w:rPr>
            </w:pPr>
          </w:p>
        </w:tc>
        <w:tc>
          <w:tcPr>
            <w:tcW w:w="440" w:type="dxa"/>
            <w:vAlign w:val="bottom"/>
            <w:tcBorders>
              <w:top w:val="single" w:sz="8" w:color="auto"/>
            </w:tcBorders>
            <w:shd w:val="clear" w:color="auto" w:fill="DBDBDB"/>
          </w:tcPr>
          <w:p>
            <w:pPr>
              <w:spacing w:after="0"/>
              <w:rPr>
                <w:sz w:val="21"/>
                <w:szCs w:val="21"/>
                <w:color w:val="auto"/>
              </w:rPr>
            </w:pPr>
          </w:p>
        </w:tc>
        <w:tc>
          <w:tcPr>
            <w:tcW w:w="30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DBDBDB"/>
            </w:tcBorders>
            <w:shd w:val="clear" w:color="auto" w:fill="DBDBDB"/>
          </w:tcPr>
          <w:p>
            <w:pPr>
              <w:spacing w:after="0"/>
              <w:rPr>
                <w:sz w:val="21"/>
                <w:szCs w:val="21"/>
                <w:color w:val="auto"/>
              </w:rPr>
            </w:pPr>
          </w:p>
        </w:tc>
        <w:tc>
          <w:tcPr>
            <w:tcW w:w="60" w:type="dxa"/>
            <w:vAlign w:val="bottom"/>
            <w:tcBorders>
              <w:top w:val="single" w:sz="8" w:color="auto"/>
            </w:tcBorders>
            <w:shd w:val="clear" w:color="auto" w:fill="DBDBDB"/>
          </w:tcPr>
          <w:p>
            <w:pPr>
              <w:spacing w:after="0"/>
              <w:rPr>
                <w:sz w:val="21"/>
                <w:szCs w:val="21"/>
                <w:color w:val="auto"/>
              </w:rPr>
            </w:pPr>
          </w:p>
        </w:tc>
        <w:tc>
          <w:tcPr>
            <w:tcW w:w="160" w:type="dxa"/>
            <w:vAlign w:val="bottom"/>
            <w:tcBorders>
              <w:top w:val="single" w:sz="8" w:color="auto"/>
            </w:tcBorders>
            <w:shd w:val="clear" w:color="auto" w:fill="DBDBDB"/>
          </w:tcPr>
          <w:p>
            <w:pPr>
              <w:spacing w:after="0"/>
              <w:rPr>
                <w:sz w:val="21"/>
                <w:szCs w:val="21"/>
                <w:color w:val="auto"/>
              </w:rPr>
            </w:pPr>
          </w:p>
        </w:tc>
        <w:tc>
          <w:tcPr>
            <w:tcW w:w="300" w:type="dxa"/>
            <w:vAlign w:val="bottom"/>
            <w:tcBorders>
              <w:top w:val="single" w:sz="8" w:color="auto"/>
            </w:tcBorders>
            <w:shd w:val="clear" w:color="auto" w:fill="DBDBDB"/>
          </w:tcPr>
          <w:p>
            <w:pPr>
              <w:spacing w:after="0"/>
              <w:rPr>
                <w:sz w:val="21"/>
                <w:szCs w:val="21"/>
                <w:color w:val="auto"/>
              </w:rPr>
            </w:pPr>
          </w:p>
        </w:tc>
        <w:tc>
          <w:tcPr>
            <w:tcW w:w="14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DBDBDB"/>
            </w:tcBorders>
            <w:shd w:val="clear" w:color="auto" w:fill="DBDBDB"/>
          </w:tcPr>
          <w:p>
            <w:pPr>
              <w:spacing w:after="0"/>
              <w:rPr>
                <w:sz w:val="21"/>
                <w:szCs w:val="21"/>
                <w:color w:val="auto"/>
              </w:rPr>
            </w:pPr>
          </w:p>
        </w:tc>
        <w:tc>
          <w:tcPr>
            <w:tcW w:w="160" w:type="dxa"/>
            <w:vAlign w:val="bottom"/>
            <w:tcBorders>
              <w:top w:val="single" w:sz="8" w:color="auto"/>
            </w:tcBorders>
            <w:shd w:val="clear" w:color="auto" w:fill="DBDBDB"/>
          </w:tcPr>
          <w:p>
            <w:pPr>
              <w:spacing w:after="0"/>
              <w:rPr>
                <w:sz w:val="21"/>
                <w:szCs w:val="21"/>
                <w:color w:val="auto"/>
              </w:rPr>
            </w:pPr>
          </w:p>
        </w:tc>
        <w:tc>
          <w:tcPr>
            <w:tcW w:w="440" w:type="dxa"/>
            <w:vAlign w:val="bottom"/>
            <w:tcBorders>
              <w:top w:val="single" w:sz="8" w:color="auto"/>
            </w:tcBorders>
            <w:shd w:val="clear" w:color="auto" w:fill="DBDBDB"/>
          </w:tcPr>
          <w:p>
            <w:pPr>
              <w:spacing w:after="0"/>
              <w:rPr>
                <w:sz w:val="21"/>
                <w:szCs w:val="21"/>
                <w:color w:val="auto"/>
              </w:rPr>
            </w:pPr>
          </w:p>
        </w:tc>
        <w:tc>
          <w:tcPr>
            <w:tcW w:w="28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DBDBDB"/>
            </w:tcBorders>
            <w:shd w:val="clear" w:color="auto" w:fill="DBDBDB"/>
          </w:tcPr>
          <w:p>
            <w:pPr>
              <w:spacing w:after="0"/>
              <w:rPr>
                <w:sz w:val="21"/>
                <w:szCs w:val="21"/>
                <w:color w:val="auto"/>
              </w:rPr>
            </w:pPr>
          </w:p>
        </w:tc>
        <w:tc>
          <w:tcPr>
            <w:tcW w:w="80" w:type="dxa"/>
            <w:vAlign w:val="bottom"/>
            <w:tcBorders>
              <w:top w:val="single" w:sz="8" w:color="auto"/>
            </w:tcBorders>
            <w:shd w:val="clear" w:color="auto" w:fill="DBDBDB"/>
          </w:tcPr>
          <w:p>
            <w:pPr>
              <w:spacing w:after="0"/>
              <w:rPr>
                <w:sz w:val="21"/>
                <w:szCs w:val="21"/>
                <w:color w:val="auto"/>
              </w:rPr>
            </w:pPr>
          </w:p>
        </w:tc>
        <w:tc>
          <w:tcPr>
            <w:tcW w:w="200" w:type="dxa"/>
            <w:vAlign w:val="bottom"/>
            <w:tcBorders>
              <w:top w:val="single" w:sz="8" w:color="auto"/>
            </w:tcBorders>
            <w:shd w:val="clear" w:color="auto" w:fill="DBDBDB"/>
          </w:tcPr>
          <w:p>
            <w:pPr>
              <w:spacing w:after="0"/>
              <w:rPr>
                <w:sz w:val="21"/>
                <w:szCs w:val="21"/>
                <w:color w:val="auto"/>
              </w:rPr>
            </w:pPr>
          </w:p>
        </w:tc>
        <w:tc>
          <w:tcPr>
            <w:tcW w:w="240" w:type="dxa"/>
            <w:vAlign w:val="bottom"/>
            <w:tcBorders>
              <w:top w:val="single" w:sz="8" w:color="auto"/>
            </w:tcBorders>
            <w:shd w:val="clear" w:color="auto" w:fill="DBDBDB"/>
          </w:tcPr>
          <w:p>
            <w:pPr>
              <w:spacing w:after="0"/>
              <w:rPr>
                <w:sz w:val="21"/>
                <w:szCs w:val="21"/>
                <w:color w:val="auto"/>
              </w:rPr>
            </w:pPr>
          </w:p>
        </w:tc>
        <w:tc>
          <w:tcPr>
            <w:tcW w:w="16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DBDBDB"/>
            </w:tcBorders>
            <w:shd w:val="clear" w:color="auto" w:fill="DBDBDB"/>
          </w:tcPr>
          <w:p>
            <w:pPr>
              <w:spacing w:after="0"/>
              <w:rPr>
                <w:sz w:val="21"/>
                <w:szCs w:val="21"/>
                <w:color w:val="auto"/>
              </w:rPr>
            </w:pPr>
          </w:p>
        </w:tc>
        <w:tc>
          <w:tcPr>
            <w:tcW w:w="120" w:type="dxa"/>
            <w:vAlign w:val="bottom"/>
            <w:tcBorders>
              <w:top w:val="single" w:sz="8" w:color="auto"/>
            </w:tcBorders>
            <w:shd w:val="clear" w:color="auto" w:fill="DBDBDB"/>
          </w:tcPr>
          <w:p>
            <w:pPr>
              <w:spacing w:after="0"/>
              <w:rPr>
                <w:sz w:val="21"/>
                <w:szCs w:val="21"/>
                <w:color w:val="auto"/>
              </w:rPr>
            </w:pPr>
          </w:p>
        </w:tc>
        <w:tc>
          <w:tcPr>
            <w:tcW w:w="180" w:type="dxa"/>
            <w:vAlign w:val="bottom"/>
            <w:tcBorders>
              <w:top w:val="single" w:sz="8" w:color="auto"/>
            </w:tcBorders>
            <w:shd w:val="clear" w:color="auto" w:fill="DBDBDB"/>
          </w:tcPr>
          <w:p>
            <w:pPr>
              <w:spacing w:after="0"/>
              <w:rPr>
                <w:sz w:val="21"/>
                <w:szCs w:val="21"/>
                <w:color w:val="auto"/>
              </w:rPr>
            </w:pPr>
          </w:p>
        </w:tc>
        <w:tc>
          <w:tcPr>
            <w:tcW w:w="54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DBDBDB"/>
            </w:tcBorders>
            <w:shd w:val="clear" w:color="auto" w:fill="DBDBDB"/>
          </w:tcPr>
          <w:p>
            <w:pPr>
              <w:spacing w:after="0"/>
              <w:rPr>
                <w:sz w:val="21"/>
                <w:szCs w:val="21"/>
                <w:color w:val="auto"/>
              </w:rPr>
            </w:pPr>
          </w:p>
        </w:tc>
        <w:tc>
          <w:tcPr>
            <w:tcW w:w="180" w:type="dxa"/>
            <w:vAlign w:val="bottom"/>
            <w:tcBorders>
              <w:top w:val="single" w:sz="8" w:color="auto"/>
            </w:tcBorders>
            <w:shd w:val="clear" w:color="auto" w:fill="DBDBDB"/>
          </w:tcPr>
          <w:p>
            <w:pPr>
              <w:spacing w:after="0"/>
              <w:rPr>
                <w:sz w:val="21"/>
                <w:szCs w:val="21"/>
                <w:color w:val="auto"/>
              </w:rPr>
            </w:pPr>
          </w:p>
        </w:tc>
        <w:tc>
          <w:tcPr>
            <w:tcW w:w="88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DBDBDB"/>
            </w:tcBorders>
            <w:shd w:val="clear" w:color="auto" w:fill="DBDBDB"/>
          </w:tcPr>
          <w:p>
            <w:pPr>
              <w:spacing w:after="0"/>
              <w:rPr>
                <w:sz w:val="21"/>
                <w:szCs w:val="21"/>
                <w:color w:val="auto"/>
              </w:rPr>
            </w:pPr>
          </w:p>
        </w:tc>
        <w:tc>
          <w:tcPr>
            <w:tcW w:w="140" w:type="dxa"/>
            <w:vAlign w:val="bottom"/>
            <w:tcBorders>
              <w:top w:val="single" w:sz="8" w:color="auto"/>
            </w:tcBorders>
            <w:shd w:val="clear" w:color="auto" w:fill="DBDBDB"/>
          </w:tcPr>
          <w:p>
            <w:pPr>
              <w:spacing w:after="0"/>
              <w:rPr>
                <w:sz w:val="21"/>
                <w:szCs w:val="21"/>
                <w:color w:val="auto"/>
              </w:rPr>
            </w:pPr>
          </w:p>
        </w:tc>
        <w:tc>
          <w:tcPr>
            <w:tcW w:w="760" w:type="dxa"/>
            <w:vAlign w:val="bottom"/>
            <w:tcBorders>
              <w:top w:val="single" w:sz="8" w:color="auto"/>
            </w:tcBorders>
            <w:shd w:val="clear" w:color="auto" w:fill="DBDBDB"/>
          </w:tcPr>
          <w:p>
            <w:pPr>
              <w:spacing w:after="0"/>
              <w:rPr>
                <w:sz w:val="21"/>
                <w:szCs w:val="21"/>
                <w:color w:val="auto"/>
              </w:rPr>
            </w:pPr>
          </w:p>
        </w:tc>
        <w:tc>
          <w:tcPr>
            <w:tcW w:w="80" w:type="dxa"/>
            <w:vAlign w:val="bottom"/>
            <w:tcBorders>
              <w:top w:val="single" w:sz="8" w:color="DBDBDB"/>
            </w:tcBorders>
            <w:shd w:val="clear" w:color="auto" w:fill="DBDBDB"/>
          </w:tcPr>
          <w:p>
            <w:pPr>
              <w:spacing w:after="0"/>
              <w:rPr>
                <w:sz w:val="21"/>
                <w:szCs w:val="21"/>
                <w:color w:val="auto"/>
              </w:rPr>
            </w:pPr>
          </w:p>
        </w:tc>
        <w:tc>
          <w:tcPr>
            <w:tcW w:w="220" w:type="dxa"/>
            <w:vAlign w:val="bottom"/>
            <w:tcBorders>
              <w:top w:val="single" w:sz="8" w:color="auto"/>
            </w:tcBorders>
            <w:shd w:val="clear" w:color="auto" w:fill="DBDBDB"/>
          </w:tcPr>
          <w:p>
            <w:pPr>
              <w:spacing w:after="0"/>
              <w:rPr>
                <w:sz w:val="21"/>
                <w:szCs w:val="21"/>
                <w:color w:val="auto"/>
              </w:rPr>
            </w:pPr>
          </w:p>
        </w:tc>
        <w:tc>
          <w:tcPr>
            <w:tcW w:w="880" w:type="dxa"/>
            <w:vAlign w:val="bottom"/>
            <w:tcBorders>
              <w:top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27,</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w w:val="99"/>
              </w:rPr>
              <w:t>35,807,171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358</w:t>
            </w: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35,673,321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188,752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254,387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427,741</w:t>
            </w:r>
          </w:p>
        </w:tc>
        <w:tc>
          <w:tcPr>
            <w:tcW w:w="0" w:type="dxa"/>
            <w:vAlign w:val="bottom"/>
          </w:tcPr>
          <w:p>
            <w:pPr>
              <w:spacing w:after="0"/>
              <w:rPr>
                <w:sz w:val="1"/>
                <w:szCs w:val="1"/>
                <w:color w:val="auto"/>
              </w:rPr>
            </w:pPr>
          </w:p>
        </w:tc>
      </w:tr>
      <w:tr>
        <w:trPr>
          <w:trHeight w:val="245"/>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6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5,111</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5,645</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10,756</w:t>
            </w: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Equity-based</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1,941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Exercise of</w:t>
            </w:r>
          </w:p>
        </w:tc>
        <w:tc>
          <w:tcPr>
            <w:tcW w:w="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stock options</w:t>
            </w:r>
          </w:p>
        </w:tc>
        <w:tc>
          <w:tcPr>
            <w:tcW w:w="18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411,184</w:t>
            </w:r>
          </w:p>
        </w:tc>
        <w:tc>
          <w:tcPr>
            <w:tcW w:w="8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44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4</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1,447</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Non-</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controlling</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interest</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adjustment</w:t>
            </w:r>
          </w:p>
        </w:tc>
        <w:tc>
          <w:tcPr>
            <w:tcW w:w="8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000000"/>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722</w:t>
            </w:r>
          </w:p>
        </w:tc>
        <w:tc>
          <w:tcPr>
            <w:tcW w:w="8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June 26, 2022</w:t>
            </w:r>
          </w:p>
        </w:tc>
        <w:tc>
          <w:tcPr>
            <w:tcW w:w="180" w:type="dxa"/>
            <w:vAlign w:val="bottom"/>
            <w:shd w:val="clear" w:color="auto" w:fill="DBDBDB"/>
          </w:tcPr>
          <w:p>
            <w:pPr>
              <w:spacing w:after="0"/>
              <w:rPr>
                <w:sz w:val="22"/>
                <w:szCs w:val="22"/>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2"/>
                <w:szCs w:val="22"/>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w w:val="99"/>
              </w:rPr>
              <w:t>36,218,355</w:t>
            </w:r>
          </w:p>
        </w:tc>
        <w:tc>
          <w:tcPr>
            <w:tcW w:w="80" w:type="dxa"/>
            <w:vAlign w:val="bottom"/>
            <w:shd w:val="clear" w:color="auto" w:fill="DBDBDB"/>
          </w:tcPr>
          <w:p>
            <w:pPr>
              <w:spacing w:after="0"/>
              <w:rPr>
                <w:sz w:val="22"/>
                <w:szCs w:val="22"/>
                <w:color w:val="auto"/>
              </w:rPr>
            </w:pPr>
          </w:p>
        </w:tc>
        <w:tc>
          <w:tcPr>
            <w:tcW w:w="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362</w:t>
            </w:r>
          </w:p>
        </w:tc>
        <w:tc>
          <w:tcPr>
            <w:tcW w:w="80" w:type="dxa"/>
            <w:vAlign w:val="bottom"/>
            <w:shd w:val="clear" w:color="auto" w:fill="DBDBDB"/>
          </w:tcPr>
          <w:p>
            <w:pPr>
              <w:spacing w:after="0"/>
              <w:rPr>
                <w:sz w:val="22"/>
                <w:szCs w:val="22"/>
                <w:color w:val="auto"/>
              </w:rPr>
            </w:pP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35,673,321</w:t>
            </w:r>
          </w:p>
        </w:tc>
        <w:tc>
          <w:tcPr>
            <w:tcW w:w="80" w:type="dxa"/>
            <w:vAlign w:val="bottom"/>
            <w:shd w:val="clear" w:color="auto" w:fill="DBDBDB"/>
          </w:tcPr>
          <w:p>
            <w:pPr>
              <w:spacing w:after="0"/>
              <w:rPr>
                <w:sz w:val="22"/>
                <w:szCs w:val="22"/>
                <w:color w:val="auto"/>
              </w:rPr>
            </w:pPr>
          </w:p>
        </w:tc>
        <w:tc>
          <w:tcPr>
            <w:tcW w:w="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192,862</w:t>
            </w:r>
          </w:p>
        </w:tc>
        <w:tc>
          <w:tcPr>
            <w:tcW w:w="80" w:type="dxa"/>
            <w:vAlign w:val="bottom"/>
            <w:shd w:val="clear" w:color="auto" w:fill="DBDBDB"/>
          </w:tcPr>
          <w:p>
            <w:pPr>
              <w:spacing w:after="0"/>
              <w:rPr>
                <w:sz w:val="22"/>
                <w:szCs w:val="22"/>
                <w:color w:val="auto"/>
              </w:rPr>
            </w:pP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(10,645)</w:t>
            </w:r>
          </w:p>
        </w:tc>
        <w:tc>
          <w:tcPr>
            <w:tcW w:w="80" w:type="dxa"/>
            <w:vAlign w:val="bottom"/>
            <w:shd w:val="clear" w:color="auto" w:fill="DBDBDB"/>
          </w:tcPr>
          <w:p>
            <w:pPr>
              <w:spacing w:after="0"/>
              <w:rPr>
                <w:sz w:val="22"/>
                <w:szCs w:val="22"/>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261,233</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443,812</w:t>
            </w:r>
          </w:p>
        </w:tc>
        <w:tc>
          <w:tcPr>
            <w:tcW w:w="0" w:type="dxa"/>
            <w:vAlign w:val="bottom"/>
          </w:tcPr>
          <w:p>
            <w:pPr>
              <w:spacing w:after="0"/>
              <w:rPr>
                <w:sz w:val="1"/>
                <w:szCs w:val="1"/>
                <w:color w:val="auto"/>
              </w:rPr>
            </w:pP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ind w:right="3440"/>
        <w:spacing w:after="0" w:line="250" w:lineRule="auto"/>
        <w:rPr>
          <w:sz w:val="20"/>
          <w:szCs w:val="20"/>
          <w:color w:val="auto"/>
        </w:rPr>
      </w:pPr>
      <w:r>
        <w:rPr>
          <w:rFonts w:ascii="Arial" w:cs="Arial" w:eastAsia="Arial" w:hAnsi="Arial"/>
          <w:sz w:val="18"/>
          <w:szCs w:val="18"/>
          <w:b w:val="1"/>
          <w:bCs w:val="1"/>
          <w:color w:val="auto"/>
        </w:rPr>
        <w:t>CONDENSED CONSOLIDATED STATEMENTS OF STOCKHOLDERS' AND MEMBERS' EQUITY (UNAUDITED)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80" w:type="dxa"/>
            <w:vAlign w:val="bottom"/>
            <w:gridSpan w:val="24"/>
          </w:tcPr>
          <w:p>
            <w:pPr>
              <w:spacing w:after="0"/>
              <w:rPr>
                <w:sz w:val="20"/>
                <w:szCs w:val="20"/>
                <w:color w:val="auto"/>
              </w:rPr>
            </w:pPr>
            <w:r>
              <w:rPr>
                <w:rFonts w:ascii="Arial" w:cs="Arial" w:eastAsia="Arial" w:hAnsi="Arial"/>
                <w:sz w:val="16"/>
                <w:szCs w:val="16"/>
                <w:b w:val="1"/>
                <w:bCs w:val="1"/>
                <w:color w:val="auto"/>
              </w:rPr>
              <w:t>Two Quarters Ended June 26, 2022 and June 27, 2021</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5"/>
            <w:vMerge w:val="restart"/>
          </w:tcPr>
          <w:p>
            <w:pPr>
              <w:jc w:val="right"/>
              <w:ind w:right="180"/>
              <w:spacing w:after="0"/>
              <w:rPr>
                <w:sz w:val="20"/>
                <w:szCs w:val="20"/>
                <w:color w:val="auto"/>
              </w:rPr>
            </w:pPr>
            <w:r>
              <w:rPr>
                <w:rFonts w:ascii="Arial" w:cs="Arial" w:eastAsia="Arial" w:hAnsi="Arial"/>
                <w:sz w:val="16"/>
                <w:szCs w:val="16"/>
                <w:b w:val="1"/>
                <w:bCs w:val="1"/>
                <w:color w:val="auto"/>
                <w:w w:val="98"/>
              </w:rPr>
              <w:t>Preferred Units</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gridSpan w:val="9"/>
            <w:vMerge w:val="restart"/>
          </w:tcPr>
          <w:p>
            <w:pPr>
              <w:ind w:left="160"/>
              <w:spacing w:after="0"/>
              <w:rPr>
                <w:sz w:val="20"/>
                <w:szCs w:val="20"/>
                <w:color w:val="auto"/>
              </w:rPr>
            </w:pPr>
            <w:r>
              <w:rPr>
                <w:rFonts w:ascii="Arial" w:cs="Arial" w:eastAsia="Arial" w:hAnsi="Arial"/>
                <w:sz w:val="16"/>
                <w:szCs w:val="16"/>
                <w:b w:val="1"/>
                <w:bCs w:val="1"/>
                <w:color w:val="auto"/>
              </w:rPr>
              <w:t>Class A Common</w:t>
            </w:r>
          </w:p>
        </w:tc>
        <w:tc>
          <w:tcPr>
            <w:tcW w:w="16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gridSpan w:val="8"/>
            <w:vMerge w:val="restart"/>
          </w:tcPr>
          <w:p>
            <w:pPr>
              <w:spacing w:after="0"/>
              <w:rPr>
                <w:sz w:val="20"/>
                <w:szCs w:val="20"/>
                <w:color w:val="auto"/>
              </w:rPr>
            </w:pPr>
            <w:r>
              <w:rPr>
                <w:rFonts w:ascii="Arial" w:cs="Arial" w:eastAsia="Arial" w:hAnsi="Arial"/>
                <w:sz w:val="16"/>
                <w:szCs w:val="16"/>
                <w:b w:val="1"/>
                <w:bCs w:val="1"/>
                <w:color w:val="auto"/>
              </w:rPr>
              <w:t>Class B Common</w:t>
            </w: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5"/>
            <w:vMerge w:val="continue"/>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9"/>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5"/>
            <w:vMerge w:val="continue"/>
          </w:tcPr>
          <w:p>
            <w:pPr>
              <w:spacing w:after="0"/>
              <w:rPr>
                <w:sz w:val="15"/>
                <w:szCs w:val="15"/>
                <w:color w:val="auto"/>
              </w:rPr>
            </w:pPr>
          </w:p>
        </w:tc>
        <w:tc>
          <w:tcPr>
            <w:tcW w:w="80" w:type="dxa"/>
            <w:vAlign w:val="bottom"/>
            <w:tcBorders>
              <w:top w:val="single" w:sz="8" w:color="auto"/>
            </w:tcBorders>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6"/>
                <w:szCs w:val="16"/>
                <w:b w:val="1"/>
                <w:bCs w:val="1"/>
                <w:color w:val="auto"/>
              </w:rPr>
              <w:t>Stock</w:t>
            </w: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top w:val="single" w:sz="8" w:color="auto"/>
            </w:tcBorders>
            <w:gridSpan w:val="5"/>
          </w:tcPr>
          <w:p>
            <w:pPr>
              <w:ind w:left="440"/>
              <w:spacing w:after="0" w:line="155" w:lineRule="exact"/>
              <w:rPr>
                <w:sz w:val="20"/>
                <w:szCs w:val="20"/>
                <w:color w:val="auto"/>
              </w:rPr>
            </w:pPr>
            <w:r>
              <w:rPr>
                <w:rFonts w:ascii="Arial" w:cs="Arial" w:eastAsia="Arial" w:hAnsi="Arial"/>
                <w:sz w:val="16"/>
                <w:szCs w:val="16"/>
                <w:b w:val="1"/>
                <w:bCs w:val="1"/>
                <w:color w:val="auto"/>
              </w:rPr>
              <w:t>Stock</w:t>
            </w:r>
          </w:p>
        </w:tc>
        <w:tc>
          <w:tcPr>
            <w:tcW w:w="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tcBorders>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w:t>
            </w:r>
          </w:p>
        </w:tc>
        <w:tc>
          <w:tcPr>
            <w:tcW w:w="22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00" w:type="dxa"/>
            <w:vAlign w:val="bottom"/>
            <w:gridSpan w:val="4"/>
          </w:tcPr>
          <w:p>
            <w:pPr>
              <w:ind w:left="40"/>
              <w:spacing w:after="0"/>
              <w:rPr>
                <w:sz w:val="20"/>
                <w:szCs w:val="20"/>
                <w:color w:val="auto"/>
              </w:rPr>
            </w:pPr>
            <w:r>
              <w:rPr>
                <w:rFonts w:ascii="Arial" w:cs="Arial" w:eastAsia="Arial" w:hAnsi="Arial"/>
                <w:sz w:val="16"/>
                <w:szCs w:val="16"/>
                <w:b w:val="1"/>
                <w:bCs w:val="1"/>
                <w:color w:val="auto"/>
              </w:rPr>
              <w:t>Member's</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39"/>
        </w:trPr>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74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Units</w:t>
            </w: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Amounts</w:t>
            </w:r>
          </w:p>
        </w:tc>
        <w:tc>
          <w:tcPr>
            <w:tcW w:w="80" w:type="dxa"/>
            <w:vAlign w:val="bottom"/>
            <w:tcBorders>
              <w:bottom w:val="single" w:sz="8" w:color="auto"/>
            </w:tcBorders>
            <w:shd w:val="clear" w:color="auto" w:fill="000000"/>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Equity</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Shares</w:t>
            </w:r>
          </w:p>
        </w:tc>
        <w:tc>
          <w:tcPr>
            <w:tcW w:w="7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8"/>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27,</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2020</w:t>
            </w:r>
          </w:p>
        </w:tc>
        <w:tc>
          <w:tcPr>
            <w:tcW w:w="8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200,571</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140,709</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140,709</w:t>
            </w: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13,873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13,873</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Equity-based</w:t>
            </w:r>
          </w:p>
        </w:tc>
        <w:tc>
          <w:tcPr>
            <w:tcW w:w="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273</w:t>
            </w:r>
          </w:p>
        </w:tc>
        <w:tc>
          <w:tcPr>
            <w:tcW w:w="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Repayment of</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subscription</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receivable</w:t>
            </w:r>
          </w:p>
        </w:tc>
        <w:tc>
          <w:tcPr>
            <w:tcW w:w="1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Issuance of</w:t>
            </w:r>
          </w:p>
        </w:tc>
        <w:tc>
          <w:tcPr>
            <w:tcW w:w="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common units</w:t>
            </w:r>
          </w:p>
        </w:tc>
        <w:tc>
          <w:tcPr>
            <w:tcW w:w="18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Redeemable</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preferred</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accretion</w:t>
            </w:r>
          </w:p>
        </w:tc>
        <w:tc>
          <w:tcPr>
            <w:tcW w:w="18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11,092</w:t>
            </w:r>
          </w:p>
        </w:tc>
        <w:tc>
          <w:tcPr>
            <w:tcW w:w="80" w:type="dxa"/>
            <w:vAlign w:val="bottom"/>
            <w:shd w:val="clear" w:color="auto" w:fill="000000"/>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(11,092)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(11,092)</w:t>
            </w:r>
          </w:p>
        </w:tc>
        <w:tc>
          <w:tcPr>
            <w:tcW w:w="0" w:type="dxa"/>
            <w:vAlign w:val="bottom"/>
          </w:tcPr>
          <w:p>
            <w:pPr>
              <w:spacing w:after="0"/>
              <w:rPr>
                <w:sz w:val="1"/>
                <w:szCs w:val="1"/>
                <w:color w:val="auto"/>
              </w:rPr>
            </w:pPr>
          </w:p>
        </w:tc>
      </w:tr>
      <w:tr>
        <w:trPr>
          <w:trHeight w:val="181"/>
        </w:trPr>
        <w:tc>
          <w:tcPr>
            <w:tcW w:w="1260" w:type="dxa"/>
            <w:vAlign w:val="bottom"/>
            <w:tcBorders>
              <w:top w:val="single" w:sz="8" w:color="auto"/>
            </w:tcBorders>
            <w:gridSpan w:val="2"/>
            <w:shd w:val="clear" w:color="auto" w:fill="DBDBDB"/>
          </w:tcPr>
          <w:p>
            <w:pPr>
              <w:ind w:left="20"/>
              <w:spacing w:after="0" w:line="181" w:lineRule="exact"/>
              <w:rPr>
                <w:sz w:val="20"/>
                <w:szCs w:val="20"/>
                <w:color w:val="auto"/>
              </w:rPr>
            </w:pPr>
            <w:r>
              <w:rPr>
                <w:rFonts w:ascii="Arial" w:cs="Arial" w:eastAsia="Arial" w:hAnsi="Arial"/>
                <w:sz w:val="16"/>
                <w:szCs w:val="16"/>
                <w:b w:val="1"/>
                <w:bCs w:val="1"/>
                <w:color w:val="auto"/>
              </w:rPr>
              <w:t>Balance at</w:t>
            </w:r>
          </w:p>
        </w:tc>
        <w:tc>
          <w:tcPr>
            <w:tcW w:w="180" w:type="dxa"/>
            <w:vAlign w:val="bottom"/>
            <w:tcBorders>
              <w:top w:val="single" w:sz="8" w:color="auto"/>
            </w:tcBorders>
            <w:shd w:val="clear" w:color="auto" w:fill="DBDBDB"/>
          </w:tcPr>
          <w:p>
            <w:pPr>
              <w:spacing w:after="0"/>
              <w:rPr>
                <w:sz w:val="15"/>
                <w:szCs w:val="15"/>
                <w:color w:val="auto"/>
              </w:rPr>
            </w:pPr>
          </w:p>
        </w:tc>
        <w:tc>
          <w:tcPr>
            <w:tcW w:w="4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spacing w:after="0"/>
              <w:rPr>
                <w:sz w:val="15"/>
                <w:szCs w:val="15"/>
                <w:color w:val="auto"/>
              </w:rPr>
            </w:pPr>
          </w:p>
        </w:tc>
        <w:tc>
          <w:tcPr>
            <w:tcW w:w="480" w:type="dxa"/>
            <w:vAlign w:val="bottom"/>
            <w:tcBorders>
              <w:top w:val="single" w:sz="8" w:color="auto"/>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000000"/>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640" w:type="dxa"/>
            <w:vAlign w:val="bottom"/>
            <w:tcBorders>
              <w:top w:val="single" w:sz="8" w:color="auto"/>
            </w:tcBorders>
            <w:shd w:val="clear" w:color="auto" w:fill="DBDBDB"/>
          </w:tcPr>
          <w:p>
            <w:pPr>
              <w:spacing w:after="0"/>
              <w:rPr>
                <w:sz w:val="15"/>
                <w:szCs w:val="15"/>
                <w:color w:val="auto"/>
              </w:rPr>
            </w:pPr>
          </w:p>
        </w:tc>
        <w:tc>
          <w:tcPr>
            <w:tcW w:w="4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440" w:type="dxa"/>
            <w:vAlign w:val="bottom"/>
            <w:tcBorders>
              <w:top w:val="single" w:sz="8" w:color="auto"/>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60" w:type="dxa"/>
            <w:vAlign w:val="bottom"/>
            <w:tcBorders>
              <w:top w:val="single" w:sz="8" w:color="auto"/>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44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spacing w:after="0"/>
              <w:rPr>
                <w:sz w:val="15"/>
                <w:szCs w:val="15"/>
                <w:color w:val="auto"/>
              </w:rPr>
            </w:pPr>
          </w:p>
        </w:tc>
        <w:tc>
          <w:tcPr>
            <w:tcW w:w="240" w:type="dxa"/>
            <w:vAlign w:val="bottom"/>
            <w:tcBorders>
              <w:top w:val="single" w:sz="8" w:color="auto"/>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spacing w:after="0"/>
              <w:rPr>
                <w:sz w:val="15"/>
                <w:szCs w:val="15"/>
                <w:color w:val="auto"/>
              </w:rPr>
            </w:pPr>
          </w:p>
        </w:tc>
        <w:tc>
          <w:tcPr>
            <w:tcW w:w="400" w:type="dxa"/>
            <w:vAlign w:val="bottom"/>
            <w:tcBorders>
              <w:top w:val="single" w:sz="8" w:color="auto"/>
            </w:tcBorders>
            <w:shd w:val="clear" w:color="auto" w:fill="DBDBDB"/>
          </w:tcPr>
          <w:p>
            <w:pPr>
              <w:spacing w:after="0"/>
              <w:rPr>
                <w:sz w:val="15"/>
                <w:szCs w:val="15"/>
                <w:color w:val="auto"/>
              </w:rPr>
            </w:pPr>
          </w:p>
        </w:tc>
        <w:tc>
          <w:tcPr>
            <w:tcW w:w="32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8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76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88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June 27, 2021</w:t>
            </w:r>
          </w:p>
        </w:tc>
        <w:tc>
          <w:tcPr>
            <w:tcW w:w="6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211,663</w:t>
            </w:r>
          </w:p>
        </w:tc>
        <w:tc>
          <w:tcPr>
            <w:tcW w:w="80" w:type="dxa"/>
            <w:vAlign w:val="bottom"/>
            <w:shd w:val="clear" w:color="auto" w:fill="000000"/>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144,113</w:t>
            </w:r>
          </w:p>
        </w:tc>
        <w:tc>
          <w:tcPr>
            <w:tcW w:w="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0"/>
                <w:szCs w:val="20"/>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144,113</w:t>
            </w:r>
          </w:p>
        </w:tc>
        <w:tc>
          <w:tcPr>
            <w:tcW w:w="0" w:type="dxa"/>
            <w:vAlign w:val="bottom"/>
          </w:tcPr>
          <w:p>
            <w:pPr>
              <w:spacing w:after="0"/>
              <w:rPr>
                <w:sz w:val="1"/>
                <w:szCs w:val="1"/>
                <w:color w:val="auto"/>
              </w:rPr>
            </w:pPr>
          </w:p>
        </w:tc>
      </w:tr>
      <w:tr>
        <w:trPr>
          <w:trHeight w:val="242"/>
        </w:trPr>
        <w:tc>
          <w:tcPr>
            <w:tcW w:w="11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shd w:val="clear" w:color="auto" w:fill="000000"/>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26,</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2021</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35,807,171</w:t>
            </w:r>
          </w:p>
        </w:tc>
        <w:tc>
          <w:tcPr>
            <w:tcW w:w="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44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358</w:t>
            </w:r>
          </w:p>
        </w:tc>
        <w:tc>
          <w:tcPr>
            <w:tcW w:w="80" w:type="dxa"/>
            <w:vAlign w:val="bottom"/>
            <w:shd w:val="clear" w:color="auto" w:fill="DBDBDB"/>
          </w:tcPr>
          <w:p>
            <w:pPr>
              <w:spacing w:after="0"/>
              <w:rPr>
                <w:sz w:val="19"/>
                <w:szCs w:val="19"/>
                <w:color w:val="auto"/>
              </w:rPr>
            </w:pP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35,673,321</w:t>
            </w:r>
          </w:p>
        </w:tc>
        <w:tc>
          <w:tcPr>
            <w:tcW w:w="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186,856</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(15,950)</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252,142</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423,406</w:t>
            </w: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11,306</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Equity-based</w:t>
            </w:r>
          </w:p>
        </w:tc>
        <w:tc>
          <w:tcPr>
            <w:tcW w:w="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6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3,837</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3,812</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7,649</w:t>
            </w:r>
          </w:p>
        </w:tc>
        <w:tc>
          <w:tcPr>
            <w:tcW w:w="0" w:type="dxa"/>
            <w:vAlign w:val="bottom"/>
          </w:tcPr>
          <w:p>
            <w:pPr>
              <w:spacing w:after="0"/>
              <w:rPr>
                <w:sz w:val="1"/>
                <w:szCs w:val="1"/>
                <w:color w:val="auto"/>
              </w:rPr>
            </w:pPr>
          </w:p>
        </w:tc>
      </w:tr>
      <w:tr>
        <w:trPr>
          <w:trHeight w:val="201"/>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Exercise of</w:t>
            </w:r>
          </w:p>
        </w:tc>
        <w:tc>
          <w:tcPr>
            <w:tcW w:w="180" w:type="dxa"/>
            <w:vAlign w:val="bottom"/>
          </w:tcPr>
          <w:p>
            <w:pPr>
              <w:spacing w:after="0"/>
              <w:rPr>
                <w:sz w:val="17"/>
                <w:szCs w:val="17"/>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60" w:type="dxa"/>
            <w:vAlign w:val="bottom"/>
            <w:gridSpan w:val="2"/>
          </w:tcPr>
          <w:p>
            <w:pPr>
              <w:ind w:left="140"/>
              <w:spacing w:after="0"/>
              <w:rPr>
                <w:sz w:val="20"/>
                <w:szCs w:val="20"/>
                <w:color w:val="auto"/>
              </w:rPr>
            </w:pPr>
            <w:r>
              <w:rPr>
                <w:rFonts w:ascii="Arial" w:cs="Arial" w:eastAsia="Arial" w:hAnsi="Arial"/>
                <w:sz w:val="16"/>
                <w:szCs w:val="16"/>
                <w:color w:val="auto"/>
              </w:rPr>
              <w:t>stock options</w:t>
            </w:r>
          </w:p>
        </w:tc>
        <w:tc>
          <w:tcPr>
            <w:tcW w:w="18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8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411,184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1,447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0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Non-</w:t>
            </w:r>
          </w:p>
        </w:tc>
        <w:tc>
          <w:tcPr>
            <w:tcW w:w="18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controlling</w:t>
            </w:r>
          </w:p>
        </w:tc>
        <w:tc>
          <w:tcPr>
            <w:tcW w:w="18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interest</w:t>
            </w:r>
          </w:p>
        </w:tc>
        <w:tc>
          <w:tcPr>
            <w:tcW w:w="18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26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adjustment</w:t>
            </w:r>
          </w:p>
        </w:tc>
        <w:tc>
          <w:tcPr>
            <w:tcW w:w="180" w:type="dxa"/>
            <w:vAlign w:val="bottom"/>
            <w:shd w:val="clear" w:color="auto" w:fill="DBDBDB"/>
          </w:tcPr>
          <w:p>
            <w:pPr>
              <w:spacing w:after="0"/>
              <w:rPr>
                <w:sz w:val="22"/>
                <w:szCs w:val="22"/>
                <w:color w:val="auto"/>
              </w:rPr>
            </w:pPr>
          </w:p>
        </w:tc>
        <w:tc>
          <w:tcPr>
            <w:tcW w:w="5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2"/>
                <w:szCs w:val="22"/>
                <w:color w:val="auto"/>
              </w:rPr>
            </w:pPr>
          </w:p>
        </w:tc>
        <w:tc>
          <w:tcPr>
            <w:tcW w:w="6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76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5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2"/>
                <w:szCs w:val="22"/>
                <w:color w:val="auto"/>
              </w:rPr>
            </w:pPr>
          </w:p>
        </w:tc>
        <w:tc>
          <w:tcPr>
            <w:tcW w:w="440" w:type="dxa"/>
            <w:vAlign w:val="bottom"/>
            <w:shd w:val="clear" w:color="auto" w:fill="DBDBDB"/>
          </w:tcPr>
          <w:p>
            <w:pPr>
              <w:spacing w:after="0"/>
              <w:rPr>
                <w:sz w:val="22"/>
                <w:szCs w:val="22"/>
                <w:color w:val="auto"/>
              </w:rPr>
            </w:pP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480" w:type="dxa"/>
            <w:vAlign w:val="bottom"/>
            <w:gridSpan w:val="3"/>
            <w:shd w:val="clear" w:color="auto" w:fill="DBDBDB"/>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2"/>
                <w:szCs w:val="22"/>
                <w:color w:val="auto"/>
              </w:rPr>
            </w:pP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722</w:t>
            </w:r>
          </w:p>
        </w:tc>
        <w:tc>
          <w:tcPr>
            <w:tcW w:w="8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2"/>
                <w:szCs w:val="22"/>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(722)</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1260" w:type="dxa"/>
            <w:vAlign w:val="bottom"/>
            <w:tcBorders>
              <w:top w:val="single" w:sz="8" w:color="auto"/>
            </w:tcBorders>
            <w:gridSpan w:val="2"/>
          </w:tcPr>
          <w:p>
            <w:pPr>
              <w:ind w:left="20"/>
              <w:spacing w:after="0" w:line="175" w:lineRule="exact"/>
              <w:rPr>
                <w:sz w:val="20"/>
                <w:szCs w:val="20"/>
                <w:color w:val="auto"/>
              </w:rPr>
            </w:pPr>
            <w:r>
              <w:rPr>
                <w:rFonts w:ascii="Arial" w:cs="Arial" w:eastAsia="Arial" w:hAnsi="Arial"/>
                <w:sz w:val="16"/>
                <w:szCs w:val="16"/>
                <w:b w:val="1"/>
                <w:bCs w:val="1"/>
                <w:color w:val="auto"/>
              </w:rPr>
              <w:t>Balance at</w:t>
            </w: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shd w:val="clear" w:color="auto" w:fill="000000"/>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26, 2022</w:t>
            </w:r>
          </w:p>
        </w:tc>
        <w:tc>
          <w:tcPr>
            <w:tcW w:w="18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9"/>
              </w:rPr>
              <w:t>36,218,355</w:t>
            </w:r>
          </w:p>
        </w:tc>
        <w:tc>
          <w:tcPr>
            <w:tcW w:w="8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362</w:t>
            </w:r>
          </w:p>
        </w:tc>
        <w:tc>
          <w:tcPr>
            <w:tcW w:w="8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35,673,321</w:t>
            </w:r>
          </w:p>
        </w:tc>
        <w:tc>
          <w:tcPr>
            <w:tcW w:w="80" w:type="dxa"/>
            <w:vAlign w:val="bottom"/>
          </w:tcPr>
          <w:p>
            <w:pPr>
              <w:spacing w:after="0"/>
              <w:rPr>
                <w:sz w:val="22"/>
                <w:szCs w:val="22"/>
                <w:color w:val="auto"/>
              </w:rPr>
            </w:pPr>
          </w:p>
        </w:tc>
        <w:tc>
          <w:tcPr>
            <w:tcW w:w="2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192,862</w:t>
            </w:r>
          </w:p>
        </w:tc>
        <w:tc>
          <w:tcPr>
            <w:tcW w:w="8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(10,645)</w:t>
            </w:r>
          </w:p>
        </w:tc>
        <w:tc>
          <w:tcPr>
            <w:tcW w:w="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261,233</w:t>
            </w:r>
          </w:p>
        </w:tc>
        <w:tc>
          <w:tcPr>
            <w:tcW w:w="8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443,812</w:t>
            </w:r>
          </w:p>
        </w:tc>
        <w:tc>
          <w:tcPr>
            <w:tcW w:w="0" w:type="dxa"/>
            <w:vAlign w:val="bottom"/>
          </w:tcPr>
          <w:p>
            <w:pPr>
              <w:spacing w:after="0"/>
              <w:rPr>
                <w:sz w:val="1"/>
                <w:szCs w:val="1"/>
                <w:color w:val="auto"/>
              </w:rPr>
            </w:pP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PORTILLO'S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8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26, 2022</w:t>
            </w:r>
          </w:p>
        </w:tc>
        <w:tc>
          <w:tcPr>
            <w:tcW w:w="160" w:type="dxa"/>
            <w:vAlign w:val="bottom"/>
          </w:tcPr>
          <w:p>
            <w:pPr>
              <w:spacing w:after="0"/>
              <w:rPr>
                <w:sz w:val="21"/>
                <w:szCs w:val="21"/>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27, 2021</w:t>
            </w:r>
          </w:p>
        </w:tc>
      </w:tr>
      <w:tr>
        <w:trPr>
          <w:trHeight w:val="225"/>
        </w:trPr>
        <w:tc>
          <w:tcPr>
            <w:tcW w:w="8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Borders>
              <w:top w:val="single" w:sz="8" w:color="auto"/>
            </w:tcBorders>
            <w:shd w:val="clear" w:color="auto" w:fill="DBDBDB"/>
          </w:tcPr>
          <w:p>
            <w:pPr>
              <w:spacing w:after="0"/>
              <w:rPr>
                <w:sz w:val="19"/>
                <w:szCs w:val="19"/>
                <w:color w:val="auto"/>
              </w:rPr>
            </w:pPr>
          </w:p>
        </w:tc>
        <w:tc>
          <w:tcPr>
            <w:tcW w:w="13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360" w:type="dxa"/>
            <w:vAlign w:val="bottom"/>
            <w:tcBorders>
              <w:top w:val="single" w:sz="8" w:color="auto"/>
            </w:tcBorders>
            <w:shd w:val="clear" w:color="auto" w:fill="DBDBDB"/>
          </w:tcPr>
          <w:p>
            <w:pPr>
              <w:spacing w:after="0"/>
              <w:rPr>
                <w:sz w:val="19"/>
                <w:szCs w:val="19"/>
                <w:color w:val="auto"/>
              </w:rPr>
            </w:pPr>
          </w:p>
        </w:tc>
      </w:tr>
      <w:tr>
        <w:trPr>
          <w:trHeight w:val="234"/>
        </w:trPr>
        <w:tc>
          <w:tcPr>
            <w:tcW w:w="8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11,306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13,873</w:t>
            </w:r>
          </w:p>
        </w:tc>
      </w:tr>
      <w:tr>
        <w:trPr>
          <w:trHeight w:val="249"/>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12,709</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Amortization of debt issuance costs and discount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1,243</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1,920</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Loss on sales of assets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Equity-based compensation</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7,649</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273</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Deferred rent and tenant allowance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2,083</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Deferred income tax expense</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2,505</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Tax Receivable Agreement liability adjustment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Amortization of deferred lease incentives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(189)</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Gift card breakage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49"/>
        </w:trPr>
        <w:tc>
          <w:tcPr>
            <w:tcW w:w="80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Receivables from related parties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1,502</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(297)</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49"/>
        </w:trPr>
        <w:tc>
          <w:tcPr>
            <w:tcW w:w="808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(6,140)</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856</w:t>
            </w:r>
          </w:p>
        </w:tc>
      </w:tr>
      <w:tr>
        <w:trPr>
          <w:trHeight w:val="234"/>
        </w:trPr>
        <w:tc>
          <w:tcPr>
            <w:tcW w:w="8080" w:type="dxa"/>
            <w:vAlign w:val="bottom"/>
          </w:tcPr>
          <w:p>
            <w:pPr>
              <w:ind w:left="340"/>
              <w:spacing w:after="0"/>
              <w:rPr>
                <w:sz w:val="20"/>
                <w:szCs w:val="20"/>
                <w:color w:val="auto"/>
              </w:rPr>
            </w:pPr>
            <w:r>
              <w:rPr>
                <w:rFonts w:ascii="Arial" w:cs="Arial" w:eastAsia="Arial" w:hAnsi="Arial"/>
                <w:sz w:val="16"/>
                <w:szCs w:val="16"/>
                <w:color w:val="auto"/>
              </w:rPr>
              <w:t>Deferred lease incentives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43"/>
        </w:trPr>
        <w:tc>
          <w:tcPr>
            <w:tcW w:w="8080" w:type="dxa"/>
            <w:vAlign w:val="bottom"/>
            <w:tcBorders>
              <w:bottom w:val="single" w:sz="8" w:color="auto"/>
            </w:tcBorders>
            <w:shd w:val="clear" w:color="auto" w:fill="DBDBDB"/>
          </w:tcPr>
          <w:p>
            <w:pPr>
              <w:ind w:left="340"/>
              <w:spacing w:after="0"/>
              <w:rPr>
                <w:sz w:val="20"/>
                <w:szCs w:val="20"/>
                <w:color w:val="auto"/>
              </w:rPr>
            </w:pPr>
            <w:r>
              <w:rPr>
                <w:rFonts w:ascii="Arial" w:cs="Arial" w:eastAsia="Arial" w:hAnsi="Arial"/>
                <w:sz w:val="16"/>
                <w:szCs w:val="16"/>
                <w:color w:val="auto"/>
              </w:rPr>
              <w:t>Other assets and liabilities</w:t>
            </w:r>
          </w:p>
        </w:tc>
        <w:tc>
          <w:tcPr>
            <w:tcW w:w="160" w:type="dxa"/>
            <w:vAlign w:val="bottom"/>
            <w:tcBorders>
              <w:bottom w:val="single" w:sz="8" w:color="auto"/>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auto"/>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(142)</w:t>
            </w:r>
          </w:p>
        </w:tc>
      </w:tr>
      <w:tr>
        <w:trPr>
          <w:trHeight w:val="238"/>
        </w:trPr>
        <w:tc>
          <w:tcPr>
            <w:tcW w:w="80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PROVIDED BY OPERATING ACTIVITIES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25,359</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32,817</w:t>
            </w:r>
          </w:p>
        </w:tc>
      </w:tr>
      <w:tr>
        <w:trPr>
          <w:trHeight w:val="239"/>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r>
      <w:tr>
        <w:trPr>
          <w:trHeight w:val="234"/>
        </w:trPr>
        <w:tc>
          <w:tcPr>
            <w:tcW w:w="808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(18,468)</w:t>
            </w:r>
          </w:p>
        </w:tc>
      </w:tr>
      <w:tr>
        <w:trPr>
          <w:trHeight w:val="249"/>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Purchase of investment securities</w:t>
            </w:r>
          </w:p>
        </w:tc>
        <w:tc>
          <w:tcPr>
            <w:tcW w:w="160" w:type="dxa"/>
            <w:vAlign w:val="bottom"/>
            <w:shd w:val="clear" w:color="auto" w:fill="DBDBDB"/>
          </w:tcPr>
          <w:p>
            <w:pPr>
              <w:spacing w:after="0"/>
              <w:rPr>
                <w:sz w:val="21"/>
                <w:szCs w:val="21"/>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w:t>
            </w:r>
          </w:p>
        </w:tc>
      </w:tr>
      <w:tr>
        <w:trPr>
          <w:trHeight w:val="235"/>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38"/>
        </w:trPr>
        <w:tc>
          <w:tcPr>
            <w:tcW w:w="80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Borders>
              <w:bottom w:val="single" w:sz="8" w:color="auto"/>
            </w:tcBorders>
            <w:shd w:val="clear" w:color="auto" w:fill="DBDBDB"/>
          </w:tcPr>
          <w:p>
            <w:pPr>
              <w:spacing w:after="0"/>
              <w:rPr>
                <w:sz w:val="20"/>
                <w:szCs w:val="20"/>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(13,910)</w:t>
            </w:r>
          </w:p>
        </w:tc>
        <w:tc>
          <w:tcPr>
            <w:tcW w:w="120" w:type="dxa"/>
            <w:vAlign w:val="bottom"/>
            <w:tcBorders>
              <w:bottom w:val="single" w:sz="8" w:color="auto"/>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(18,545)</w:t>
            </w:r>
          </w:p>
        </w:tc>
      </w:tr>
      <w:tr>
        <w:trPr>
          <w:trHeight w:val="235"/>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5"/>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of long-term debt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(1,662)</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(1,662)</w:t>
            </w:r>
          </w:p>
        </w:tc>
      </w:tr>
      <w:tr>
        <w:trPr>
          <w:trHeight w:val="234"/>
        </w:trPr>
        <w:tc>
          <w:tcPr>
            <w:tcW w:w="8080" w:type="dxa"/>
            <w:vAlign w:val="bottom"/>
          </w:tcPr>
          <w:p>
            <w:pPr>
              <w:ind w:left="220"/>
              <w:spacing w:after="0"/>
              <w:rPr>
                <w:sz w:val="20"/>
                <w:szCs w:val="20"/>
                <w:color w:val="auto"/>
              </w:rPr>
            </w:pPr>
            <w:r>
              <w:rPr>
                <w:rFonts w:ascii="Arial" w:cs="Arial" w:eastAsia="Arial" w:hAnsi="Arial"/>
                <w:sz w:val="16"/>
                <w:szCs w:val="16"/>
                <w:color w:val="auto"/>
              </w:rPr>
              <w:t>Payment of initial public offering issuance costs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stock option exercise</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1,451</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issuance of common units</w:t>
            </w:r>
          </w:p>
        </w:tc>
        <w:tc>
          <w:tcPr>
            <w:tcW w:w="1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3"/>
        </w:trPr>
        <w:tc>
          <w:tcPr>
            <w:tcW w:w="808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Repayment of stock subscription receivable</w:t>
            </w:r>
          </w:p>
        </w:tc>
        <w:tc>
          <w:tcPr>
            <w:tcW w:w="160" w:type="dxa"/>
            <w:vAlign w:val="bottom"/>
            <w:tcBorders>
              <w:bottom w:val="single" w:sz="8" w:color="auto"/>
            </w:tcBorders>
            <w:shd w:val="clear" w:color="auto" w:fill="DBDBDB"/>
          </w:tcPr>
          <w:p>
            <w:pPr>
              <w:spacing w:after="0"/>
              <w:rPr>
                <w:sz w:val="21"/>
                <w:szCs w:val="21"/>
                <w:color w:val="auto"/>
              </w:rPr>
            </w:pPr>
          </w:p>
        </w:tc>
        <w:tc>
          <w:tcPr>
            <w:tcW w:w="148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DBDBDB"/>
          </w:tcPr>
          <w:p>
            <w:pPr>
              <w:spacing w:after="0"/>
              <w:rPr>
                <w:sz w:val="21"/>
                <w:szCs w:val="21"/>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250</w:t>
            </w:r>
          </w:p>
        </w:tc>
      </w:tr>
      <w:tr>
        <w:trPr>
          <w:trHeight w:val="238"/>
        </w:trPr>
        <w:tc>
          <w:tcPr>
            <w:tcW w:w="80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USED IN FINANCING ACTIVITIES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w:t>
            </w:r>
          </w:p>
        </w:tc>
      </w:tr>
      <w:tr>
        <w:trPr>
          <w:trHeight w:val="239"/>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INCREASE IN CASH AND CASH EQUIVALENTS AND RESTRICTED CASH</w:t>
            </w:r>
          </w:p>
        </w:tc>
        <w:tc>
          <w:tcPr>
            <w:tcW w:w="1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10,467</w:t>
            </w:r>
          </w:p>
        </w:tc>
        <w:tc>
          <w:tcPr>
            <w:tcW w:w="1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12,960</w:t>
            </w:r>
          </w:p>
        </w:tc>
      </w:tr>
      <w:tr>
        <w:trPr>
          <w:trHeight w:val="238"/>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BEGINNING OF THE PERIOD</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39,263</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41,432</w:t>
            </w:r>
          </w:p>
        </w:tc>
      </w:tr>
      <w:tr>
        <w:trPr>
          <w:trHeight w:val="260"/>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THE PERIOD</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49,730</w:t>
            </w:r>
          </w:p>
        </w:tc>
        <w:tc>
          <w:tcPr>
            <w:tcW w:w="120" w:type="dxa"/>
            <w:vAlign w:val="bottom"/>
            <w:tcBorders>
              <w:bottom w:val="single" w:sz="8" w:color="auto"/>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54,392</w:t>
            </w:r>
          </w:p>
        </w:tc>
      </w:tr>
      <w:tr>
        <w:trPr>
          <w:trHeight w:val="20"/>
        </w:trPr>
        <w:tc>
          <w:tcPr>
            <w:tcW w:w="808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r>
        <w:trPr>
          <w:trHeight w:val="271"/>
        </w:trPr>
        <w:tc>
          <w:tcPr>
            <w:tcW w:w="8080" w:type="dxa"/>
            <w:vAlign w:val="bottom"/>
          </w:tcPr>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635"/>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3"/>
          </w:tcPr>
          <w:p>
            <w:pPr>
              <w:jc w:val="right"/>
              <w:ind w:right="39"/>
              <w:spacing w:after="0"/>
              <w:rPr>
                <w:sz w:val="20"/>
                <w:szCs w:val="20"/>
                <w:color w:val="auto"/>
              </w:rPr>
            </w:pPr>
            <w:r>
              <w:rPr>
                <w:rFonts w:ascii="Arial" w:cs="Arial" w:eastAsia="Arial" w:hAnsi="Arial"/>
                <w:sz w:val="18"/>
                <w:szCs w:val="18"/>
                <w:color w:val="auto"/>
              </w:rPr>
              <w:t>Portillo's Inc.</w:t>
            </w:r>
          </w:p>
        </w:tc>
        <w:tc>
          <w:tcPr>
            <w:tcW w:w="1360" w:type="dxa"/>
            <w:vAlign w:val="bottom"/>
          </w:tcPr>
          <w:p>
            <w:pPr>
              <w:jc w:val="right"/>
              <w:spacing w:after="0"/>
              <w:rPr>
                <w:sz w:val="20"/>
                <w:szCs w:val="20"/>
                <w:color w:val="auto"/>
              </w:rPr>
            </w:pPr>
            <w:r>
              <w:rPr>
                <w:rFonts w:ascii="Arial" w:cs="Arial" w:eastAsia="Arial" w:hAnsi="Arial"/>
                <w:sz w:val="18"/>
                <w:szCs w:val="18"/>
                <w:color w:val="auto"/>
              </w:rPr>
              <w:t>Form 10-Q | 7</w:t>
            </w:r>
          </w:p>
        </w:tc>
      </w:tr>
      <w:tr>
        <w:trPr>
          <w:trHeight w:val="112"/>
        </w:trPr>
        <w:tc>
          <w:tcPr>
            <w:tcW w:w="8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6234430</wp:posOffset>
            </wp:positionH>
            <wp:positionV relativeFrom="paragraph">
              <wp:posOffset>-314960</wp:posOffset>
            </wp:positionV>
            <wp:extent cx="170180" cy="161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0180" cy="1619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PORTILLO'S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4"/>
          </w:tcPr>
          <w:p>
            <w:pPr>
              <w:jc w:val="right"/>
              <w:ind w:right="738"/>
              <w:spacing w:after="0"/>
              <w:rPr>
                <w:sz w:val="20"/>
                <w:szCs w:val="20"/>
                <w:color w:val="auto"/>
              </w:rPr>
            </w:pPr>
            <w:r>
              <w:rPr>
                <w:rFonts w:ascii="Arial" w:cs="Arial" w:eastAsia="Arial" w:hAnsi="Arial"/>
                <w:sz w:val="16"/>
                <w:szCs w:val="16"/>
                <w:b w:val="1"/>
                <w:bCs w:val="1"/>
                <w:color w:val="auto"/>
              </w:rPr>
              <w:t>Two Quarters Ended</w:t>
            </w:r>
          </w:p>
        </w:tc>
      </w:tr>
      <w:tr>
        <w:trPr>
          <w:trHeight w:val="242"/>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26, 2022</w:t>
            </w:r>
          </w:p>
        </w:tc>
        <w:tc>
          <w:tcPr>
            <w:tcW w:w="180" w:type="dxa"/>
            <w:vAlign w:val="bottom"/>
          </w:tcPr>
          <w:p>
            <w:pPr>
              <w:spacing w:after="0"/>
              <w:rPr>
                <w:sz w:val="21"/>
                <w:szCs w:val="21"/>
                <w:color w:val="auto"/>
              </w:rPr>
            </w:pPr>
          </w:p>
        </w:tc>
        <w:tc>
          <w:tcPr>
            <w:tcW w:w="1380" w:type="dxa"/>
            <w:vAlign w:val="bottom"/>
          </w:tcPr>
          <w:p>
            <w:pPr>
              <w:jc w:val="right"/>
              <w:ind w:right="178"/>
              <w:spacing w:after="0"/>
              <w:rPr>
                <w:sz w:val="20"/>
                <w:szCs w:val="20"/>
                <w:color w:val="auto"/>
              </w:rPr>
            </w:pPr>
            <w:r>
              <w:rPr>
                <w:rFonts w:ascii="Arial" w:cs="Arial" w:eastAsia="Arial" w:hAnsi="Arial"/>
                <w:sz w:val="16"/>
                <w:szCs w:val="16"/>
                <w:b w:val="1"/>
                <w:bCs w:val="1"/>
                <w:color w:val="auto"/>
              </w:rPr>
              <w:t>June 27, 2021</w:t>
            </w:r>
          </w:p>
        </w:tc>
      </w:tr>
      <w:tr>
        <w:trPr>
          <w:trHeight w:val="225"/>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45"/>
        </w:trPr>
        <w:tc>
          <w:tcPr>
            <w:tcW w:w="80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paid</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10,815</w:t>
            </w:r>
          </w:p>
        </w:tc>
        <w:tc>
          <w:tcPr>
            <w:tcW w:w="14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19,378</w:t>
            </w:r>
          </w:p>
        </w:tc>
      </w:tr>
      <w:tr>
        <w:trPr>
          <w:trHeight w:val="234"/>
        </w:trPr>
        <w:tc>
          <w:tcPr>
            <w:tcW w:w="802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9"/>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80" w:type="dxa"/>
            <w:vAlign w:val="bottom"/>
            <w:shd w:val="clear" w:color="auto" w:fill="DBDBDB"/>
          </w:tcPr>
          <w:p>
            <w:pPr>
              <w:spacing w:after="0"/>
              <w:rPr>
                <w:sz w:val="21"/>
                <w:szCs w:val="21"/>
                <w:color w:val="auto"/>
              </w:rPr>
            </w:pPr>
          </w:p>
        </w:tc>
        <w:tc>
          <w:tcPr>
            <w:tcW w:w="134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r>
      <w:tr>
        <w:trPr>
          <w:trHeight w:val="234"/>
        </w:trPr>
        <w:tc>
          <w:tcPr>
            <w:tcW w:w="802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333</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1,259</w:t>
            </w:r>
          </w:p>
        </w:tc>
      </w:tr>
      <w:tr>
        <w:trPr>
          <w:trHeight w:val="249"/>
        </w:trPr>
        <w:tc>
          <w:tcPr>
            <w:tcW w:w="80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Redeemable preferred units accretion</w:t>
            </w:r>
          </w:p>
        </w:tc>
        <w:tc>
          <w:tcPr>
            <w:tcW w:w="180" w:type="dxa"/>
            <w:vAlign w:val="bottom"/>
            <w:shd w:val="clear" w:color="auto" w:fill="DBDBDB"/>
          </w:tcPr>
          <w:p>
            <w:pPr>
              <w:spacing w:after="0"/>
              <w:rPr>
                <w:sz w:val="21"/>
                <w:szCs w:val="21"/>
                <w:color w:val="auto"/>
              </w:rPr>
            </w:pPr>
          </w:p>
        </w:tc>
        <w:tc>
          <w:tcPr>
            <w:tcW w:w="1480" w:type="dxa"/>
            <w:vAlign w:val="bottom"/>
            <w:gridSpan w:val="2"/>
            <w:shd w:val="clear" w:color="auto" w:fill="DBDBDB"/>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(11,092)</w:t>
            </w:r>
          </w:p>
        </w:tc>
      </w:tr>
      <w:tr>
        <w:trPr>
          <w:trHeight w:val="226"/>
        </w:trPr>
        <w:tc>
          <w:tcPr>
            <w:tcW w:w="8020" w:type="dxa"/>
            <w:vAlign w:val="bottom"/>
          </w:tcPr>
          <w:p>
            <w:pPr>
              <w:ind w:left="140"/>
              <w:spacing w:after="0"/>
              <w:rPr>
                <w:sz w:val="20"/>
                <w:szCs w:val="20"/>
                <w:color w:val="auto"/>
              </w:rPr>
            </w:pPr>
            <w:r>
              <w:rPr>
                <w:rFonts w:ascii="Arial" w:cs="Arial" w:eastAsia="Arial" w:hAnsi="Arial"/>
                <w:sz w:val="16"/>
                <w:szCs w:val="16"/>
                <w:color w:val="auto"/>
              </w:rPr>
              <w:t>Deferred offering costs in accounts payable</w:t>
            </w: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550"/>
        </w:trPr>
        <w:tc>
          <w:tcPr>
            <w:tcW w:w="8020" w:type="dxa"/>
            <w:vAlign w:val="bottom"/>
          </w:tcPr>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35"/>
        </w:trPr>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19"/>
              <w:spacing w:after="0"/>
              <w:rPr>
                <w:sz w:val="20"/>
                <w:szCs w:val="20"/>
                <w:color w:val="auto"/>
              </w:rPr>
            </w:pPr>
            <w:r>
              <w:rPr>
                <w:rFonts w:ascii="Arial" w:cs="Arial" w:eastAsia="Arial" w:hAnsi="Arial"/>
                <w:sz w:val="18"/>
                <w:szCs w:val="18"/>
                <w:color w:val="auto"/>
              </w:rPr>
              <w:t>Portillo's Inc.</w:t>
            </w:r>
          </w:p>
        </w:tc>
        <w:tc>
          <w:tcPr>
            <w:tcW w:w="1380" w:type="dxa"/>
            <w:vAlign w:val="bottom"/>
          </w:tcPr>
          <w:p>
            <w:pPr>
              <w:jc w:val="right"/>
              <w:spacing w:after="0"/>
              <w:rPr>
                <w:sz w:val="20"/>
                <w:szCs w:val="20"/>
                <w:color w:val="auto"/>
              </w:rPr>
            </w:pPr>
            <w:r>
              <w:rPr>
                <w:rFonts w:ascii="Arial" w:cs="Arial" w:eastAsia="Arial" w:hAnsi="Arial"/>
                <w:sz w:val="18"/>
                <w:szCs w:val="18"/>
                <w:color w:val="auto"/>
              </w:rPr>
              <w:t>Form 10-Q | 8</w:t>
            </w:r>
          </w:p>
        </w:tc>
      </w:tr>
      <w:tr>
        <w:trPr>
          <w:trHeight w:val="112"/>
        </w:trPr>
        <w:tc>
          <w:tcPr>
            <w:tcW w:w="8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6234430</wp:posOffset>
            </wp:positionH>
            <wp:positionV relativeFrom="paragraph">
              <wp:posOffset>-314960</wp:posOffset>
            </wp:positionV>
            <wp:extent cx="170180" cy="16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0180" cy="16192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Portillo’s Inc. (the "Company") was formed and incorporated as a Delaware corporation on June 8, 2021. The Company was formed for the purpose of completing a public offering and related reorganization transactions (collectively, the "Transactions”) in order to carry on the business of PHD Group Holdings LLC and its subsidiaries ("Portillo's OpCo"). Following the consummation of the Transactions on October 20, 2021, the Company became the sole managing member of Portillo’s OpCo, and as sole managing member, the Company operates and controls all of the business and affairs of Portillo's OpCo. As a result, the Company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spacing w:after="0" w:line="2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operates fast-casual restaurants in Illinois, Indiana, California, Arizona, Florida, Wisconsin, Minnesota, Iowa and Michigan, along with two food production commissaries in Illinois. As of June 26, 2022 and December 26, 2021, the Company had 70 and 68 restaurants in operation, respectively, excluding a restaurant owned by C&amp;O Chicago, LLC ("C&amp;O"), of which Portillo's owns 50% of the equity. The Company also had three non-traditional locations in operation as of June 26, 2022 and December 26, 2021. These non-traditional locations include a food truck, ghost kitchen (small kitchen with no store-front presence, used to fill online orders), and concessions. Portillo's additionally has a 50% interest in a single restaurant owned by C&amp;O, that is referred to in Note 2. The Company’s principal corporate offices are located in Oak Brook, IL.</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registration statement on Form S-1, as amended (Registration No. 333-259810), related to its initial public offering ("IPO") was declared effective October 20, 2021, and the Company's Class A common stock began trading on the Nasdaq Global Select Market under the symbol "PTLO" on October 21, 2021. On October 25, 2021, the Company completed its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we completed the following:</w:t>
      </w:r>
    </w:p>
    <w:p>
      <w:pPr>
        <w:spacing w:after="0" w:line="249" w:lineRule="exact"/>
        <w:rPr>
          <w:sz w:val="20"/>
          <w:szCs w:val="20"/>
          <w:color w:val="auto"/>
        </w:rPr>
      </w:pPr>
    </w:p>
    <w:p>
      <w:pPr>
        <w:ind w:left="660" w:right="400" w:hanging="331"/>
        <w:spacing w:after="0" w:line="265"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amended and restated the limited liability company agreement of Portillo’s OpCo ("LLC Agreement") to, among other things, convert all outstanding equity interests (except for those redeemable preferred units which were redeemed in connection with the IPO) into LLC Units.</w:t>
      </w:r>
    </w:p>
    <w:p>
      <w:pPr>
        <w:spacing w:after="0" w:line="200" w:lineRule="exact"/>
        <w:rPr>
          <w:rFonts w:ascii="Arial" w:cs="Arial" w:eastAsia="Arial" w:hAnsi="Arial"/>
          <w:sz w:val="18"/>
          <w:szCs w:val="18"/>
          <w:color w:val="auto"/>
        </w:rPr>
      </w:pPr>
    </w:p>
    <w:p>
      <w:pPr>
        <w:ind w:left="660" w:right="180" w:hanging="331"/>
        <w:spacing w:after="0" w:line="273" w:lineRule="auto"/>
        <w:tabs>
          <w:tab w:leader="none" w:pos="669"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became the sole managing member of Portillo's OpCo. Because we manage and operate the business and control the strategic decisions and day-to-day operations of Portillo’s OpCo and because we also have a substantial financial interest in Portillo’s OpCo, we consolidated the financial results of Portillo’s OpCo, and a portion of our net income was allocated to non-controlling interests to reflect the entitlement of the pre-IPO LLC Members who retained their equity ownership in Portillo's OpCo. In addition, because Portillo’s OpCo was under the common control of the pre-IPO LLC Members before and after the Transactions, we measured the assets and liabilities of Portillo’s OpCo at their carrying amounts as of the date of the completion of the Transactions.</w:t>
      </w:r>
    </w:p>
    <w:p>
      <w:pPr>
        <w:spacing w:after="0" w:line="195" w:lineRule="exact"/>
        <w:rPr>
          <w:rFonts w:ascii="Arial" w:cs="Arial" w:eastAsia="Arial" w:hAnsi="Arial"/>
          <w:sz w:val="17"/>
          <w:szCs w:val="17"/>
          <w:color w:val="auto"/>
        </w:rPr>
      </w:pPr>
    </w:p>
    <w:p>
      <w:pPr>
        <w:ind w:left="660" w:hanging="331"/>
        <w:spacing w:after="0" w:line="260"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authorize the issuance of two classes of common stock: Class A common stock and Class B common stock. Each share of Class A common stock and Class B common stock entitles its holder to one vote per share on all matters submitted to a vote of our stockholders. The Class B common stock is not entitled to economic interests in Portillo’s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and cash on hand were used as follows:</w:t>
      </w:r>
    </w:p>
    <w:p>
      <w:pPr>
        <w:spacing w:after="0" w:line="249" w:lineRule="exact"/>
        <w:rPr>
          <w:sz w:val="20"/>
          <w:szCs w:val="20"/>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25" w:lineRule="exact"/>
        <w:rPr>
          <w:rFonts w:ascii="Arial" w:cs="Arial" w:eastAsia="Arial" w:hAnsi="Arial"/>
          <w:sz w:val="18"/>
          <w:szCs w:val="18"/>
          <w:color w:val="auto"/>
        </w:rPr>
      </w:pPr>
    </w:p>
    <w:p>
      <w:pPr>
        <w:ind w:left="660" w:right="1180" w:hanging="331"/>
        <w:spacing w:after="0" w:line="248"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prepayment penalties) of $158.1 million; and</w:t>
      </w:r>
    </w:p>
    <w:p>
      <w:pPr>
        <w:spacing w:after="0" w:line="1"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the Company entered into a Tax Receivable Agreement ("TRA") with certain pre-IPO LLC Members, pursuant to which the Company will be generally obligated to pay 85% of the amount of applicable cash savings, if any, in U.S. federal, state, and local income tax that the Company actually realizes or is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 (iv) certain other tax benefits related to entering into the TRA, including payments made under the TRA. We will retain the benefit of the remaining 15% of these tax savings.</w:t>
      </w:r>
    </w:p>
    <w:p>
      <w:pPr>
        <w:spacing w:after="0" w:line="207"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2.</w:t>
        <w:tab/>
        <w:t>SUMMARY OF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5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for interim financial information.</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GAAP for interim financial statements and pursuant to the rules and regulations of the Securities and Exchange Commission (the "SEC"). In the opinion of management, the accompanying unaudited condensed consolidated financial statements reflect all adjustments consisting of normal recurring adjustments necessary for a fair presentation of our financial position and results of operations. Interim results of operations are not necessarily indicative of the results that may be achieved for the full year. The financial statements and related notes do not include all information and footnotes required by GAAP for annual reports. The unaudited condensed consolidated financial statements should be read in conjunction with the consolidated financial statements and notes thereto for the fiscal year ended December 26, 2021 included in our Annual Report on Form 10-K for the fiscal year ended December 26,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4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The Company does not have any components of other comprehensive income (loss) recorded within its consolidated financial statements, and therefore, does not separately present a statement of comprehensive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Segment Reporting</w:t>
      </w:r>
    </w:p>
    <w:p>
      <w:pPr>
        <w:spacing w:after="0" w:line="25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Company owns and operates fast-casual restaurants in the United States, along with two food production commissaries in Illinois. The Company’s chief operating decision maker (the “CODM”) is its Chief Executive Officer ("CEO"). The CODM reviews financial performance and allocates resources at a consolidated level on a recurring basis. The Company has one operating segment and one reportable segment.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44" w:lineRule="exact"/>
        <w:rPr>
          <w:sz w:val="20"/>
          <w:szCs w:val="20"/>
          <w:color w:val="auto"/>
        </w:rPr>
      </w:pPr>
    </w:p>
    <w:p>
      <w:pPr>
        <w:jc w:val="both"/>
        <w:ind w:right="60"/>
        <w:spacing w:after="0" w:line="265" w:lineRule="auto"/>
        <w:rPr>
          <w:sz w:val="20"/>
          <w:szCs w:val="20"/>
          <w:color w:val="auto"/>
        </w:rPr>
      </w:pPr>
      <w:r>
        <w:rPr>
          <w:rFonts w:ascii="Arial" w:cs="Arial" w:eastAsia="Arial" w:hAnsi="Arial"/>
          <w:sz w:val="18"/>
          <w:szCs w:val="18"/>
          <w:color w:val="auto"/>
        </w:rPr>
        <w:t>We use a 52- or 53-week fiscal year ending on the Sunday prior to December 31. In a 52-week fiscal year, each quarterly period is comprised of 13 weeks. The additional week in a 53-week fiscal year is added to the fourth quarter. Fiscal 2022 and 2021 each consist of 52 weeks. The fiscal periods presented in this report are the quarter and two quarters ended June 26, 2022 and June 27,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Estimates</w:t>
      </w:r>
    </w:p>
    <w:p>
      <w:pPr>
        <w:spacing w:after="0" w:line="258"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period.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Reverse Common Unit Split</w:t>
      </w:r>
    </w:p>
    <w:p>
      <w:pPr>
        <w:spacing w:after="0" w:line="244"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On October 20, 2021, the members of Portillo's OpCo executed the Second Amended and Restated Limited Liability Company Agreement for Portillo's OpCo, effecting a 7.4-for-1 reverse common unit split. All applicable unit data, per unit amounts and related information in the consolidated financial statements and notes thereto have been adjusted retroactively to give effect to the 7.4-for-1 reverse common unit split.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 Recognition</w:t>
      </w:r>
    </w:p>
    <w:p>
      <w:pPr>
        <w:spacing w:after="0" w:line="258" w:lineRule="exact"/>
        <w:rPr>
          <w:sz w:val="20"/>
          <w:szCs w:val="20"/>
          <w:color w:val="auto"/>
        </w:rPr>
      </w:pPr>
    </w:p>
    <w:p>
      <w:pPr>
        <w:jc w:val="both"/>
        <w:ind w:right="580"/>
        <w:spacing w:after="0" w:line="265"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expenses on the Company’s consolidated balance sheet until the taxes are remitted to the appropriate taxing authorities.</w:t>
      </w:r>
    </w:p>
    <w:p>
      <w:pPr>
        <w:spacing w:after="0" w:line="20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offers delivery services to its customers. For delivery sales through Portillos.com or the Portillo's App, the Company recognizes revenue, including delivery fees, when the performance obligation is complete and the food is transferred to the customer. For delivery sales through a non-Company owned channel, such as the delivery partner’s website or app, we recognize marketplace sales, including third-party delivery menu price premiums, as revenue when the control of the food is transferred to the delivery service, excluding any delivery or service fees charged to the customer. Prior to the end of 2021, this price premium was previously recorded in Cost of goods sold, excluding depreciation and amortization. At the end of 2021, the Company began to record the difference in higher third-party delivery menu prices, versus regular menu prices, in revenue. The amount of the price premium recorded in 2021 and prior periods is not material and there is no anticipated or actual impact on operating income or net income for any period.</w:t>
      </w:r>
    </w:p>
    <w:p>
      <w:pPr>
        <w:spacing w:after="0" w:line="214"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Generally, revenue is recognized as promised goods or services transfer to the guest or customer in an amount that reflects the consideration we expect to be entitled to in exchange for those goods or services. Revenues are recognized when payment is tendered at the point of sale as the performance obligation has been satisfied. Refer to Note 3. Revenue Recognition for additional detail.</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Inventory</w:t>
      </w:r>
    </w:p>
    <w:p>
      <w:pPr>
        <w:spacing w:after="0" w:line="244"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The Company operates two commissaries to supply the Company's restaurants with several products and ensures product consistency and quality. The commissaries derive revenue principally from the sale and distribution of food to our distributors, who, in turn, sell the food to the restaurants. This is considered under ASC 845, Non-Monetary Transactions and the impact on the statement of operations is not material.</w:t>
      </w:r>
    </w:p>
    <w:p>
      <w:pPr>
        <w:ind w:right="200"/>
        <w:spacing w:after="0" w:line="255" w:lineRule="auto"/>
        <w:rPr>
          <w:sz w:val="20"/>
          <w:szCs w:val="20"/>
          <w:color w:val="auto"/>
        </w:rPr>
      </w:pPr>
      <w:r>
        <w:rPr>
          <w:rFonts w:ascii="Arial" w:cs="Arial" w:eastAsia="Arial" w:hAnsi="Arial"/>
          <w:sz w:val="18"/>
          <w:szCs w:val="18"/>
          <w:color w:val="auto"/>
        </w:rPr>
        <w:t>These products are held as inventory at distributors on a short-term consignment basis. Inventories subject to these consignment arrangements are recorded on the Company’s consolidated balance sheet and totaled $0.6 million and $0.4 million as of June 26, 2022 and December 26, 2021,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 Method Investments</w:t>
      </w:r>
    </w:p>
    <w:p>
      <w:pPr>
        <w:spacing w:after="0" w:line="23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The Company has a 50% interest in C&amp;O. The Company accounts for the investment and financial results in the consolidated financial statements under the equity method of accounting as the Company has significant influence but does not have control. The investment is adjusted to reflect the Company’s share of C&amp;O’s earnings and losses to date and any distributions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Issued Accounting Standards</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February 2016, the FASB issued Accounting Standards Update ("ASU") No. 2016-02, Leases (Topic 842) ("ASC 842"), along with related clarifications and improvements. The pronouncement requires lessees to recognize a lease liability, which represents the discounted obligation to make future minimum lease payments, and a corresponding right-of-use asset on the balance sheet. The guidance requires disclosure of key information about leasing arrangements that is intended to give financial statement users the ability to assess the amount, timing, and potential uncertainty of cash flows related to leases. The update is effective for fiscal years beginning after December 15, 2021, with early adoption permitted. The Company will adopt this standard for the annual period ending December 25, 2022. We expect the adoption of this standard will have a significant impact on the Company’s consolidated balance sheet as we recognize the operating lease assets and lease liabilities for our operating leases. We anticipate the adoption will have an immaterial impact on the condensed consolidated statements of operations, stockholders' equity, and cash flows.</w:t>
      </w:r>
    </w:p>
    <w:p>
      <w:pPr>
        <w:spacing w:after="0" w:line="2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The Company is currently evaluating the impact of the transition from LIBOR to alternative reference rates but does not expect a significant impact on its consolidated financial statements.</w:t>
      </w:r>
    </w:p>
    <w:p>
      <w:pPr>
        <w:spacing w:after="0" w:line="21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consolidated financial statements.</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r>
      <w:r>
        <w:rPr>
          <w:sz w:val="20"/>
          <w:szCs w:val="20"/>
          <w:color w:val="auto"/>
        </w:rPr>
        <w:tab/>
      </w:r>
      <w:r>
        <w:rPr>
          <w:rFonts w:ascii="Arial" w:cs="Arial" w:eastAsia="Arial" w:hAnsi="Arial"/>
          <w:sz w:val="24"/>
          <w:szCs w:val="24"/>
          <w:b w:val="1"/>
          <w:bCs w:val="1"/>
          <w:color w:val="414042"/>
        </w:rPr>
        <w:t>REVENUE RECOGNITION</w:t>
      </w:r>
    </w:p>
    <w:p>
      <w:pPr>
        <w:spacing w:after="0" w:line="268"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200"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The Company offers delivery services to its customers. Delivery services are fulfilled by the Company and third-party service providers. In some cases, the Company makes delivery sales through Portillos.com or the Portillo's App ("Dispatch Sales"). In other cases, the Company makes delivery sales through a non-Company owned channel, such as the delivery partner’s website or app (“Marketplace Sales”).</w:t>
      </w:r>
    </w:p>
    <w:p>
      <w:pPr>
        <w:spacing w:after="0" w:line="182"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With respect to Dispatch Sales, delivery may be performed by the Company or through a third-party service provider. The Company recognizes revenue, including delivery fees, when the performance obligation is complete and the food is transferred to the customer. For these sales, the Company receives payment directly from the customer at the time of sale.</w:t>
      </w:r>
    </w:p>
    <w:p>
      <w:pPr>
        <w:spacing w:after="0" w:line="200"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With respect to Marketplace Sales, the Company recognizes revenue, including third-party menu price premiums, excluding delivery fees collected by the delivery partner, when the performance obligation is complete, and control of the food is transferred to the delivery partner. The Company receives payment subsequent to the transfer of food. The payment terms with respect to Marketplace Sales are short-term in nature and are generally paid one week in arrears.</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sells gift cards which do not have expiration dates. The Company records the sale of the gift card as a contract liability and recognizes revenue from gift cards when: (i) the gift card is redeemed by the customer; or (ii) in the event a gift card is not expected to be redeemed, in proportion to the pattern of rights exercised by the customer (gift card breakage). The Company has determined that 11% of gift card sales will not be redeemed and will be retained by us based on a portfolio assessment of historical data on gift card redemption patterns. Gift card breakage is recorded within revenues, net in the condensed consolidated statements of operations. The Company recognized gift card breakage of $0.2 million and $0.5 million for the quarter and two quarters ended June 26, 2022, respectively, and $0.2 million and $0.4 million for the quarter and two quarters ended June 27, 2021, respectively.</w:t>
      </w:r>
    </w:p>
    <w:p>
      <w:pPr>
        <w:spacing w:after="0" w:line="21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The Company’s revenue related to performance obligations not yet satisfied is revenue from gift cards sold but not yet redeemed. The gift card liability included in current deferred revenue on the consolidated balance sheets is as follows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PORTILLO'S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26,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Gift card liability</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4,518</w:t>
            </w:r>
          </w:p>
        </w:tc>
        <w:tc>
          <w:tcPr>
            <w:tcW w:w="120" w:type="dxa"/>
            <w:vAlign w:val="bottom"/>
            <w:tcBorders>
              <w:top w:val="single" w:sz="8" w:color="DBDBDB"/>
            </w:tcBorders>
            <w:shd w:val="clear" w:color="auto" w:fill="DBDBDB"/>
          </w:tcPr>
          <w:p>
            <w:pPr>
              <w:spacing w:after="0"/>
              <w:rPr>
                <w:sz w:val="20"/>
                <w:szCs w:val="20"/>
                <w:color w:val="auto"/>
              </w:rPr>
            </w:pPr>
          </w:p>
        </w:tc>
        <w:tc>
          <w:tcPr>
            <w:tcW w:w="620" w:type="dxa"/>
            <w:vAlign w:val="bottom"/>
            <w:tcBorders>
              <w:top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6,606</w:t>
            </w:r>
          </w:p>
        </w:tc>
      </w:tr>
    </w:tbl>
    <w:p>
      <w:pPr>
        <w:spacing w:after="0" w:line="31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Revenue recognized in the condensed consolidated statement of operations for the redemption of gift cards that were included in their respective liability balances at the beginning of the year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Pr>
          <w:p>
            <w:pPr>
              <w:spacing w:after="0"/>
              <w:rPr>
                <w:sz w:val="19"/>
                <w:szCs w:val="19"/>
                <w:color w:val="auto"/>
              </w:rPr>
            </w:pPr>
          </w:p>
        </w:tc>
        <w:tc>
          <w:tcPr>
            <w:tcW w:w="310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26, 2022</w:t>
            </w:r>
          </w:p>
        </w:tc>
        <w:tc>
          <w:tcPr>
            <w:tcW w:w="180" w:type="dxa"/>
            <w:vAlign w:val="bottom"/>
          </w:tcPr>
          <w:p>
            <w:pPr>
              <w:spacing w:after="0"/>
              <w:rPr>
                <w:sz w:val="21"/>
                <w:szCs w:val="21"/>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27, 2021</w:t>
            </w:r>
          </w:p>
        </w:tc>
        <w:tc>
          <w:tcPr>
            <w:tcW w:w="280" w:type="dxa"/>
            <w:vAlign w:val="bottom"/>
          </w:tcPr>
          <w:p>
            <w:pPr>
              <w:spacing w:after="0"/>
              <w:rPr>
                <w:sz w:val="21"/>
                <w:szCs w:val="21"/>
                <w:color w:val="auto"/>
              </w:rPr>
            </w:pPr>
          </w:p>
        </w:tc>
        <w:tc>
          <w:tcPr>
            <w:tcW w:w="142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26, 2022</w:t>
            </w:r>
          </w:p>
        </w:tc>
        <w:tc>
          <w:tcPr>
            <w:tcW w:w="280" w:type="dxa"/>
            <w:vAlign w:val="bottom"/>
          </w:tcPr>
          <w:p>
            <w:pPr>
              <w:spacing w:after="0"/>
              <w:rPr>
                <w:sz w:val="21"/>
                <w:szCs w:val="21"/>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June 27, 2021</w:t>
            </w:r>
          </w:p>
        </w:tc>
      </w:tr>
      <w:tr>
        <w:trPr>
          <w:trHeight w:val="184"/>
        </w:trPr>
        <w:tc>
          <w:tcPr>
            <w:tcW w:w="45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Revenue recognized from gift card liability balance at the</w:t>
            </w:r>
          </w:p>
        </w:tc>
        <w:tc>
          <w:tcPr>
            <w:tcW w:w="180" w:type="dxa"/>
            <w:vAlign w:val="bottom"/>
            <w:tcBorders>
              <w:top w:val="single" w:sz="8" w:color="auto"/>
            </w:tcBorders>
            <w:shd w:val="clear" w:color="auto" w:fill="DBDBDB"/>
          </w:tcPr>
          <w:p>
            <w:pPr>
              <w:spacing w:after="0"/>
              <w:rPr>
                <w:sz w:val="16"/>
                <w:szCs w:val="16"/>
                <w:color w:val="auto"/>
              </w:rPr>
            </w:pPr>
          </w:p>
        </w:tc>
        <w:tc>
          <w:tcPr>
            <w:tcW w:w="1400" w:type="dxa"/>
            <w:vAlign w:val="bottom"/>
            <w:tcBorders>
              <w:top w:val="single" w:sz="8" w:color="auto"/>
            </w:tcBorders>
            <w:shd w:val="clear" w:color="auto" w:fill="DBDBDB"/>
          </w:tcPr>
          <w:p>
            <w:pPr>
              <w:spacing w:after="0"/>
              <w:rPr>
                <w:sz w:val="16"/>
                <w:szCs w:val="16"/>
                <w:color w:val="auto"/>
              </w:rPr>
            </w:pPr>
          </w:p>
        </w:tc>
        <w:tc>
          <w:tcPr>
            <w:tcW w:w="120" w:type="dxa"/>
            <w:vAlign w:val="bottom"/>
            <w:tcBorders>
              <w:top w:val="single" w:sz="8" w:color="DBDBDB"/>
            </w:tcBorders>
            <w:shd w:val="clear" w:color="auto" w:fill="DBDBDB"/>
          </w:tcPr>
          <w:p>
            <w:pPr>
              <w:spacing w:after="0"/>
              <w:rPr>
                <w:sz w:val="16"/>
                <w:szCs w:val="16"/>
                <w:color w:val="auto"/>
              </w:rPr>
            </w:pPr>
          </w:p>
        </w:tc>
        <w:tc>
          <w:tcPr>
            <w:tcW w:w="180" w:type="dxa"/>
            <w:vAlign w:val="bottom"/>
            <w:tcBorders>
              <w:top w:val="single" w:sz="8" w:color="auto"/>
            </w:tcBorders>
            <w:shd w:val="clear" w:color="auto" w:fill="DBDBDB"/>
          </w:tcPr>
          <w:p>
            <w:pPr>
              <w:spacing w:after="0"/>
              <w:rPr>
                <w:sz w:val="16"/>
                <w:szCs w:val="16"/>
                <w:color w:val="auto"/>
              </w:rPr>
            </w:pPr>
          </w:p>
        </w:tc>
        <w:tc>
          <w:tcPr>
            <w:tcW w:w="1440" w:type="dxa"/>
            <w:vAlign w:val="bottom"/>
            <w:tcBorders>
              <w:top w:val="single" w:sz="8" w:color="auto"/>
            </w:tcBorders>
            <w:shd w:val="clear" w:color="auto" w:fill="DBDBDB"/>
          </w:tcPr>
          <w:p>
            <w:pPr>
              <w:spacing w:after="0"/>
              <w:rPr>
                <w:sz w:val="16"/>
                <w:szCs w:val="16"/>
                <w:color w:val="auto"/>
              </w:rPr>
            </w:pPr>
          </w:p>
        </w:tc>
        <w:tc>
          <w:tcPr>
            <w:tcW w:w="280" w:type="dxa"/>
            <w:vAlign w:val="bottom"/>
            <w:tcBorders>
              <w:top w:val="single" w:sz="8" w:color="auto"/>
            </w:tcBorders>
            <w:shd w:val="clear" w:color="auto" w:fill="DBDBDB"/>
          </w:tcPr>
          <w:p>
            <w:pPr>
              <w:spacing w:after="0"/>
              <w:rPr>
                <w:sz w:val="16"/>
                <w:szCs w:val="16"/>
                <w:color w:val="auto"/>
              </w:rPr>
            </w:pPr>
          </w:p>
        </w:tc>
        <w:tc>
          <w:tcPr>
            <w:tcW w:w="1420" w:type="dxa"/>
            <w:vAlign w:val="bottom"/>
            <w:tcBorders>
              <w:top w:val="single" w:sz="8" w:color="auto"/>
            </w:tcBorders>
            <w:shd w:val="clear" w:color="auto" w:fill="DBDBDB"/>
          </w:tcPr>
          <w:p>
            <w:pPr>
              <w:spacing w:after="0"/>
              <w:rPr>
                <w:sz w:val="16"/>
                <w:szCs w:val="16"/>
                <w:color w:val="auto"/>
              </w:rPr>
            </w:pPr>
          </w:p>
        </w:tc>
        <w:tc>
          <w:tcPr>
            <w:tcW w:w="280" w:type="dxa"/>
            <w:vAlign w:val="bottom"/>
            <w:tcBorders>
              <w:top w:val="single" w:sz="8" w:color="auto"/>
            </w:tcBorders>
            <w:shd w:val="clear" w:color="auto" w:fill="DBDBDB"/>
          </w:tcPr>
          <w:p>
            <w:pPr>
              <w:spacing w:after="0"/>
              <w:rPr>
                <w:sz w:val="16"/>
                <w:szCs w:val="16"/>
                <w:color w:val="auto"/>
              </w:rPr>
            </w:pPr>
          </w:p>
        </w:tc>
        <w:tc>
          <w:tcPr>
            <w:tcW w:w="1400" w:type="dxa"/>
            <w:vAlign w:val="bottom"/>
            <w:tcBorders>
              <w:top w:val="single" w:sz="8" w:color="auto"/>
            </w:tcBorders>
            <w:shd w:val="clear" w:color="auto" w:fill="DBDBDB"/>
          </w:tcPr>
          <w:p>
            <w:pPr>
              <w:spacing w:after="0"/>
              <w:rPr>
                <w:sz w:val="16"/>
                <w:szCs w:val="16"/>
                <w:color w:val="auto"/>
              </w:rPr>
            </w:pPr>
          </w:p>
        </w:tc>
      </w:tr>
      <w:tr>
        <w:trPr>
          <w:trHeight w:val="242"/>
        </w:trPr>
        <w:tc>
          <w:tcPr>
            <w:tcW w:w="4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of the year</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771</w:t>
            </w: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2,681</w:t>
            </w:r>
          </w:p>
        </w:tc>
        <w:tc>
          <w:tcPr>
            <w:tcW w:w="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2,459</w:t>
            </w:r>
          </w:p>
        </w:tc>
      </w:tr>
    </w:tbl>
    <w:p>
      <w:pPr>
        <w:spacing w:after="0" w:line="29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4.</w:t>
      </w:r>
      <w:r>
        <w:rPr>
          <w:sz w:val="20"/>
          <w:szCs w:val="20"/>
          <w:color w:val="auto"/>
        </w:rPr>
        <w:tab/>
      </w:r>
      <w:r>
        <w:rPr>
          <w:rFonts w:ascii="Arial" w:cs="Arial" w:eastAsia="Arial" w:hAnsi="Arial"/>
          <w:sz w:val="24"/>
          <w:szCs w:val="24"/>
          <w:b w:val="1"/>
          <w:bCs w:val="1"/>
          <w:color w:val="414042"/>
        </w:rPr>
        <w:t>INVENTORY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26,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4,206</w:t>
            </w:r>
          </w:p>
        </w:tc>
        <w:tc>
          <w:tcPr>
            <w:tcW w:w="120" w:type="dxa"/>
            <w:vAlign w:val="bottom"/>
            <w:tcBorders>
              <w:top w:val="single" w:sz="8" w:color="DBDBDB"/>
            </w:tcBorders>
            <w:shd w:val="clear" w:color="auto" w:fill="DBDBDB"/>
          </w:tcPr>
          <w:p>
            <w:pPr>
              <w:spacing w:after="0"/>
              <w:rPr>
                <w:sz w:val="20"/>
                <w:szCs w:val="20"/>
                <w:color w:val="auto"/>
              </w:rPr>
            </w:pPr>
          </w:p>
        </w:tc>
        <w:tc>
          <w:tcPr>
            <w:tcW w:w="620" w:type="dxa"/>
            <w:vAlign w:val="bottom"/>
            <w:tcBorders>
              <w:top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4,181</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Work in progress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49"/>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706</w:t>
            </w:r>
          </w:p>
        </w:tc>
        <w:tc>
          <w:tcPr>
            <w:tcW w:w="12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1,395</w:t>
            </w:r>
          </w:p>
        </w:tc>
      </w:tr>
      <w:tr>
        <w:trPr>
          <w:trHeight w:val="235"/>
        </w:trPr>
        <w:tc>
          <w:tcPr>
            <w:tcW w:w="79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Consigned inventory</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DBDBDB"/>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r>
      <w:tr>
        <w:trPr>
          <w:trHeight w:val="260"/>
        </w:trPr>
        <w:tc>
          <w:tcPr>
            <w:tcW w:w="7920" w:type="dxa"/>
            <w:vAlign w:val="bottom"/>
            <w:tcBorders>
              <w:bottom w:val="single" w:sz="8" w:color="DBDBDB"/>
            </w:tcBorders>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5,639</w:t>
            </w:r>
          </w:p>
        </w:tc>
        <w:tc>
          <w:tcPr>
            <w:tcW w:w="120" w:type="dxa"/>
            <w:vAlign w:val="bottom"/>
            <w:tcBorders>
              <w:bottom w:val="single" w:sz="8" w:color="DBDBDB"/>
            </w:tcBorders>
            <w:shd w:val="clear" w:color="auto" w:fill="DBDBDB"/>
          </w:tcPr>
          <w:p>
            <w:pPr>
              <w:spacing w:after="0"/>
              <w:rPr>
                <w:sz w:val="22"/>
                <w:szCs w:val="22"/>
                <w:color w:val="auto"/>
              </w:rPr>
            </w:pPr>
          </w:p>
        </w:tc>
        <w:tc>
          <w:tcPr>
            <w:tcW w:w="620" w:type="dxa"/>
            <w:vAlign w:val="bottom"/>
            <w:tcBorders>
              <w:bottom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6,078</w:t>
            </w:r>
          </w:p>
        </w:tc>
      </w:tr>
      <w:tr>
        <w:trPr>
          <w:trHeight w:val="20"/>
        </w:trPr>
        <w:tc>
          <w:tcPr>
            <w:tcW w:w="79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5.</w:t>
      </w:r>
      <w:r>
        <w:rPr>
          <w:sz w:val="20"/>
          <w:szCs w:val="20"/>
          <w:color w:val="auto"/>
        </w:rPr>
        <w:tab/>
      </w:r>
      <w:r>
        <w:rPr>
          <w:rFonts w:ascii="Arial" w:cs="Arial" w:eastAsia="Arial" w:hAnsi="Arial"/>
          <w:sz w:val="24"/>
          <w:szCs w:val="24"/>
          <w:b w:val="1"/>
          <w:bCs w:val="1"/>
          <w:color w:val="414042"/>
        </w:rPr>
        <w:t>PROPERTY &amp; EQUIPMENT, NET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26,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Land improvements</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15,686</w:t>
            </w:r>
          </w:p>
        </w:tc>
        <w:tc>
          <w:tcPr>
            <w:tcW w:w="120" w:type="dxa"/>
            <w:vAlign w:val="bottom"/>
            <w:tcBorders>
              <w:top w:val="single" w:sz="8" w:color="DBDBDB"/>
            </w:tcBorders>
            <w:shd w:val="clear" w:color="auto" w:fill="DBDBDB"/>
          </w:tcPr>
          <w:p>
            <w:pPr>
              <w:spacing w:after="0"/>
              <w:rPr>
                <w:sz w:val="20"/>
                <w:szCs w:val="20"/>
                <w:color w:val="auto"/>
              </w:rPr>
            </w:pPr>
          </w:p>
        </w:tc>
        <w:tc>
          <w:tcPr>
            <w:tcW w:w="520" w:type="dxa"/>
            <w:vAlign w:val="bottom"/>
            <w:tcBorders>
              <w:top w:val="single" w:sz="8" w:color="auto"/>
            </w:tcBorders>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15,451</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Furniture, fixtures, and equipment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118,557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115,187</w:t>
            </w:r>
          </w:p>
        </w:tc>
      </w:tr>
      <w:tr>
        <w:trPr>
          <w:trHeight w:val="249"/>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Leasehold improvements</w:t>
            </w: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147,311</w:t>
            </w:r>
          </w:p>
        </w:tc>
        <w:tc>
          <w:tcPr>
            <w:tcW w:w="1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138,923</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2,212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2,203</w:t>
            </w:r>
          </w:p>
        </w:tc>
      </w:tr>
      <w:tr>
        <w:trPr>
          <w:trHeight w:val="243"/>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Construction-in-progress</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7,885</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8,300</w:t>
            </w:r>
          </w:p>
        </w:tc>
      </w:tr>
      <w:tr>
        <w:trPr>
          <w:trHeight w:val="234"/>
        </w:trPr>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291,651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280,064</w:t>
            </w:r>
          </w:p>
        </w:tc>
      </w:tr>
      <w:tr>
        <w:trPr>
          <w:trHeight w:val="243"/>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(97,838)</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(89,230)</w:t>
            </w:r>
          </w:p>
        </w:tc>
      </w:tr>
      <w:tr>
        <w:trPr>
          <w:trHeight w:val="235"/>
        </w:trPr>
        <w:tc>
          <w:tcPr>
            <w:tcW w:w="79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193,813</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190,834</w:t>
            </w:r>
          </w:p>
        </w:tc>
      </w:tr>
      <w:tr>
        <w:trPr>
          <w:trHeight w:val="27"/>
        </w:trPr>
        <w:tc>
          <w:tcPr>
            <w:tcW w:w="7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03" w:lineRule="exact"/>
        <w:rPr>
          <w:sz w:val="20"/>
          <w:szCs w:val="20"/>
          <w:color w:val="auto"/>
        </w:rPr>
      </w:pPr>
    </w:p>
    <w:p>
      <w:pPr>
        <w:jc w:val="both"/>
        <w:ind w:right="200"/>
        <w:spacing w:after="0" w:line="265" w:lineRule="auto"/>
        <w:rPr>
          <w:sz w:val="20"/>
          <w:szCs w:val="20"/>
          <w:color w:val="auto"/>
        </w:rPr>
      </w:pPr>
      <w:r>
        <w:rPr>
          <w:rFonts w:ascii="Arial" w:cs="Arial" w:eastAsia="Arial" w:hAnsi="Arial"/>
          <w:sz w:val="18"/>
          <w:szCs w:val="18"/>
          <w:color w:val="auto"/>
        </w:rPr>
        <w:t>Depreciation expense was $4.5 million and $8.9 million for the quarter and two quarters ended June 26, 2022, respectively, and $4.2 million and $8.3 million for the quarter and two quarters ended June 27, 2021, respectively, and is included in depreciation and amortization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6.</w:t>
      </w:r>
      <w:r>
        <w:rPr>
          <w:sz w:val="20"/>
          <w:szCs w:val="20"/>
          <w:color w:val="auto"/>
        </w:rPr>
        <w:tab/>
      </w:r>
      <w:r>
        <w:rPr>
          <w:rFonts w:ascii="Arial" w:cs="Arial" w:eastAsia="Arial" w:hAnsi="Arial"/>
          <w:sz w:val="24"/>
          <w:szCs w:val="24"/>
          <w:b w:val="1"/>
          <w:bCs w:val="1"/>
          <w:color w:val="414042"/>
        </w:rPr>
        <w:t>GOODWILL &amp; INTANGIBLE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reporting unit for goodwill which is evaluated for impairment annually in the fourth quarter of each fiscal year.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As of June 26, 2022</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51"/>
        </w:trPr>
        <w:tc>
          <w:tcPr>
            <w:tcW w:w="5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25"/>
        </w:trPr>
        <w:tc>
          <w:tcPr>
            <w:tcW w:w="5020" w:type="dxa"/>
            <w:vAlign w:val="bottom"/>
          </w:tcPr>
          <w:p>
            <w:pPr>
              <w:spacing w:after="0"/>
              <w:rPr>
                <w:sz w:val="19"/>
                <w:szCs w:val="19"/>
                <w:color w:val="auto"/>
              </w:rPr>
            </w:pPr>
          </w:p>
        </w:tc>
        <w:tc>
          <w:tcPr>
            <w:tcW w:w="210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 Amount</w:t>
            </w:r>
          </w:p>
        </w:tc>
        <w:tc>
          <w:tcPr>
            <w:tcW w:w="180" w:type="dxa"/>
            <w:vAlign w:val="bottom"/>
          </w:tcPr>
          <w:p>
            <w:pPr>
              <w:spacing w:after="0"/>
              <w:rPr>
                <w:sz w:val="19"/>
                <w:szCs w:val="19"/>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9"/>
                <w:szCs w:val="19"/>
                <w:color w:val="auto"/>
              </w:rPr>
            </w:pPr>
          </w:p>
        </w:tc>
        <w:tc>
          <w:tcPr>
            <w:tcW w:w="1860" w:type="dxa"/>
            <w:vAlign w:val="bottom"/>
          </w:tcPr>
          <w:p>
            <w:pPr>
              <w:jc w:val="right"/>
              <w:ind w:right="99"/>
              <w:spacing w:after="0"/>
              <w:rPr>
                <w:sz w:val="20"/>
                <w:szCs w:val="20"/>
                <w:color w:val="auto"/>
              </w:rPr>
            </w:pPr>
            <w:r>
              <w:rPr>
                <w:rFonts w:ascii="Arial" w:cs="Arial" w:eastAsia="Arial" w:hAnsi="Arial"/>
                <w:sz w:val="16"/>
                <w:szCs w:val="16"/>
                <w:b w:val="1"/>
                <w:bCs w:val="1"/>
                <w:color w:val="auto"/>
              </w:rPr>
              <w:t>Net Carrying Amount</w:t>
            </w:r>
          </w:p>
        </w:tc>
      </w:tr>
      <w:tr>
        <w:trPr>
          <w:trHeight w:val="252"/>
        </w:trPr>
        <w:tc>
          <w:tcPr>
            <w:tcW w:w="50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r>
      <w:tr>
        <w:trPr>
          <w:trHeight w:val="242"/>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8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4"/>
        </w:trPr>
        <w:tc>
          <w:tcPr>
            <w:tcW w:w="502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49"/>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8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4"/>
        </w:trPr>
        <w:tc>
          <w:tcPr>
            <w:tcW w:w="5020" w:type="dxa"/>
            <w:vAlign w:val="bottom"/>
          </w:tcPr>
          <w:p>
            <w:pPr>
              <w:ind w:left="120"/>
              <w:spacing w:after="0"/>
              <w:rPr>
                <w:sz w:val="20"/>
                <w:szCs w:val="20"/>
                <w:color w:val="auto"/>
              </w:rPr>
            </w:pPr>
            <w:r>
              <w:rPr>
                <w:rFonts w:ascii="Arial" w:cs="Arial" w:eastAsia="Arial" w:hAnsi="Arial"/>
                <w:sz w:val="16"/>
                <w:szCs w:val="16"/>
                <w:color w:val="auto"/>
              </w:rPr>
              <w:t>Recipes</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(22,872)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33,245</w:t>
            </w:r>
          </w:p>
        </w:tc>
      </w:tr>
      <w:tr>
        <w:trPr>
          <w:trHeight w:val="243"/>
        </w:trPr>
        <w:tc>
          <w:tcPr>
            <w:tcW w:w="5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Favorable rental contracts</w:t>
            </w:r>
          </w:p>
        </w:tc>
        <w:tc>
          <w:tcPr>
            <w:tcW w:w="72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2,991</w:t>
            </w:r>
          </w:p>
        </w:tc>
        <w:tc>
          <w:tcPr>
            <w:tcW w:w="10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1,018</w:t>
            </w:r>
          </w:p>
        </w:tc>
      </w:tr>
      <w:tr>
        <w:trPr>
          <w:trHeight w:val="235"/>
        </w:trPr>
        <w:tc>
          <w:tcPr>
            <w:tcW w:w="5020" w:type="dxa"/>
            <w:vAlign w:val="bottom"/>
          </w:tcPr>
          <w:p>
            <w:pPr>
              <w:spacing w:after="0"/>
              <w:rPr>
                <w:sz w:val="20"/>
                <w:szCs w:val="20"/>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283,033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258,188</w:t>
            </w:r>
          </w:p>
        </w:tc>
      </w:tr>
      <w:tr>
        <w:trPr>
          <w:trHeight w:val="20"/>
        </w:trPr>
        <w:tc>
          <w:tcPr>
            <w:tcW w:w="5020" w:type="dxa"/>
            <w:vAlign w:val="bottom"/>
            <w:tcBorders>
              <w:bottom w:val="single" w:sz="8" w:color="DBDBDB"/>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42"/>
        </w:trPr>
        <w:tc>
          <w:tcPr>
            <w:tcW w:w="502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8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As of December 26, 2021</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51"/>
        </w:trPr>
        <w:tc>
          <w:tcPr>
            <w:tcW w:w="5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25"/>
        </w:trPr>
        <w:tc>
          <w:tcPr>
            <w:tcW w:w="5020" w:type="dxa"/>
            <w:vAlign w:val="bottom"/>
          </w:tcPr>
          <w:p>
            <w:pPr>
              <w:spacing w:after="0"/>
              <w:rPr>
                <w:sz w:val="19"/>
                <w:szCs w:val="19"/>
                <w:color w:val="auto"/>
              </w:rPr>
            </w:pPr>
          </w:p>
        </w:tc>
        <w:tc>
          <w:tcPr>
            <w:tcW w:w="210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 Amount</w:t>
            </w:r>
          </w:p>
        </w:tc>
        <w:tc>
          <w:tcPr>
            <w:tcW w:w="300" w:type="dxa"/>
            <w:vAlign w:val="bottom"/>
          </w:tcPr>
          <w:p>
            <w:pPr>
              <w:spacing w:after="0"/>
              <w:rPr>
                <w:sz w:val="19"/>
                <w:szCs w:val="19"/>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9"/>
                <w:szCs w:val="19"/>
                <w:color w:val="auto"/>
              </w:rPr>
            </w:pPr>
          </w:p>
        </w:tc>
        <w:tc>
          <w:tcPr>
            <w:tcW w:w="1860" w:type="dxa"/>
            <w:vAlign w:val="bottom"/>
          </w:tcPr>
          <w:p>
            <w:pPr>
              <w:jc w:val="right"/>
              <w:ind w:right="99"/>
              <w:spacing w:after="0"/>
              <w:rPr>
                <w:sz w:val="20"/>
                <w:szCs w:val="20"/>
                <w:color w:val="auto"/>
              </w:rPr>
            </w:pPr>
            <w:r>
              <w:rPr>
                <w:rFonts w:ascii="Arial" w:cs="Arial" w:eastAsia="Arial" w:hAnsi="Arial"/>
                <w:sz w:val="16"/>
                <w:szCs w:val="16"/>
                <w:b w:val="1"/>
                <w:bCs w:val="1"/>
                <w:color w:val="auto"/>
              </w:rPr>
              <w:t>Net Carrying Amount</w:t>
            </w:r>
          </w:p>
        </w:tc>
      </w:tr>
      <w:tr>
        <w:trPr>
          <w:trHeight w:val="252"/>
        </w:trPr>
        <w:tc>
          <w:tcPr>
            <w:tcW w:w="50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r>
      <w:tr>
        <w:trPr>
          <w:trHeight w:val="242"/>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4"/>
        </w:trPr>
        <w:tc>
          <w:tcPr>
            <w:tcW w:w="502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820" w:type="dxa"/>
            <w:vAlign w:val="bottom"/>
            <w:gridSpan w:val="2"/>
          </w:tcPr>
          <w:p>
            <w:pPr>
              <w:ind w:left="14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49"/>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4"/>
        </w:trPr>
        <w:tc>
          <w:tcPr>
            <w:tcW w:w="5020" w:type="dxa"/>
            <w:vAlign w:val="bottom"/>
          </w:tcPr>
          <w:p>
            <w:pPr>
              <w:ind w:left="120"/>
              <w:spacing w:after="0"/>
              <w:rPr>
                <w:sz w:val="20"/>
                <w:szCs w:val="20"/>
                <w:color w:val="auto"/>
              </w:rPr>
            </w:pPr>
            <w:r>
              <w:rPr>
                <w:rFonts w:ascii="Arial" w:cs="Arial" w:eastAsia="Arial" w:hAnsi="Arial"/>
                <w:sz w:val="16"/>
                <w:szCs w:val="16"/>
                <w:color w:val="auto"/>
              </w:rPr>
              <w:t>Recipes</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(21,427)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34,690</w:t>
            </w:r>
          </w:p>
        </w:tc>
      </w:tr>
      <w:tr>
        <w:trPr>
          <w:trHeight w:val="243"/>
        </w:trPr>
        <w:tc>
          <w:tcPr>
            <w:tcW w:w="50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Favorable rental contracts</w:t>
            </w:r>
          </w:p>
        </w:tc>
        <w:tc>
          <w:tcPr>
            <w:tcW w:w="72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2,991</w:t>
            </w:r>
          </w:p>
        </w:tc>
        <w:tc>
          <w:tcPr>
            <w:tcW w:w="10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1,142</w:t>
            </w:r>
          </w:p>
        </w:tc>
      </w:tr>
      <w:tr>
        <w:trPr>
          <w:trHeight w:val="235"/>
        </w:trPr>
        <w:tc>
          <w:tcPr>
            <w:tcW w:w="5020" w:type="dxa"/>
            <w:vAlign w:val="bottom"/>
          </w:tcPr>
          <w:p>
            <w:pPr>
              <w:spacing w:after="0"/>
              <w:rPr>
                <w:sz w:val="20"/>
                <w:szCs w:val="20"/>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283,033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259,757</w:t>
            </w:r>
          </w:p>
        </w:tc>
      </w:tr>
      <w:tr>
        <w:trPr>
          <w:trHeight w:val="27"/>
        </w:trPr>
        <w:tc>
          <w:tcPr>
            <w:tcW w:w="50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317" w:lineRule="exact"/>
        <w:rPr>
          <w:sz w:val="20"/>
          <w:szCs w:val="20"/>
          <w:color w:val="auto"/>
        </w:rPr>
      </w:pPr>
    </w:p>
    <w:p>
      <w:pPr>
        <w:jc w:val="both"/>
        <w:ind w:right="220"/>
        <w:spacing w:after="0" w:line="265" w:lineRule="auto"/>
        <w:rPr>
          <w:sz w:val="20"/>
          <w:szCs w:val="20"/>
          <w:color w:val="auto"/>
        </w:rPr>
      </w:pPr>
      <w:r>
        <w:rPr>
          <w:rFonts w:ascii="Arial" w:cs="Arial" w:eastAsia="Arial" w:hAnsi="Arial"/>
          <w:sz w:val="18"/>
          <w:szCs w:val="18"/>
          <w:color w:val="auto"/>
        </w:rPr>
        <w:t>Amortization expense was $0.8 million and $1.6 million for the quarter and two quarters ended June 26, 2022, respectively, and $2.2 million and $4.4 million for the quarter and two quarters ended June 27, 2021, respectively, and is included in depreciation and amortization in the condensed consolidated statements of operations.</w:t>
      </w:r>
    </w:p>
    <w:p>
      <w:pPr>
        <w:spacing w:after="0" w:line="20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 estimated aggregate amortization expense for the intangibles for the remainder of this year and the succeeding five years and thereafter are $1.6 million, $3.1 million, $3.1 million, $3.0 million, $2.9 million, $2.7 million, and $17.9 million, respectively.</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7.</w:t>
      </w:r>
      <w:r>
        <w:rPr>
          <w:sz w:val="20"/>
          <w:szCs w:val="20"/>
          <w:color w:val="auto"/>
        </w:rPr>
        <w:tab/>
      </w:r>
      <w:r>
        <w:rPr>
          <w:rFonts w:ascii="Arial" w:cs="Arial" w:eastAsia="Arial" w:hAnsi="Arial"/>
          <w:sz w:val="24"/>
          <w:szCs w:val="24"/>
          <w:b w:val="1"/>
          <w:bCs w:val="1"/>
          <w:color w:val="414042"/>
        </w:rPr>
        <w:t>FAIR VALUE OF FINANCIAL INSTRUMENTS</w:t>
      </w:r>
    </w:p>
    <w:p>
      <w:pPr>
        <w:spacing w:after="0" w:line="25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49"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Recurring Basis</w:t>
      </w:r>
    </w:p>
    <w:p>
      <w:pPr>
        <w:spacing w:after="0" w:line="25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all other current assets and liabilities approximate fair values due to the short-term nature of these financial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a deferred compensation plan with related assets held in a rabbi trust.</w:t>
      </w:r>
    </w:p>
    <w:p>
      <w:pPr>
        <w:spacing w:after="0" w:line="24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color w:val="414042"/>
        </w:rPr>
        <w:t xml:space="preserve">Deferred Compensation Plan - </w:t>
      </w:r>
      <w:r>
        <w:rPr>
          <w:rFonts w:ascii="Arial" w:cs="Arial" w:eastAsia="Arial" w:hAnsi="Arial"/>
          <w:sz w:val="18"/>
          <w:szCs w:val="18"/>
          <w:color w:val="000000"/>
        </w:rPr>
        <w:t>The Company maintains a rabbi trust to fund obligations under a deferred compensation plan. Amounts in</w:t>
      </w:r>
      <w:r>
        <w:rPr>
          <w:rFonts w:ascii="Arial" w:cs="Arial" w:eastAsia="Arial" w:hAnsi="Arial"/>
          <w:sz w:val="18"/>
          <w:szCs w:val="18"/>
          <w:b w:val="1"/>
          <w:bCs w:val="1"/>
          <w:color w:val="414042"/>
        </w:rPr>
        <w:t xml:space="preserve"> </w:t>
      </w:r>
      <w:r>
        <w:rPr>
          <w:rFonts w:ascii="Arial" w:cs="Arial" w:eastAsia="Arial" w:hAnsi="Arial"/>
          <w:sz w:val="18"/>
          <w:szCs w:val="18"/>
          <w:color w:val="000000"/>
        </w:rPr>
        <w:t>the rabbi trust are invested in mutual funds, which are designated as trading securities carried at fair value. The fair value measurement of these trading securities is considered Level 1 of the fair value hierarchy as they are measured using quoted market prices. As of June 26, 2022 and December 26, 2021, the fair value of the mutual fund investments and deferred compensation obligations were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Borders>
              <w:bottom w:val="single" w:sz="8" w:color="DBDBDB"/>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9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520" w:type="dxa"/>
            <w:vAlign w:val="bottom"/>
            <w:gridSpan w:val="2"/>
            <w:shd w:val="clear" w:color="auto" w:fill="DBDBDB"/>
          </w:tcPr>
          <w:p>
            <w:pPr>
              <w:jc w:val="center"/>
              <w:ind w:right="300"/>
              <w:spacing w:after="0"/>
              <w:rPr>
                <w:sz w:val="20"/>
                <w:szCs w:val="20"/>
                <w:color w:val="auto"/>
              </w:rPr>
            </w:pPr>
            <w:r>
              <w:rPr>
                <w:rFonts w:ascii="Arial" w:cs="Arial" w:eastAsia="Arial" w:hAnsi="Arial"/>
                <w:sz w:val="16"/>
                <w:szCs w:val="16"/>
                <w:b w:val="1"/>
                <w:bCs w:val="1"/>
                <w:color w:val="auto"/>
                <w:w w:val="99"/>
              </w:rPr>
              <w:t>Level 1</w:t>
            </w:r>
          </w:p>
        </w:tc>
        <w:tc>
          <w:tcPr>
            <w:tcW w:w="300" w:type="dxa"/>
            <w:vAlign w:val="bottom"/>
            <w:shd w:val="clear" w:color="auto" w:fill="DBDBDB"/>
          </w:tcPr>
          <w:p>
            <w:pPr>
              <w:spacing w:after="0"/>
              <w:rPr>
                <w:sz w:val="20"/>
                <w:szCs w:val="20"/>
                <w:color w:val="auto"/>
              </w:rPr>
            </w:pPr>
          </w:p>
        </w:tc>
        <w:tc>
          <w:tcPr>
            <w:tcW w:w="1300" w:type="dxa"/>
            <w:vAlign w:val="bottom"/>
            <w:shd w:val="clear" w:color="auto" w:fill="DBDBDB"/>
          </w:tcPr>
          <w:p>
            <w:pPr>
              <w:jc w:val="right"/>
              <w:ind w:right="459"/>
              <w:spacing w:after="0"/>
              <w:rPr>
                <w:sz w:val="20"/>
                <w:szCs w:val="20"/>
                <w:color w:val="auto"/>
              </w:rPr>
            </w:pPr>
            <w:r>
              <w:rPr>
                <w:rFonts w:ascii="Arial" w:cs="Arial" w:eastAsia="Arial" w:hAnsi="Arial"/>
                <w:sz w:val="16"/>
                <w:szCs w:val="16"/>
                <w:b w:val="1"/>
                <w:bCs w:val="1"/>
                <w:color w:val="auto"/>
              </w:rPr>
              <w:t>Level 1</w:t>
            </w:r>
          </w:p>
        </w:tc>
      </w:tr>
      <w:tr>
        <w:trPr>
          <w:trHeight w:val="195"/>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 xml:space="preserve">Assets </w:t>
            </w:r>
            <w:r>
              <w:rPr>
                <w:rFonts w:ascii="Arial" w:cs="Arial" w:eastAsia="Arial" w:hAnsi="Arial"/>
                <w:sz w:val="16"/>
                <w:szCs w:val="16"/>
                <w:color w:val="auto"/>
              </w:rPr>
              <w:t>- Investments designated for deferred compensation plan</w:t>
            </w: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42"/>
        </w:trPr>
        <w:tc>
          <w:tcPr>
            <w:tcW w:w="79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Cash/money accounts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1,482</w:t>
            </w:r>
          </w:p>
        </w:tc>
      </w:tr>
      <w:tr>
        <w:trPr>
          <w:trHeight w:val="235"/>
        </w:trPr>
        <w:tc>
          <w:tcPr>
            <w:tcW w:w="79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Mutual funds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r>
      <w:tr>
        <w:trPr>
          <w:trHeight w:val="267"/>
        </w:trPr>
        <w:tc>
          <w:tcPr>
            <w:tcW w:w="792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3,903</w:t>
            </w:r>
          </w:p>
        </w:tc>
        <w:tc>
          <w:tcPr>
            <w:tcW w:w="10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4,667</w:t>
            </w:r>
          </w:p>
        </w:tc>
      </w:tr>
      <w:tr>
        <w:trPr>
          <w:trHeight w:val="20"/>
        </w:trPr>
        <w:tc>
          <w:tcPr>
            <w:tcW w:w="79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June 26, 2022 and December 26, 2021, we had no Level 2 or Level 3 assets.</w:t>
      </w:r>
    </w:p>
    <w:p>
      <w:pPr>
        <w:spacing w:after="0" w:line="15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mutual fund investments and deferred compensation obligations are included in other assets, accrued expenses and other long-term liabilities in the consolidated balance sheets. Changes in the fair value of securities held in the rabbi trust are recognized as trading gains and losses and included in other income in the consolidated statements of operations and offsetting increases or decreases in the deferred compensation obligation are recorded in other long-term liabilities in the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Debt for additional information relating to the fair value of the Company's outstanding debt instruments.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Non-Recurring Basis</w:t>
      </w:r>
    </w:p>
    <w:p>
      <w:pPr>
        <w:spacing w:after="0" w:line="24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Assets and liabilities that are measured at fair value on a non-recurring basis include property and equipment, net, equity-method investment, goodwill and indefinite-lived intangible assets. These assets are measured at fair value whenever events or changes in circumstances indicate that the carrying amount of an asset may not be recoverable. There were no impairment charges recognized during the quarter or two quarters ended June 26, 2022 and June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8.</w:t>
      </w:r>
      <w:r>
        <w:rPr>
          <w:sz w:val="20"/>
          <w:szCs w:val="20"/>
          <w:color w:val="auto"/>
        </w:rPr>
        <w:tab/>
      </w:r>
      <w:r>
        <w:rPr>
          <w:rFonts w:ascii="Arial" w:cs="Arial" w:eastAsia="Arial" w:hAnsi="Arial"/>
          <w:sz w:val="24"/>
          <w:szCs w:val="24"/>
          <w:b w:val="1"/>
          <w:bCs w:val="1"/>
          <w:color w:val="414042"/>
        </w:rPr>
        <w:t>DEBT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26, 2022</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First Lien Term B-3 Loans</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324,090</w:t>
            </w:r>
          </w:p>
        </w:tc>
        <w:tc>
          <w:tcPr>
            <w:tcW w:w="120" w:type="dxa"/>
            <w:vAlign w:val="bottom"/>
            <w:tcBorders>
              <w:top w:val="single" w:sz="8" w:color="DBDBDB"/>
            </w:tcBorders>
            <w:shd w:val="clear" w:color="auto" w:fill="DBDBDB"/>
          </w:tcPr>
          <w:p>
            <w:pPr>
              <w:spacing w:after="0"/>
              <w:rPr>
                <w:sz w:val="20"/>
                <w:szCs w:val="20"/>
                <w:color w:val="auto"/>
              </w:rPr>
            </w:pPr>
          </w:p>
        </w:tc>
        <w:tc>
          <w:tcPr>
            <w:tcW w:w="520" w:type="dxa"/>
            <w:vAlign w:val="bottom"/>
            <w:tcBorders>
              <w:top w:val="single" w:sz="8" w:color="auto"/>
            </w:tcBorders>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325,752</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Revolving Loans</w:t>
            </w:r>
          </w:p>
        </w:tc>
        <w:tc>
          <w:tcPr>
            <w:tcW w:w="18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Unamortized discount and debt issuance costs</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(5,356)</w:t>
            </w:r>
          </w:p>
        </w:tc>
        <w:tc>
          <w:tcPr>
            <w:tcW w:w="12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(6,599)</w:t>
            </w:r>
          </w:p>
        </w:tc>
      </w:tr>
      <w:tr>
        <w:trPr>
          <w:trHeight w:val="234"/>
        </w:trPr>
        <w:tc>
          <w:tcPr>
            <w:tcW w:w="7920" w:type="dxa"/>
            <w:vAlign w:val="bottom"/>
          </w:tcPr>
          <w:p>
            <w:pPr>
              <w:ind w:left="20"/>
              <w:spacing w:after="0"/>
              <w:rPr>
                <w:sz w:val="20"/>
                <w:szCs w:val="20"/>
                <w:color w:val="auto"/>
              </w:rPr>
            </w:pPr>
            <w:r>
              <w:rPr>
                <w:rFonts w:ascii="Arial" w:cs="Arial" w:eastAsia="Arial" w:hAnsi="Arial"/>
                <w:sz w:val="16"/>
                <w:szCs w:val="16"/>
                <w:color w:val="auto"/>
              </w:rPr>
              <w:t>Total debt, net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318,734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319,153</w:t>
            </w:r>
          </w:p>
        </w:tc>
      </w:tr>
      <w:tr>
        <w:trPr>
          <w:trHeight w:val="243"/>
        </w:trPr>
        <w:tc>
          <w:tcPr>
            <w:tcW w:w="7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current portion</w:t>
            </w:r>
          </w:p>
        </w:tc>
        <w:tc>
          <w:tcPr>
            <w:tcW w:w="180" w:type="dxa"/>
            <w:vAlign w:val="bottom"/>
            <w:tcBorders>
              <w:bottom w:val="single" w:sz="8" w:color="auto"/>
            </w:tcBorders>
            <w:shd w:val="clear" w:color="auto" w:fill="DBDBDB"/>
          </w:tcPr>
          <w:p>
            <w:pPr>
              <w:spacing w:after="0"/>
              <w:rPr>
                <w:sz w:val="21"/>
                <w:szCs w:val="21"/>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(3,324)</w:t>
            </w:r>
          </w:p>
        </w:tc>
        <w:tc>
          <w:tcPr>
            <w:tcW w:w="120" w:type="dxa"/>
            <w:vAlign w:val="bottom"/>
            <w:tcBorders>
              <w:bottom w:val="single" w:sz="8" w:color="auto"/>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(3,324)</w:t>
            </w:r>
          </w:p>
        </w:tc>
      </w:tr>
      <w:tr>
        <w:trPr>
          <w:trHeight w:val="242"/>
        </w:trPr>
        <w:tc>
          <w:tcPr>
            <w:tcW w:w="79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315,410</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315,829</w:t>
            </w:r>
          </w:p>
        </w:tc>
      </w:tr>
      <w:tr>
        <w:trPr>
          <w:trHeight w:val="20"/>
        </w:trPr>
        <w:tc>
          <w:tcPr>
            <w:tcW w:w="7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First Lien</w:t>
      </w:r>
    </w:p>
    <w:p>
      <w:pPr>
        <w:spacing w:after="0" w:line="2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PHD Intermediate LLC (“Holdings”), Portillo’s Holdings LLC (the “Borrower”) and certain of its subsidiaries entered into the First Lien Credit Agreement ("First Lien Credit Agreement"), dated as of August 1, 2014 and as amended October 25, 2016, May 18, 2018 and December 6, 2019, with UBS AG, Stamford Branch, as the administrative agent and collateral agent, and other lenders from time to time party thereto (the “First Lien Lenders”). The First Lien Lenders extended credit in the form of (i) first lien initial term loans in an initial aggregate principal amount of $335.0 million and (ii) a revolving credit facility in an original principal amount equal to $30.0 million, including a letter of credit sub-facility with a $7.5 million sublimit (the “Revolving Facility” and the loans thereunder, the “Revolving Loans”).</w:t>
      </w: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6, 2019, the Borrower entered a third amendment to the First Lien Credit Agreement (the “Third Amendment to First Lien Credit Agreement”) whereby the aggregate principal amount of the term loans as of the effective date of the Third Amendment to First Lien Credit Agreement was $332.4 million (the “First Lien Term B-3 Loans”), and the Revolving Facility was increased to $50.0 million. The maturity date with respect to the First Lien Term B-3 Loans was extended to September 6, 2024, and the maturity date with respect to the Revolving Loans date was extended to June 6, 2024.</w:t>
      </w:r>
    </w:p>
    <w:p>
      <w:pPr>
        <w:spacing w:after="0" w:line="20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connection with the Third Amendment to First Lien Credit Agreement, the interest rates spread for the First Lien Term B-3 Loans increased by 100 basis points to 5.50% for the adjusted London interbank offered rate ("Eurocurrency Rate") loans. As of June 26, 2022 and June 27, 2021, the interest rate on the Term Loans was 6.56% and 6.50%, respectively. As of June 26, 2022 and June 27, 2021, the effective interest rate on the Term Loans was 7.38% and 7.63%, respectively. Beginning with December 31, 2019, the Company is required to pay on the last business day of each calendar quarter, March 31, June 30, September 30, and December 31, an aggregate principal amount of $0.8 million.</w:t>
      </w:r>
    </w:p>
    <w:p>
      <w:pPr>
        <w:spacing w:after="0" w:line="19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June 26, 2022 and December 26, 2021, the Company had no borrowings under the Revolver outstanding, respectively. As of both June 26, 2022 and June 27, 2021, the interest rate on the Revolver was 3.25%, subject to change based on a consolidated first lien net leverage ratio as defined in the First Lien Credit Agreement. As of both June 26, 2022 and June 27, 2021, the commitment fees, pursuant to the First Lien, to maintain the Revolver were 0.250%. Also pursuant to the First Lien Credit Agreement, as of both June 26, 2022 and June 27, 2021, letter of credit fronting fees were 0.125%. Commitment fees and letter of credit fronting fees are recorded as interest expense in the condensed consolidated statements of operations.</w:t>
      </w:r>
    </w:p>
    <w:p>
      <w:pPr>
        <w:spacing w:after="0" w:line="21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The Company had $5.0 million of letters of credit issued against the Revolving Facility as of both June 26, 2022 and December 26, 2021, respectively. As of June 26, 2022, the Company had $45.0 million of availability under the Revolving Facility.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 Lien</w:t>
      </w:r>
    </w:p>
    <w:p>
      <w:pPr>
        <w:spacing w:after="0" w:line="24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Holdings, the Borrower and certain of its subsidiaries entered into the Second Lien Credit Agreement (the “Second Lien Credit Agreement”) dated as of August 1, 2014 and as amended on October 25, 2016 and December 6, 2019 with UBS AG, Stamford Branch, as administrative agent and collateral agent, and other lenders from time to time party thereto (the “Second Lien Lenders”). The Second Lien Lenders extended credit in the form of initial second lien term loans in an initial aggregate principal amount of $80.0 million.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PORTILLO'S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6, 2019, the Borrower entered into second amendment to the Second Lien Credit Agreement (the “Second Amendment to Second Lien Credit Agreement”) whereby the aggregate principal amount of the term loans as of the effective date of the Second Amendment to the Second Lien Credit Agreement was $155.0 million (the “Second Lien Term B-3 Loans”). The maturity date of the Second Lien Term B-3 Loans was extended to December 6, 2024 (the “Second Lien Maturity Date”). In addition to the increased principal amount, the interest rates spread for the Second Lien Term B-3 Loans increased by 150 basis points to 9.50% for Eurocurrency Rate loans. The Borrower determined interest on the Second Lien at the Eurocurrency Rate, plus 9.50%.</w:t>
      </w:r>
    </w:p>
    <w:p>
      <w:pPr>
        <w:spacing w:after="0" w:line="210"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offering expenses. Net proceeds of $158.1 million were used to repay the Second Lien Term B-3 Loans in full, including a $3.1 million prepayment penalty, which was recorded as a loss on debt extinguishment during the year ended December 26, 2021 in the consolidated statement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Discount and Debt Issuance Costs</w:t>
      </w:r>
    </w:p>
    <w:p>
      <w:pPr>
        <w:spacing w:after="0" w:line="258"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In connection with entering into the Third Amendment to First Lien Credit Agreement and the Second Amendment to Second Lien Credit Agreement, in each case, dated as of December 6, 2019, the Borrower paid debt issuance costs of $14.5 million, of which $13.3 million were capitalized and are being amortized over the term of the related debt agreements, and $1.2 million were expensed as incurred.</w:t>
      </w:r>
    </w:p>
    <w:p>
      <w:pPr>
        <w:spacing w:after="0" w:line="200"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In connection with the repayment of the Second Lien Term B-3 Loans as described above, deferred financing costs and original issuance discount of $ 4.2 million were recorded as a loss on debt extinguishment during the year ended December 26, 2021 in the consolidated statement of operations.</w:t>
      </w:r>
    </w:p>
    <w:p>
      <w:pPr>
        <w:spacing w:after="0" w:line="200"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Company amortized $0.5 million and $0.9 million of deferred financing costs during the quarter and two quarters ended June 26, 2022, respectively, and $0.6 million and $1.1 million, respectively, during the quarter and two quarters ended June 27, 2021, which is included in interest expense in the condensed consolidated statements of operations. In addition, the Company also amortized $0.1 million and</w:t>
      </w:r>
    </w:p>
    <w:p>
      <w:pPr>
        <w:ind w:right="40"/>
        <w:spacing w:after="0" w:line="255" w:lineRule="auto"/>
        <w:rPr>
          <w:sz w:val="20"/>
          <w:szCs w:val="20"/>
          <w:color w:val="auto"/>
        </w:rPr>
      </w:pPr>
      <w:r>
        <w:rPr>
          <w:rFonts w:ascii="Arial" w:cs="Arial" w:eastAsia="Arial" w:hAnsi="Arial"/>
          <w:sz w:val="18"/>
          <w:szCs w:val="18"/>
          <w:color w:val="auto"/>
        </w:rPr>
        <w:t>$0.3 million in original issue discount related to the long term debt during the quarter and two quarters ended June 26, 2022, respectively, and $0.4 million and $0.8 million, respectively, in the quarter and two quarters ended June 27, 2021 which is included in interest expense in the condensed consolidated statements of operations.</w:t>
      </w:r>
    </w:p>
    <w:p>
      <w:pPr>
        <w:spacing w:after="0" w:line="20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Total interest costs incurred were $6.1 million and $12.2 million for the quarter and two quarters ended June 26, 2022, respectively, and $10.7 million and $21.4 million for the quarter and two quarters ended June 27, 2021, respectively.</w:t>
      </w:r>
    </w:p>
    <w:p>
      <w:pPr>
        <w:spacing w:after="0" w:line="185" w:lineRule="exact"/>
        <w:rPr>
          <w:sz w:val="20"/>
          <w:szCs w:val="20"/>
          <w:color w:val="auto"/>
        </w:rPr>
      </w:pPr>
    </w:p>
    <w:p>
      <w:pPr>
        <w:jc w:val="both"/>
        <w:ind w:right="160"/>
        <w:spacing w:after="0" w:line="265" w:lineRule="auto"/>
        <w:rPr>
          <w:sz w:val="20"/>
          <w:szCs w:val="20"/>
          <w:color w:val="auto"/>
        </w:rPr>
      </w:pPr>
      <w:r>
        <w:rPr>
          <w:rFonts w:ascii="Arial" w:cs="Arial" w:eastAsia="Arial" w:hAnsi="Arial"/>
          <w:sz w:val="18"/>
          <w:szCs w:val="18"/>
          <w:color w:val="auto"/>
        </w:rPr>
        <w:t>As of June 26, 2022 and December 26, 2021,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spacing w:after="0" w:line="200" w:lineRule="exact"/>
        <w:rPr>
          <w:sz w:val="20"/>
          <w:szCs w:val="20"/>
          <w:color w:val="auto"/>
        </w:rPr>
      </w:pPr>
    </w:p>
    <w:p>
      <w:pPr>
        <w:jc w:val="both"/>
        <w:ind w:right="200"/>
        <w:spacing w:after="0" w:line="265" w:lineRule="auto"/>
        <w:rPr>
          <w:sz w:val="20"/>
          <w:szCs w:val="20"/>
          <w:color w:val="auto"/>
        </w:rPr>
      </w:pPr>
      <w:r>
        <w:rPr>
          <w:rFonts w:ascii="Arial" w:cs="Arial" w:eastAsia="Arial" w:hAnsi="Arial"/>
          <w:sz w:val="18"/>
          <w:szCs w:val="18"/>
          <w:color w:val="auto"/>
        </w:rPr>
        <w:t>Borrowings under the First Lien Credit Agreement are guaranteed by Holdings,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200" w:lineRule="exact"/>
        <w:rPr>
          <w:sz w:val="20"/>
          <w:szCs w:val="20"/>
          <w:color w:val="auto"/>
        </w:rPr>
      </w:pPr>
    </w:p>
    <w:p>
      <w:pPr>
        <w:ind w:right="540"/>
        <w:spacing w:after="0" w:line="313" w:lineRule="auto"/>
        <w:rPr>
          <w:sz w:val="20"/>
          <w:szCs w:val="20"/>
          <w:color w:val="auto"/>
        </w:rPr>
      </w:pPr>
      <w:r>
        <w:rPr>
          <w:rFonts w:ascii="Arial" w:cs="Arial" w:eastAsia="Arial" w:hAnsi="Arial"/>
          <w:sz w:val="17"/>
          <w:szCs w:val="17"/>
          <w:color w:val="auto"/>
        </w:rPr>
        <w:t>The Borrower is subject to certain financial and reporting covenants pursuant to the terms of the First Lien Credit Agreement. These covenants are customary for these types of debt agreements. As of June 26, 2022, the Company was in compliance with all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9.</w:t>
        <w:tab/>
        <w:t>NON-CONTROLLING INTERESTS</w:t>
      </w:r>
    </w:p>
    <w:p>
      <w:pPr>
        <w:spacing w:after="0" w:line="2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Transactions described in Note 1. Description Of Business we are the sole managing member of Portillo's OpCo, and as a result, consolidated the financial results of Portillo's OpCo. We report a non-controlling interest representing the LLC interests in Portillo's OpCo held by pre-IPO LLC Members. Changes in our ownership interest in Portillo's OpCo while we retain our controlling interest in Portillo's OpCo will be accounted for as equity transactions. As such, future redemptions or direct exchanges of LLC interests in Portillo's OpCo by the pre-IPO LLC members will result in a change in ownership and reduce the amount recorded as non-controlling interest and increase additional paid-in capital.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LLC interest ownership by Portillo's Inc. and pre-IPO LLC members: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60" w:type="dxa"/>
            <w:vAlign w:val="bottom"/>
          </w:tcPr>
          <w:p>
            <w:pPr>
              <w:spacing w:after="0"/>
              <w:rPr>
                <w:sz w:val="17"/>
                <w:szCs w:val="17"/>
                <w:color w:val="auto"/>
              </w:rPr>
            </w:pPr>
          </w:p>
        </w:tc>
        <w:tc>
          <w:tcPr>
            <w:tcW w:w="3340" w:type="dxa"/>
            <w:vAlign w:val="bottom"/>
            <w:gridSpan w:val="3"/>
            <w:vMerge w:val="restart"/>
          </w:tcPr>
          <w:p>
            <w:pPr>
              <w:jc w:val="right"/>
              <w:ind w:right="839"/>
              <w:spacing w:after="0"/>
              <w:rPr>
                <w:sz w:val="20"/>
                <w:szCs w:val="20"/>
                <w:color w:val="auto"/>
              </w:rPr>
            </w:pPr>
            <w:r>
              <w:rPr>
                <w:rFonts w:ascii="Arial" w:cs="Arial" w:eastAsia="Arial" w:hAnsi="Arial"/>
                <w:sz w:val="16"/>
                <w:szCs w:val="16"/>
                <w:b w:val="1"/>
                <w:bCs w:val="1"/>
                <w:color w:val="auto"/>
              </w:rPr>
              <w:t>As of June 26, 2022</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As</w:t>
            </w:r>
          </w:p>
        </w:tc>
        <w:tc>
          <w:tcPr>
            <w:tcW w:w="3200" w:type="dxa"/>
            <w:vAlign w:val="bottom"/>
            <w:gridSpan w:val="3"/>
            <w:vMerge w:val="restart"/>
          </w:tcPr>
          <w:p>
            <w:pPr>
              <w:jc w:val="right"/>
              <w:ind w:right="639"/>
              <w:spacing w:after="0"/>
              <w:rPr>
                <w:sz w:val="20"/>
                <w:szCs w:val="20"/>
                <w:color w:val="auto"/>
              </w:rPr>
            </w:pPr>
            <w:r>
              <w:rPr>
                <w:rFonts w:ascii="Arial" w:cs="Arial" w:eastAsia="Arial" w:hAnsi="Arial"/>
                <w:sz w:val="16"/>
                <w:szCs w:val="16"/>
                <w:b w:val="1"/>
                <w:bCs w:val="1"/>
                <w:color w:val="auto"/>
              </w:rPr>
              <w:t>As of December 26, 2021</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340" w:type="dxa"/>
            <w:vAlign w:val="bottom"/>
            <w:gridSpan w:val="3"/>
            <w:vMerge w:val="continue"/>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of</w:t>
            </w:r>
          </w:p>
        </w:tc>
        <w:tc>
          <w:tcPr>
            <w:tcW w:w="32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60" w:type="dxa"/>
            <w:vAlign w:val="bottom"/>
          </w:tcPr>
          <w:p>
            <w:pPr>
              <w:spacing w:after="0"/>
              <w:rPr>
                <w:sz w:val="19"/>
                <w:szCs w:val="19"/>
                <w:color w:val="auto"/>
              </w:rPr>
            </w:pP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LLC Interests</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Ownership %</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LLC Interests</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Ownership %</w:t>
            </w:r>
          </w:p>
        </w:tc>
        <w:tc>
          <w:tcPr>
            <w:tcW w:w="0" w:type="dxa"/>
            <w:vAlign w:val="bottom"/>
          </w:tcPr>
          <w:p>
            <w:pPr>
              <w:spacing w:after="0"/>
              <w:rPr>
                <w:sz w:val="1"/>
                <w:szCs w:val="1"/>
                <w:color w:val="auto"/>
              </w:rPr>
            </w:pPr>
          </w:p>
        </w:tc>
      </w:tr>
      <w:tr>
        <w:trPr>
          <w:trHeight w:val="239"/>
        </w:trPr>
        <w:tc>
          <w:tcPr>
            <w:tcW w:w="4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Portillo's Inc.</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36,218,355</w:t>
            </w:r>
          </w:p>
        </w:tc>
        <w:tc>
          <w:tcPr>
            <w:tcW w:w="80" w:type="dxa"/>
            <w:vAlign w:val="bottom"/>
            <w:tcBorders>
              <w:top w:val="single" w:sz="8" w:color="DBDBDB"/>
            </w:tcBorders>
            <w:shd w:val="clear" w:color="auto" w:fill="DBDBDB"/>
          </w:tcPr>
          <w:p>
            <w:pPr>
              <w:spacing w:after="0"/>
              <w:rPr>
                <w:sz w:val="20"/>
                <w:szCs w:val="20"/>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50.4 %</w:t>
            </w:r>
          </w:p>
        </w:tc>
        <w:tc>
          <w:tcPr>
            <w:tcW w:w="2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35,807,171</w:t>
            </w:r>
          </w:p>
        </w:tc>
        <w:tc>
          <w:tcPr>
            <w:tcW w:w="80" w:type="dxa"/>
            <w:vAlign w:val="bottom"/>
            <w:tcBorders>
              <w:top w:val="single" w:sz="8" w:color="DBDBDB"/>
            </w:tcBorders>
            <w:shd w:val="clear" w:color="auto" w:fill="DBDBDB"/>
          </w:tcPr>
          <w:p>
            <w:pPr>
              <w:spacing w:after="0"/>
              <w:rPr>
                <w:sz w:val="20"/>
                <w:szCs w:val="20"/>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50.1 %</w:t>
            </w:r>
          </w:p>
        </w:tc>
        <w:tc>
          <w:tcPr>
            <w:tcW w:w="0" w:type="dxa"/>
            <w:vAlign w:val="bottom"/>
          </w:tcPr>
          <w:p>
            <w:pPr>
              <w:spacing w:after="0"/>
              <w:rPr>
                <w:sz w:val="1"/>
                <w:szCs w:val="1"/>
                <w:color w:val="auto"/>
              </w:rPr>
            </w:pPr>
          </w:p>
        </w:tc>
      </w:tr>
      <w:tr>
        <w:trPr>
          <w:trHeight w:val="235"/>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pre-IPO LLC Members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35,673,321</w:t>
            </w:r>
          </w:p>
        </w:tc>
        <w:tc>
          <w:tcPr>
            <w:tcW w:w="80" w:type="dxa"/>
            <w:vAlign w:val="bottom"/>
            <w:tcBorders>
              <w:bottom w:val="single" w:sz="8" w:color="DBDBDB"/>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49.6 %</w:t>
            </w:r>
          </w:p>
        </w:tc>
        <w:tc>
          <w:tcPr>
            <w:tcW w:w="2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35,673,321</w:t>
            </w:r>
          </w:p>
        </w:tc>
        <w:tc>
          <w:tcPr>
            <w:tcW w:w="80" w:type="dxa"/>
            <w:vAlign w:val="bottom"/>
            <w:tcBorders>
              <w:bottom w:val="single" w:sz="8" w:color="DBDBDB"/>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49.9 %</w:t>
            </w:r>
          </w:p>
        </w:tc>
        <w:tc>
          <w:tcPr>
            <w:tcW w:w="0" w:type="dxa"/>
            <w:vAlign w:val="bottom"/>
          </w:tcPr>
          <w:p>
            <w:pPr>
              <w:spacing w:after="0"/>
              <w:rPr>
                <w:sz w:val="1"/>
                <w:szCs w:val="1"/>
                <w:color w:val="auto"/>
              </w:rPr>
            </w:pPr>
          </w:p>
        </w:tc>
      </w:tr>
      <w:tr>
        <w:trPr>
          <w:trHeight w:val="267"/>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71,891,676</w:t>
            </w:r>
          </w:p>
        </w:tc>
        <w:tc>
          <w:tcPr>
            <w:tcW w:w="80" w:type="dxa"/>
            <w:vAlign w:val="bottom"/>
            <w:tcBorders>
              <w:bottom w:val="single" w:sz="8" w:color="DBDBDB"/>
            </w:tcBorders>
            <w:shd w:val="clear" w:color="auto" w:fill="DBDBDB"/>
          </w:tcPr>
          <w:p>
            <w:pPr>
              <w:spacing w:after="0"/>
              <w:rPr>
                <w:sz w:val="22"/>
                <w:szCs w:val="2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71,480,492</w:t>
            </w:r>
          </w:p>
        </w:tc>
        <w:tc>
          <w:tcPr>
            <w:tcW w:w="80" w:type="dxa"/>
            <w:vAlign w:val="bottom"/>
            <w:tcBorders>
              <w:bottom w:val="single" w:sz="8" w:color="DBDBDB"/>
            </w:tcBorders>
            <w:shd w:val="clear" w:color="auto" w:fill="DBDBDB"/>
          </w:tcPr>
          <w:p>
            <w:pPr>
              <w:spacing w:after="0"/>
              <w:rPr>
                <w:sz w:val="22"/>
                <w:szCs w:val="2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both"/>
        <w:ind w:right="80"/>
        <w:spacing w:after="0" w:line="265"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(loss) to Portillo's Inc. and the pre-IPO LLC Members. The pre-IPO LLC Members' weighted average ownership percentage for both the quarter and two quarters ended June 26, 2022 was 49.8%,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changes in ownership in Portillo's OpCo on the Company’s equity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1"/>
                <w:szCs w:val="21"/>
                <w:color w:val="auto"/>
              </w:rPr>
            </w:pPr>
          </w:p>
        </w:tc>
        <w:tc>
          <w:tcPr>
            <w:tcW w:w="1960" w:type="dxa"/>
            <w:vAlign w:val="bottom"/>
          </w:tcPr>
          <w:p>
            <w:pPr>
              <w:jc w:val="right"/>
              <w:ind w:right="118"/>
              <w:spacing w:after="0"/>
              <w:rPr>
                <w:sz w:val="20"/>
                <w:szCs w:val="20"/>
                <w:color w:val="auto"/>
              </w:rPr>
            </w:pPr>
            <w:r>
              <w:rPr>
                <w:rFonts w:ascii="Arial" w:cs="Arial" w:eastAsia="Arial" w:hAnsi="Arial"/>
                <w:sz w:val="18"/>
                <w:szCs w:val="18"/>
                <w:b w:val="1"/>
                <w:bCs w:val="1"/>
                <w:color w:val="auto"/>
                <w:w w:val="98"/>
              </w:rPr>
              <w:t>Two Quarters Ended</w:t>
            </w:r>
          </w:p>
        </w:tc>
      </w:tr>
      <w:tr>
        <w:trPr>
          <w:trHeight w:val="276"/>
        </w:trPr>
        <w:tc>
          <w:tcPr>
            <w:tcW w:w="6900" w:type="dxa"/>
            <w:vAlign w:val="bottom"/>
            <w:tcBorders>
              <w:bottom w:val="single" w:sz="8" w:color="DBDBDB"/>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4"/>
          </w:tcPr>
          <w:p>
            <w:pPr>
              <w:jc w:val="right"/>
              <w:ind w:right="1498"/>
              <w:spacing w:after="0"/>
              <w:rPr>
                <w:sz w:val="20"/>
                <w:szCs w:val="20"/>
                <w:color w:val="auto"/>
              </w:rPr>
            </w:pPr>
            <w:r>
              <w:rPr>
                <w:rFonts w:ascii="Arial" w:cs="Arial" w:eastAsia="Arial" w:hAnsi="Arial"/>
                <w:sz w:val="18"/>
                <w:szCs w:val="18"/>
                <w:b w:val="1"/>
                <w:bCs w:val="1"/>
                <w:color w:val="auto"/>
              </w:rPr>
              <w:t>June 26, 2022</w:t>
            </w:r>
          </w:p>
        </w:tc>
      </w:tr>
      <w:tr>
        <w:trPr>
          <w:trHeight w:val="242"/>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attributable to Portillo's Inc.</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5,111</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5,305</w:t>
            </w:r>
          </w:p>
        </w:tc>
      </w:tr>
      <w:tr>
        <w:trPr>
          <w:trHeight w:val="234"/>
        </w:trPr>
        <w:tc>
          <w:tcPr>
            <w:tcW w:w="6900" w:type="dxa"/>
            <w:vAlign w:val="bottom"/>
          </w:tcPr>
          <w:p>
            <w:pPr>
              <w:ind w:left="20"/>
              <w:spacing w:after="0"/>
              <w:rPr>
                <w:sz w:val="20"/>
                <w:szCs w:val="20"/>
                <w:color w:val="auto"/>
              </w:rPr>
            </w:pPr>
            <w:r>
              <w:rPr>
                <w:rFonts w:ascii="Arial" w:cs="Arial" w:eastAsia="Arial" w:hAnsi="Arial"/>
                <w:sz w:val="16"/>
                <w:szCs w:val="16"/>
                <w:color w:val="auto"/>
              </w:rPr>
              <w:t>Transfers to non-controlling interests:</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49"/>
        </w:trPr>
        <w:tc>
          <w:tcPr>
            <w:tcW w:w="6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Increase in additional paid-in capital as a result of activity under stock compensation plans</w:t>
            </w:r>
          </w:p>
        </w:tc>
        <w:tc>
          <w:tcPr>
            <w:tcW w:w="280" w:type="dxa"/>
            <w:vAlign w:val="bottom"/>
            <w:shd w:val="clear" w:color="auto" w:fill="DBDBDB"/>
          </w:tcPr>
          <w:p>
            <w:pPr>
              <w:spacing w:after="0"/>
              <w:rPr>
                <w:sz w:val="21"/>
                <w:szCs w:val="21"/>
                <w:color w:val="auto"/>
              </w:rPr>
            </w:pP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1,447</w:t>
            </w:r>
          </w:p>
        </w:tc>
      </w:tr>
      <w:tr>
        <w:trPr>
          <w:trHeight w:val="235"/>
        </w:trPr>
        <w:tc>
          <w:tcPr>
            <w:tcW w:w="69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Increase in additional paid-in capital as a result of non-controlling interest adjustments</w:t>
            </w: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r>
      <w:tr>
        <w:trPr>
          <w:trHeight w:val="267"/>
        </w:trPr>
        <w:tc>
          <w:tcPr>
            <w:tcW w:w="6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effect of changes in ownership interest on equity attributable to Portillo's Inc.</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7,280</w:t>
            </w:r>
          </w:p>
        </w:tc>
        <w:tc>
          <w:tcPr>
            <w:tcW w:w="1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7,474</w:t>
            </w:r>
          </w:p>
        </w:tc>
      </w:tr>
      <w:tr>
        <w:trPr>
          <w:trHeight w:val="20"/>
        </w:trPr>
        <w:tc>
          <w:tcPr>
            <w:tcW w:w="69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10.</w:t>
      </w:r>
      <w:r>
        <w:rPr>
          <w:sz w:val="20"/>
          <w:szCs w:val="20"/>
          <w:color w:val="auto"/>
        </w:rPr>
        <w:tab/>
      </w:r>
      <w:r>
        <w:rPr>
          <w:rFonts w:ascii="Arial" w:cs="Arial" w:eastAsia="Arial" w:hAnsi="Arial"/>
          <w:sz w:val="24"/>
          <w:szCs w:val="24"/>
          <w:b w:val="1"/>
          <w:bCs w:val="1"/>
          <w:color w:val="414042"/>
        </w:rPr>
        <w:t>EQUITY-BASED COMPENSATION</w:t>
      </w:r>
    </w:p>
    <w:p>
      <w:pPr>
        <w:spacing w:after="0" w:line="121"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Equity-based compensation expense is calculated based on awards ultimately expected to vest and is reduced for estimated forfeitures. Forfeitures are revised, if necessary, in subsequent periods if actual forfeitures differ from those estimates and an adjustment to equity-based compensation expense will be recognized at that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Equity-based compensation expense included in the Company’s consolidated statements of operations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gridSpan w:val="5"/>
          </w:tcPr>
          <w:p>
            <w:pPr>
              <w:ind w:left="90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19"/>
                <w:szCs w:val="19"/>
                <w:color w:val="auto"/>
              </w:rPr>
            </w:pPr>
          </w:p>
        </w:tc>
        <w:tc>
          <w:tcPr>
            <w:tcW w:w="3100" w:type="dxa"/>
            <w:vAlign w:val="bottom"/>
            <w:gridSpan w:val="4"/>
          </w:tcPr>
          <w:p>
            <w:pPr>
              <w:jc w:val="right"/>
              <w:ind w:right="777"/>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4580" w:type="dxa"/>
            <w:vAlign w:val="bottom"/>
            <w:tcBorders>
              <w:bottom w:val="single" w:sz="8" w:color="DBDBDB"/>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June 27, 2021</w:t>
            </w:r>
          </w:p>
        </w:tc>
        <w:tc>
          <w:tcPr>
            <w:tcW w:w="100" w:type="dxa"/>
            <w:vAlign w:val="bottom"/>
            <w:tcBorders>
              <w:bottom w:val="single" w:sz="8" w:color="DBDBDB"/>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26, 2022</w:t>
            </w:r>
          </w:p>
        </w:tc>
        <w:tc>
          <w:tcPr>
            <w:tcW w:w="100" w:type="dxa"/>
            <w:vAlign w:val="bottom"/>
            <w:tcBorders>
              <w:bottom w:val="single" w:sz="8" w:color="DBDBDB"/>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7"/>
              <w:spacing w:after="0"/>
              <w:rPr>
                <w:sz w:val="20"/>
                <w:szCs w:val="20"/>
                <w:color w:val="auto"/>
              </w:rPr>
            </w:pPr>
            <w:r>
              <w:rPr>
                <w:rFonts w:ascii="Arial" w:cs="Arial" w:eastAsia="Arial" w:hAnsi="Arial"/>
                <w:sz w:val="16"/>
                <w:szCs w:val="16"/>
                <w:b w:val="1"/>
                <w:bCs w:val="1"/>
                <w:color w:val="auto"/>
              </w:rPr>
              <w:t>June 27, 2021</w:t>
            </w:r>
          </w:p>
        </w:tc>
      </w:tr>
      <w:tr>
        <w:trPr>
          <w:trHeight w:val="265"/>
        </w:trPr>
        <w:tc>
          <w:tcPr>
            <w:tcW w:w="4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Labor</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DBDBDB"/>
          </w:tcPr>
          <w:p>
            <w:pPr>
              <w:spacing w:after="0"/>
              <w:rPr>
                <w:sz w:val="23"/>
                <w:szCs w:val="23"/>
                <w:color w:val="auto"/>
              </w:rPr>
            </w:pP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DBDBDB"/>
          </w:tcPr>
          <w:p>
            <w:pPr>
              <w:spacing w:after="0"/>
              <w:rPr>
                <w:sz w:val="23"/>
                <w:szCs w:val="23"/>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6,960</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r>
      <w:tr>
        <w:trPr>
          <w:trHeight w:val="267"/>
        </w:trPr>
        <w:tc>
          <w:tcPr>
            <w:tcW w:w="4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equity-based compensation expense</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3,865</w:t>
            </w:r>
          </w:p>
        </w:tc>
        <w:tc>
          <w:tcPr>
            <w:tcW w:w="10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DBDBDB"/>
            </w:tcBorders>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7,649</w:t>
            </w:r>
          </w:p>
        </w:tc>
        <w:tc>
          <w:tcPr>
            <w:tcW w:w="10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273</w:t>
            </w: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Employee Stock Purchase Plan</w:t>
      </w:r>
    </w:p>
    <w:p>
      <w:pPr>
        <w:spacing w:after="0" w:line="2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14, 2022, the Company's board of directors approved, subject to stockholder approval, the Company's 2022 Employee Stock Purchase Plan (the "ESPP"), which was approved by stockholders on June 22, 2022. Under the ESPP, up to 250,000 shares of the Company's Class A common stock will be made available for purchase by eligible employees, who are entitled to purchase shares of common stock with accumulated payroll deductions. During the quarter and two quarters ended June 26, 2022, the Company has not issued any shares under the ESPP.</w:t>
      </w:r>
    </w:p>
    <w:p>
      <w:pPr>
        <w:spacing w:after="0" w:line="201"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NOTE 11.</w:t>
      </w:r>
      <w:r>
        <w:rPr>
          <w:sz w:val="20"/>
          <w:szCs w:val="20"/>
          <w:color w:val="auto"/>
        </w:rPr>
        <w:tab/>
      </w:r>
      <w:r>
        <w:rPr>
          <w:rFonts w:ascii="Arial" w:cs="Arial" w:eastAsia="Arial" w:hAnsi="Arial"/>
          <w:sz w:val="24"/>
          <w:szCs w:val="24"/>
          <w:b w:val="1"/>
          <w:bCs w:val="1"/>
          <w:color w:val="414042"/>
        </w:rPr>
        <w:t>INCOME TAXES</w:t>
      </w:r>
    </w:p>
    <w:p>
      <w:pPr>
        <w:spacing w:after="0" w:line="25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result of the IPO and Transactions described in Note 1. Description Of Business we became the sole managing member of Portillo's OpCo, and as a result, began consolidating the financial results of Portillo's OpCo. Portillo's OpCo is treated as a partnership for U.S. federal and most applicable state and local income tax purposes. As a partnership, Portillo's OpCo is not subject to U.S. federal and certain state and local income taxes. Any taxable income or loss generated by Portillo's OpCo is passed through to and included in the taxable income or loss of its members, including us, on a pro rata basis. Beginning at the time of the IPO in 2021, we are subject to U.S. federal income taxes, in addition to state and local income taxes with respect to our allocable share of any taxable income or loss of Portillo's OpCo subsequent to the IPO and Transactions, as well as any stand-alone income or loss generated by Portillo's Inc.</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58"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The effective income tax rate for the quarter and two quarters ended June 26, 2022 was 17.9% and 18.1%. The Company’s annual effective tax rate was less than the statutory rate of 21% primarily because the Company is not liable for income taxes on the portion of OpCo’s earnings that are attributable to non-controlling interests.</w:t>
      </w:r>
    </w:p>
    <w:p>
      <w:pPr>
        <w:spacing w:after="0" w:line="195"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12.</w:t>
        <w:tab/>
        <w:t>EARNINGS PER SHARE</w:t>
      </w:r>
    </w:p>
    <w:p>
      <w:pPr>
        <w:spacing w:after="0" w:line="255"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color w:val="auto"/>
        </w:rPr>
        <w:t>Basic net earnings (loss) per share of Class A Common Stock is computed by dividing net income attributable to Portillo's Inc. by the weighted-average number of Class A common stock outstanding.</w:t>
      </w:r>
    </w:p>
    <w:p>
      <w:pPr>
        <w:spacing w:after="0" w:line="18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described in Note 1. Description Of Business, in connection with the IPO, the Portillo's OpCo LLC Agreement was amended and restated to, among other things, (i) to authorize the issuance of two classes of common stock and (ii) convert all outstanding equity interests (except for those redeemable preferred units which were redeemed in connection with the IPO) into LLC Units. For purposes of calculating earnings per share, the prior period amounts have been retroactively adjusted to give effect to the above-mentioned amendment and resulting recapitalization. The computations of earnings per share for periods prior to our IPO do not consider the 23,310,810 shares of Class A common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 issued to investors in our IPO.</w:t>
      </w:r>
    </w:p>
    <w:p>
      <w:pPr>
        <w:spacing w:after="0" w:line="23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Diluted earnings per share is computed by dividing net income (loss) attributable to Portillo's Inc. by the weighted-average number of dilutive securities, using the treasury stock method.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The computations of basic and diluted earnings per share for the quarter and two quarters ended June 26, 2022 and June 27, 2021 are as follows (in thousands):</w:t>
      </w:r>
    </w:p>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5"/>
          </w:tcPr>
          <w:p>
            <w:pPr>
              <w:ind w:left="88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19"/>
                <w:szCs w:val="19"/>
                <w:color w:val="auto"/>
              </w:rPr>
            </w:pPr>
          </w:p>
        </w:tc>
        <w:tc>
          <w:tcPr>
            <w:tcW w:w="31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4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26, 2022</w:t>
            </w:r>
          </w:p>
        </w:tc>
        <w:tc>
          <w:tcPr>
            <w:tcW w:w="18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27, 2021</w:t>
            </w:r>
          </w:p>
        </w:tc>
        <w:tc>
          <w:tcPr>
            <w:tcW w:w="18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26, 2022</w:t>
            </w:r>
          </w:p>
        </w:tc>
        <w:tc>
          <w:tcPr>
            <w:tcW w:w="200" w:type="dxa"/>
            <w:vAlign w:val="bottom"/>
          </w:tcPr>
          <w:p>
            <w:pPr>
              <w:spacing w:after="0"/>
              <w:rPr>
                <w:sz w:val="21"/>
                <w:szCs w:val="21"/>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June 27, 2021</w:t>
            </w:r>
          </w:p>
        </w:tc>
      </w:tr>
      <w:tr>
        <w:trPr>
          <w:trHeight w:val="239"/>
        </w:trPr>
        <w:tc>
          <w:tcPr>
            <w:tcW w:w="45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attributable to common unit holders</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10,756</w:t>
            </w:r>
          </w:p>
        </w:tc>
        <w:tc>
          <w:tcPr>
            <w:tcW w:w="100" w:type="dxa"/>
            <w:vAlign w:val="bottom"/>
            <w:tcBorders>
              <w:top w:val="single" w:sz="8" w:color="DBDBDB"/>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8,172</w:t>
            </w:r>
          </w:p>
        </w:tc>
        <w:tc>
          <w:tcPr>
            <w:tcW w:w="100" w:type="dxa"/>
            <w:vAlign w:val="bottom"/>
            <w:tcBorders>
              <w:top w:val="single" w:sz="8" w:color="DBDBDB"/>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11,306</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2,781</w:t>
            </w:r>
          </w:p>
        </w:tc>
      </w:tr>
      <w:tr>
        <w:trPr>
          <w:trHeight w:val="235"/>
        </w:trPr>
        <w:tc>
          <w:tcPr>
            <w:tcW w:w="45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45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attributable to Portillo's Inc.</w:t>
            </w: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5,111</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8,172</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5,305</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2,781</w:t>
            </w:r>
          </w:p>
        </w:tc>
      </w:tr>
      <w:tr>
        <w:trPr>
          <w:trHeight w:val="20"/>
        </w:trPr>
        <w:tc>
          <w:tcPr>
            <w:tcW w:w="45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r>
      <w:tr>
        <w:trPr>
          <w:trHeight w:val="215"/>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2"/>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w:t>
            </w:r>
          </w:p>
        </w:tc>
        <w:tc>
          <w:tcPr>
            <w:tcW w:w="20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00" w:type="dxa"/>
            <w:vAlign w:val="bottom"/>
            <w:shd w:val="clear" w:color="auto" w:fill="DBDBDB"/>
          </w:tcPr>
          <w:p>
            <w:pPr>
              <w:spacing w:after="0"/>
              <w:rPr>
                <w:sz w:val="21"/>
                <w:szCs w:val="21"/>
                <w:color w:val="auto"/>
              </w:rPr>
            </w:pPr>
          </w:p>
        </w:tc>
      </w:tr>
      <w:tr>
        <w:trPr>
          <w:trHeight w:val="201"/>
        </w:trPr>
        <w:tc>
          <w:tcPr>
            <w:tcW w:w="450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5"/>
        </w:trPr>
        <w:tc>
          <w:tcPr>
            <w:tcW w:w="4500" w:type="dxa"/>
            <w:vAlign w:val="bottom"/>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35,991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51,201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35,899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51,197</w:t>
            </w:r>
          </w:p>
        </w:tc>
      </w:tr>
      <w:tr>
        <w:trPr>
          <w:trHeight w:val="249"/>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share awards</w:t>
            </w:r>
          </w:p>
        </w:tc>
        <w:tc>
          <w:tcPr>
            <w:tcW w:w="20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3,696</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3,940</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366</w:t>
            </w:r>
          </w:p>
        </w:tc>
      </w:tr>
      <w:tr>
        <w:trPr>
          <w:trHeight w:val="201"/>
        </w:trPr>
        <w:tc>
          <w:tcPr>
            <w:tcW w:w="450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5"/>
        </w:trPr>
        <w:tc>
          <w:tcPr>
            <w:tcW w:w="4500" w:type="dxa"/>
            <w:vAlign w:val="bottom"/>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39,687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39,839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51,563</w:t>
            </w:r>
          </w:p>
        </w:tc>
      </w:tr>
      <w:tr>
        <w:trPr>
          <w:trHeight w:val="276"/>
        </w:trPr>
        <w:tc>
          <w:tcPr>
            <w:tcW w:w="450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14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14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14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1400" w:type="dxa"/>
            <w:vAlign w:val="bottom"/>
            <w:shd w:val="clear" w:color="auto" w:fill="DBDBDB"/>
          </w:tcPr>
          <w:p>
            <w:pPr>
              <w:spacing w:after="0"/>
              <w:rPr>
                <w:sz w:val="23"/>
                <w:szCs w:val="23"/>
                <w:color w:val="auto"/>
              </w:rPr>
            </w:pPr>
          </w:p>
        </w:tc>
      </w:tr>
      <w:tr>
        <w:trPr>
          <w:trHeight w:val="234"/>
        </w:trPr>
        <w:tc>
          <w:tcPr>
            <w:tcW w:w="4500" w:type="dxa"/>
            <w:vAlign w:val="bottom"/>
          </w:tcPr>
          <w:p>
            <w:pPr>
              <w:ind w:left="20"/>
              <w:spacing w:after="0"/>
              <w:rPr>
                <w:sz w:val="20"/>
                <w:szCs w:val="20"/>
                <w:color w:val="auto"/>
              </w:rPr>
            </w:pPr>
            <w:r>
              <w:rPr>
                <w:rFonts w:ascii="Arial" w:cs="Arial" w:eastAsia="Arial" w:hAnsi="Arial"/>
                <w:sz w:val="16"/>
                <w:szCs w:val="16"/>
                <w:color w:val="auto"/>
              </w:rPr>
              <w:t>Basic net income per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49"/>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 net income per share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0.05</w:t>
            </w:r>
          </w:p>
        </w:tc>
      </w:tr>
    </w:tbl>
    <w:p>
      <w:pPr>
        <w:spacing w:after="0" w:line="1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shares were excluded from the calculation of diluted earnings per share because they would be anti-dilutive (in thousands):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4540" w:type="dxa"/>
            <w:vAlign w:val="bottom"/>
          </w:tcPr>
          <w:p>
            <w:pPr>
              <w:spacing w:after="0"/>
              <w:rPr>
                <w:sz w:val="19"/>
                <w:szCs w:val="19"/>
                <w:color w:val="auto"/>
              </w:rPr>
            </w:pPr>
          </w:p>
        </w:tc>
        <w:tc>
          <w:tcPr>
            <w:tcW w:w="3340" w:type="dxa"/>
            <w:vAlign w:val="bottom"/>
            <w:gridSpan w:val="4"/>
          </w:tcPr>
          <w:p>
            <w:pPr>
              <w:ind w:left="1060"/>
              <w:spacing w:after="0"/>
              <w:rPr>
                <w:sz w:val="20"/>
                <w:szCs w:val="20"/>
                <w:color w:val="auto"/>
              </w:rPr>
            </w:pPr>
            <w:r>
              <w:rPr>
                <w:rFonts w:ascii="Arial" w:cs="Arial" w:eastAsia="Arial" w:hAnsi="Arial"/>
                <w:sz w:val="16"/>
                <w:szCs w:val="16"/>
                <w:b w:val="1"/>
                <w:bCs w:val="1"/>
                <w:color w:val="auto"/>
              </w:rPr>
              <w:t>Quarter Ended</w:t>
            </w:r>
          </w:p>
        </w:tc>
        <w:tc>
          <w:tcPr>
            <w:tcW w:w="328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4540" w:type="dxa"/>
            <w:vAlign w:val="bottom"/>
          </w:tcPr>
          <w:p>
            <w:pPr>
              <w:spacing w:after="0"/>
              <w:rPr>
                <w:sz w:val="21"/>
                <w:szCs w:val="21"/>
                <w:color w:val="auto"/>
              </w:rPr>
            </w:pP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26, 2022</w:t>
            </w: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27, 2021</w:t>
            </w:r>
          </w:p>
        </w:tc>
        <w:tc>
          <w:tcPr>
            <w:tcW w:w="170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26, 2022</w:t>
            </w: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27, 2021</w:t>
            </w:r>
          </w:p>
        </w:tc>
      </w:tr>
      <w:tr>
        <w:trPr>
          <w:trHeight w:val="239"/>
        </w:trPr>
        <w:tc>
          <w:tcPr>
            <w:tcW w:w="45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Shares subject to performance conditions</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1,794</w:t>
            </w:r>
          </w:p>
        </w:tc>
        <w:tc>
          <w:tcPr>
            <w:tcW w:w="80" w:type="dxa"/>
            <w:vAlign w:val="bottom"/>
            <w:tcBorders>
              <w:top w:val="single" w:sz="8" w:color="DBDBDB"/>
            </w:tcBorders>
            <w:shd w:val="clear" w:color="auto" w:fill="DBDBDB"/>
          </w:tcPr>
          <w:p>
            <w:pPr>
              <w:spacing w:after="0"/>
              <w:rPr>
                <w:sz w:val="20"/>
                <w:szCs w:val="20"/>
                <w:color w:val="auto"/>
              </w:rPr>
            </w:pP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c>
          <w:tcPr>
            <w:tcW w:w="80" w:type="dxa"/>
            <w:vAlign w:val="bottom"/>
            <w:tcBorders>
              <w:top w:val="single" w:sz="8" w:color="DBDBDB"/>
            </w:tcBorders>
            <w:shd w:val="clear" w:color="auto" w:fill="DBDBDB"/>
          </w:tcPr>
          <w:p>
            <w:pPr>
              <w:spacing w:after="0"/>
              <w:rPr>
                <w:sz w:val="20"/>
                <w:szCs w:val="20"/>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1,794</w:t>
            </w:r>
          </w:p>
        </w:tc>
        <w:tc>
          <w:tcPr>
            <w:tcW w:w="120" w:type="dxa"/>
            <w:vAlign w:val="bottom"/>
            <w:tcBorders>
              <w:top w:val="single" w:sz="8" w:color="DBDBDB"/>
            </w:tcBorders>
            <w:shd w:val="clear" w:color="auto" w:fill="DBDBDB"/>
          </w:tcPr>
          <w:p>
            <w:pPr>
              <w:spacing w:after="0"/>
              <w:rPr>
                <w:sz w:val="20"/>
                <w:szCs w:val="20"/>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r>
      <w:tr>
        <w:trPr>
          <w:trHeight w:val="235"/>
        </w:trPr>
        <w:tc>
          <w:tcPr>
            <w:tcW w:w="4540" w:type="dxa"/>
            <w:vAlign w:val="bottom"/>
          </w:tcPr>
          <w:p>
            <w:pPr>
              <w:ind w:left="20"/>
              <w:spacing w:after="0"/>
              <w:rPr>
                <w:sz w:val="20"/>
                <w:szCs w:val="20"/>
                <w:color w:val="auto"/>
              </w:rPr>
            </w:pPr>
            <w:r>
              <w:rPr>
                <w:rFonts w:ascii="Arial" w:cs="Arial" w:eastAsia="Arial" w:hAnsi="Arial"/>
                <w:sz w:val="16"/>
                <w:szCs w:val="16"/>
                <w:color w:val="auto"/>
              </w:rPr>
              <w:t>Shares that were antidilutive</w:t>
            </w:r>
          </w:p>
        </w:tc>
        <w:tc>
          <w:tcPr>
            <w:tcW w:w="158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45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shares excluded from diluted income (loss) per share</w:t>
            </w:r>
          </w:p>
        </w:tc>
        <w:tc>
          <w:tcPr>
            <w:tcW w:w="1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1,822</w:t>
            </w: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1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1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1,812</w:t>
            </w:r>
          </w:p>
        </w:tc>
        <w:tc>
          <w:tcPr>
            <w:tcW w:w="120" w:type="dxa"/>
            <w:vAlign w:val="bottom"/>
            <w:tcBorders>
              <w:top w:val="single" w:sz="8" w:color="DBDBDB"/>
              <w:bottom w:val="single" w:sz="8" w:color="DBDBDB"/>
            </w:tcBorders>
            <w:shd w:val="clear" w:color="auto" w:fill="DBDBDB"/>
          </w:tcPr>
          <w:p>
            <w:pPr>
              <w:spacing w:after="0"/>
              <w:rPr>
                <w:sz w:val="22"/>
                <w:szCs w:val="22"/>
                <w:color w:val="auto"/>
              </w:rPr>
            </w:pPr>
          </w:p>
        </w:tc>
        <w:tc>
          <w:tcPr>
            <w:tcW w:w="1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r>
      <w:tr>
        <w:trPr>
          <w:trHeight w:val="20"/>
        </w:trPr>
        <w:tc>
          <w:tcPr>
            <w:tcW w:w="454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13.</w:t>
      </w:r>
      <w:r>
        <w:rPr>
          <w:sz w:val="20"/>
          <w:szCs w:val="20"/>
          <w:color w:val="auto"/>
        </w:rPr>
        <w:tab/>
      </w:r>
      <w:r>
        <w:rPr>
          <w:rFonts w:ascii="Arial" w:cs="Arial" w:eastAsia="Arial" w:hAnsi="Arial"/>
          <w:sz w:val="24"/>
          <w:szCs w:val="24"/>
          <w:b w:val="1"/>
          <w:bCs w:val="1"/>
          <w:color w:val="414042"/>
        </w:rPr>
        <w:t>CONTINGENCIES</w:t>
      </w:r>
    </w:p>
    <w:p>
      <w:pPr>
        <w:spacing w:after="0" w:line="255"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if any, will not have a material effect on the Company’s consolidated financial statements.</w:t>
      </w:r>
    </w:p>
    <w:p>
      <w:pPr>
        <w:spacing w:after="0" w:line="19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14.</w:t>
      </w:r>
      <w:r>
        <w:rPr>
          <w:sz w:val="20"/>
          <w:szCs w:val="20"/>
          <w:color w:val="auto"/>
        </w:rPr>
        <w:tab/>
      </w:r>
      <w:r>
        <w:rPr>
          <w:rFonts w:ascii="Arial" w:cs="Arial" w:eastAsia="Arial" w:hAnsi="Arial"/>
          <w:sz w:val="24"/>
          <w:szCs w:val="24"/>
          <w:b w:val="1"/>
          <w:bCs w:val="1"/>
          <w:color w:val="414042"/>
        </w:rPr>
        <w:t>RELATED PARTY TRANSACTIONS</w:t>
      </w:r>
    </w:p>
    <w:p>
      <w:pPr>
        <w:spacing w:after="0" w:line="26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As of both June 26, 2022 and December 26, 2021, the related parties’ receivables consisted of a receivable balance due from C&amp;O of $0.4 million, respectively, which is included in accounts receivable in the condensed consolidated balance sheets.</w:t>
      </w:r>
    </w:p>
    <w:p>
      <w:pPr>
        <w:spacing w:after="0" w:line="18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Noah Glass, a member of the Company's Board, is the founder and CEO of Olo, Inc. ("Olo"), a platform the Company uses in connection with our mobile ordering application and delivery.</w:t>
      </w:r>
    </w:p>
    <w:p>
      <w:pPr>
        <w:spacing w:after="0" w:line="185"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color w:val="auto"/>
        </w:rPr>
        <w:t>The Company incurred the following Olo-related costs for the quarter and two quarters ended June 26, 2022 and June 27,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gridSpan w:val="5"/>
          </w:tcPr>
          <w:p>
            <w:pPr>
              <w:ind w:left="900"/>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19"/>
                <w:szCs w:val="19"/>
                <w:color w:val="auto"/>
              </w:rPr>
            </w:pPr>
          </w:p>
        </w:tc>
        <w:tc>
          <w:tcPr>
            <w:tcW w:w="31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26, 2022</w:t>
            </w:r>
          </w:p>
        </w:tc>
        <w:tc>
          <w:tcPr>
            <w:tcW w:w="20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27, 2021</w:t>
            </w:r>
          </w:p>
        </w:tc>
        <w:tc>
          <w:tcPr>
            <w:tcW w:w="18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26, 2022</w:t>
            </w:r>
          </w:p>
        </w:tc>
        <w:tc>
          <w:tcPr>
            <w:tcW w:w="200" w:type="dxa"/>
            <w:vAlign w:val="bottom"/>
          </w:tcPr>
          <w:p>
            <w:pPr>
              <w:spacing w:after="0"/>
              <w:rPr>
                <w:sz w:val="21"/>
                <w:szCs w:val="21"/>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June 27, 2021</w:t>
            </w:r>
          </w:p>
        </w:tc>
      </w:tr>
      <w:tr>
        <w:trPr>
          <w:trHeight w:val="239"/>
        </w:trPr>
        <w:tc>
          <w:tcPr>
            <w:tcW w:w="4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Cost of goods sold, excluding depreciation and amortization</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DBDBDB"/>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232</w:t>
            </w:r>
          </w:p>
        </w:tc>
      </w:tr>
      <w:tr>
        <w:trPr>
          <w:trHeight w:val="235"/>
        </w:trPr>
        <w:tc>
          <w:tcPr>
            <w:tcW w:w="4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67"/>
        </w:trPr>
        <w:tc>
          <w:tcPr>
            <w:tcW w:w="4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Olo-related costs</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DBDBDB"/>
            </w:tcBorders>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486</w:t>
            </w: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PORTILLO'S INC.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As of both June 26, 2022 and December 26, 2021, immaterial amounts were payable to Olo.</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58"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As described in Note 1. Description Of Business, we entered into a TRA with certain members of Portillo's OpCo that provides for the payment by us of 85% of the amount of tax benefits, if any, that Portillo's Inc. actually realizes or in some cases is deemed to realize as a result of certain transactions.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9"/>
                <w:szCs w:val="19"/>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26, 2022</w:t>
            </w:r>
          </w:p>
        </w:tc>
        <w:tc>
          <w:tcPr>
            <w:tcW w:w="18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26, 2021</w:t>
            </w:r>
          </w:p>
        </w:tc>
      </w:tr>
      <w:tr>
        <w:trPr>
          <w:trHeight w:val="239"/>
        </w:trPr>
        <w:tc>
          <w:tcPr>
            <w:tcW w:w="7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Tax receivable agreement liability</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154,883</w:t>
            </w:r>
          </w:p>
        </w:tc>
        <w:tc>
          <w:tcPr>
            <w:tcW w:w="100" w:type="dxa"/>
            <w:vAlign w:val="bottom"/>
            <w:tcBorders>
              <w:top w:val="single" w:sz="8" w:color="DBDBDB"/>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156,638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40" w:right="560"/>
        <w:spacing w:after="0" w:line="294" w:lineRule="auto"/>
        <w:rPr>
          <w:sz w:val="20"/>
          <w:szCs w:val="20"/>
          <w:color w:val="auto"/>
        </w:rPr>
      </w:pPr>
      <w:r>
        <w:rPr>
          <w:rFonts w:ascii="Arial" w:cs="Arial" w:eastAsia="Arial" w:hAnsi="Arial"/>
          <w:sz w:val="25"/>
          <w:szCs w:val="25"/>
          <w:b w:val="1"/>
          <w:bCs w:val="1"/>
          <w:color w:val="414042"/>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-47625</wp:posOffset>
            </wp:positionV>
            <wp:extent cx="5931535" cy="323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31535"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discussion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“Cautionary Statements Concerning Forward-Looking Statements” in this report and under the heading “Risk Factors” in Part I, Item IA of our Annual Report on Form 10-K for the fiscal year ended December 26, 2021 and Part II, Item 1A of this Form 10-Q. The following discussion should be read in conjunction with our Annual Report on Form 10-K for the fiscal year ended December 26, 2021 and the condensed consolidated financial statements and notes thereto included in Part I, Item 1 of this Form 10-Q.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14"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based on our current knowledge of our business and operations, we cannot guarantee future results, levels of activity, performance or achievements. We assume no obligation to provide revisions to any forward-looking statements should circumstances change.</w:t>
      </w:r>
    </w:p>
    <w:p>
      <w:pPr>
        <w:spacing w:after="0" w:line="20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periods presented below.</w:t>
      </w:r>
    </w:p>
    <w:p>
      <w:pPr>
        <w:spacing w:after="0" w:line="185"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We have prepared the unaudited consolidated financial statements in accordance with accounting principles generally accepted in the United States of America ("GAAP") for interim financial statements and pursuant to the rules and regulations of the Securities and Exchange Commission (the "SEC").</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Overview</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Since our founding in 1963 in a small trailer which Dick Portillo called “The Dog House,” we have grown to become a treasured brand with a passionate (some might say obsessed) nationwide following. We create a consumer experience like no other by combining the best attributes of fast casual and quick 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delivery, and catering in order to quickly and efficiently serve our guests. No matter how our guests order from us, our highly productive kitchens and team members consistently serve high quality food and deliver a memorable guest experience. We believe the combination of our craveable food, multichannel sales model, dedication to operational excellence, and a distinctive culture driven by our team members gives us a competitive advantage.</w:t>
      </w:r>
    </w:p>
    <w:p>
      <w:pPr>
        <w:spacing w:after="0" w:line="21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As of June 26, 2022, we owned and operated 71 Portillo’s restaurants across nine states, including a restaurant owned by C&amp;O Chicago, L.L.C. ("C&amp;O") of which Portillo’s owns 50% of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5" w:name="page26"/>
    <w:bookmarkEnd w:id="25"/>
    <w:p>
      <w:pPr>
        <w:spacing w:after="0"/>
        <w:rPr>
          <w:sz w:val="20"/>
          <w:szCs w:val="20"/>
          <w:color w:val="auto"/>
        </w:rPr>
      </w:pPr>
      <w:r>
        <w:rPr>
          <w:rFonts w:ascii="Arial" w:cs="Arial" w:eastAsia="Arial" w:hAnsi="Arial"/>
          <w:sz w:val="21"/>
          <w:szCs w:val="21"/>
          <w:b w:val="1"/>
          <w:bCs w:val="1"/>
          <w:color w:val="414042"/>
        </w:rPr>
        <w:t>Financial Highlights for the Quarter Ended June 26, 2022 vs. Quarter Ended June 27, 2021:</w:t>
      </w:r>
    </w:p>
    <w:p>
      <w:pPr>
        <w:spacing w:after="0" w:line="251" w:lineRule="exact"/>
        <w:rPr>
          <w:sz w:val="20"/>
          <w:szCs w:val="20"/>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increased 7.0% or $9.9 million to $150.6 million;</w:t>
      </w:r>
    </w:p>
    <w:p>
      <w:pPr>
        <w:spacing w:after="0" w:line="25"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 restaurant sales increased 1.9%;</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decreased $7.0 million to $17.4 million;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decreased $3.0 million to $10.8 million;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Restaurant-Level Adjusted EBITDA* decreased $4.7 million to $38.4 million; and</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decreased $4.9 million to $27.6 million.</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Financial Highlights for the Two Quarters Ended June 26, 2022 vs. Two Quarters Ended June 27, 2021:</w:t>
      </w:r>
    </w:p>
    <w:p>
      <w:pPr>
        <w:spacing w:after="0" w:line="251" w:lineRule="exact"/>
        <w:rPr>
          <w:sz w:val="20"/>
          <w:szCs w:val="20"/>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revenue increased 10.5% or $27.1 million to $285.1 million;</w:t>
      </w:r>
    </w:p>
    <w:p>
      <w:pPr>
        <w:spacing w:after="0" w:line="25" w:lineRule="exact"/>
        <w:rPr>
          <w:rFonts w:ascii="Arial" w:cs="Arial" w:eastAsia="Arial" w:hAnsi="Arial"/>
          <w:sz w:val="18"/>
          <w:szCs w:val="18"/>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Same restaurant sales increased 4.8%;</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Operating income decreased $11.1 million to $24.3 million;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income decreased $2.6 million to $11.3 million;</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Restaurant-Level Adjusted EBITDA* decreased $6.5 million to $66.4 million; and</w:t>
      </w:r>
    </w:p>
    <w:p>
      <w:pPr>
        <w:spacing w:after="0" w:line="7" w:lineRule="exact"/>
        <w:rPr>
          <w:rFonts w:ascii="Arial" w:cs="Arial" w:eastAsia="Arial" w:hAnsi="Arial"/>
          <w:sz w:val="18"/>
          <w:szCs w:val="18"/>
          <w:color w:val="auto"/>
        </w:rPr>
      </w:pPr>
    </w:p>
    <w:p>
      <w:pPr>
        <w:ind w:left="660" w:hanging="331"/>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Adjusted EBITDA* decreased $5.8 million to $45.2 million.</w:t>
      </w:r>
    </w:p>
    <w:p>
      <w:pPr>
        <w:spacing w:after="0" w:line="236" w:lineRule="exact"/>
        <w:rPr>
          <w:rFonts w:ascii="Arial" w:cs="Arial" w:eastAsia="Arial" w:hAnsi="Arial"/>
          <w:sz w:val="18"/>
          <w:szCs w:val="18"/>
          <w:color w:val="auto"/>
        </w:rPr>
      </w:pPr>
    </w:p>
    <w:p>
      <w:pPr>
        <w:ind w:right="120"/>
        <w:spacing w:after="0" w:line="273" w:lineRule="auto"/>
        <w:rPr>
          <w:rFonts w:ascii="Arial" w:cs="Arial" w:eastAsia="Arial" w:hAnsi="Arial"/>
          <w:sz w:val="18"/>
          <w:szCs w:val="18"/>
          <w:color w:val="auto"/>
        </w:rPr>
      </w:pPr>
      <w:r>
        <w:rPr>
          <w:rFonts w:ascii="Arial" w:cs="Arial" w:eastAsia="Arial" w:hAnsi="Arial"/>
          <w:sz w:val="16"/>
          <w:szCs w:val="16"/>
          <w:color w:val="auto"/>
        </w:rPr>
        <w:t>* Adjusted EBITDA and Restaurant-Level Adjusted EBITDA are non-GAAP measures. Definitions and reconciliations of Adjusted EBITDA to net income and Restaurant-Level Adjusted EBITDA to operating income the most directly comparable financial measures presented in accordance with GAAP, are set forth under the section "Key Performance Indicators and Non-GAAP Financial Measures".</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Recent Developments and Trends</w:t>
      </w:r>
    </w:p>
    <w:p>
      <w:pPr>
        <w:spacing w:after="0" w:line="25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We continue to see revenue growth due to our new restaurant openings, as well as same-restaurant sales growth. Total revenue grew 7.0% during the quarter ended June 26, 2022 and 10.5% for the two quarters ended June 26, 2022. Same-restaurant sales grew 1.9% during the quarter ended June 26, 2022, compared to 25.0% same-restaurant sales growth during the same quarter in 2021. Same-restaurant sales grew 4.8% and 12.7% for the two quarters ended June 26, 2022 and June 27, 2021, respectively.</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quarter and two quarters ended June 26, 2022, we experienced unprecedented commodity inflation, with the largest increases in pork, chicken and beef prices. While we expect these commodity pressures to continue for the remainder of fiscal 2022 in the range of 13% to 15%, we do not believe they will have a material impact to our long-term growth and profitability. Additionally, we experienced higher labor expenses during the second quarter and two quarters ended June 26, 2022 compared to the same periods last year primarily due to additional wage investments made in June 2021. We also made additional wage investments at the beginning of the third quarter of 2022, which combined with the expected commodity inflation, will continue to have an impact to Restaurant-Level Adjusted EBITDA Margin for the remainder of 2022. We are partially offsetting these expense increases through menu price increases and operational efficiencies. During the first and second quarters of 2022, we increased menu prices on certain items by approximately 1.5% and 3.5%, respectively. As a result of these menu price increases and operational efficiencies, Restaurant-Level Adjusted EBITDA Margin sequentially increased from the first quarter of 2022 to 25.5% in the second quarter of 2022. Absent significant and prolonged COVID-19 relapses or global economic disruptions and through our continued efforts to elevate guest experiences and implement operational efficiencies, we believe the strength of our brand will deliver consistent, long-term growth.</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Development Highlights</w:t>
      </w:r>
    </w:p>
    <w:p>
      <w:pPr>
        <w:spacing w:after="0" w:line="25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Two new restaurants were opened during the two quarters ending June 26, 2022. The opening of these restaurants brings the total restaurant count to 71 as of June 26, 2022, including a restaurant owned by C&amp;O of which Portillo’s owns 50% of the equity.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6260" w:type="dxa"/>
            <w:vAlign w:val="bottom"/>
            <w:tcBorders>
              <w:bottom w:val="single" w:sz="8" w:color="auto"/>
            </w:tcBorders>
          </w:tcPr>
          <w:p>
            <w:pPr>
              <w:ind w:left="3360"/>
              <w:spacing w:after="0"/>
              <w:rPr>
                <w:sz w:val="20"/>
                <w:szCs w:val="20"/>
                <w:color w:val="auto"/>
              </w:rPr>
            </w:pPr>
            <w:r>
              <w:rPr>
                <w:rFonts w:ascii="Arial" w:cs="Arial" w:eastAsia="Arial" w:hAnsi="Arial"/>
                <w:sz w:val="16"/>
                <w:szCs w:val="16"/>
                <w:b w:val="1"/>
                <w:bCs w:val="1"/>
                <w:color w:val="auto"/>
              </w:rPr>
              <w:t>Opening Date</w:t>
            </w:r>
          </w:p>
        </w:tc>
      </w:tr>
      <w:tr>
        <w:trPr>
          <w:trHeight w:val="239"/>
        </w:trPr>
        <w:tc>
          <w:tcPr>
            <w:tcW w:w="4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Joliet, Illinois</w:t>
            </w:r>
          </w:p>
        </w:tc>
        <w:tc>
          <w:tcPr>
            <w:tcW w:w="6260" w:type="dxa"/>
            <w:vAlign w:val="bottom"/>
            <w:shd w:val="clear" w:color="auto" w:fill="DBDBDB"/>
          </w:tcPr>
          <w:p>
            <w:pPr>
              <w:ind w:left="3360"/>
              <w:spacing w:after="0"/>
              <w:rPr>
                <w:sz w:val="20"/>
                <w:szCs w:val="20"/>
                <w:color w:val="auto"/>
              </w:rPr>
            </w:pPr>
            <w:r>
              <w:rPr>
                <w:rFonts w:ascii="Arial" w:cs="Arial" w:eastAsia="Arial" w:hAnsi="Arial"/>
                <w:sz w:val="16"/>
                <w:szCs w:val="16"/>
                <w:color w:val="auto"/>
              </w:rPr>
              <w:t>February 2022</w:t>
            </w:r>
          </w:p>
        </w:tc>
      </w:tr>
      <w:tr>
        <w:trPr>
          <w:trHeight w:val="226"/>
        </w:trPr>
        <w:tc>
          <w:tcPr>
            <w:tcW w:w="4980" w:type="dxa"/>
            <w:vAlign w:val="bottom"/>
          </w:tcPr>
          <w:p>
            <w:pPr>
              <w:ind w:left="20"/>
              <w:spacing w:after="0"/>
              <w:rPr>
                <w:sz w:val="20"/>
                <w:szCs w:val="20"/>
                <w:color w:val="auto"/>
              </w:rPr>
            </w:pPr>
            <w:r>
              <w:rPr>
                <w:rFonts w:ascii="Arial" w:cs="Arial" w:eastAsia="Arial" w:hAnsi="Arial"/>
                <w:sz w:val="16"/>
                <w:szCs w:val="16"/>
                <w:color w:val="auto"/>
              </w:rPr>
              <w:t>St. Petersburg, Florida</w:t>
            </w:r>
          </w:p>
        </w:tc>
        <w:tc>
          <w:tcPr>
            <w:tcW w:w="6260" w:type="dxa"/>
            <w:vAlign w:val="bottom"/>
          </w:tcPr>
          <w:p>
            <w:pPr>
              <w:ind w:left="3360"/>
              <w:spacing w:after="0"/>
              <w:rPr>
                <w:sz w:val="20"/>
                <w:szCs w:val="20"/>
                <w:color w:val="auto"/>
              </w:rPr>
            </w:pPr>
            <w:r>
              <w:rPr>
                <w:rFonts w:ascii="Arial" w:cs="Arial" w:eastAsia="Arial" w:hAnsi="Arial"/>
                <w:sz w:val="16"/>
                <w:szCs w:val="16"/>
                <w:color w:val="auto"/>
              </w:rPr>
              <w:t>April 2022</w:t>
            </w:r>
          </w:p>
        </w:tc>
      </w:tr>
    </w:tbl>
    <w:p>
      <w:pPr>
        <w:spacing w:after="0" w:line="200" w:lineRule="exact"/>
        <w:rPr>
          <w:sz w:val="20"/>
          <w:szCs w:val="20"/>
          <w:color w:val="auto"/>
        </w:rPr>
      </w:pPr>
    </w:p>
    <w:p>
      <w:pPr>
        <w:sectPr>
          <w:pgSz w:w="11900" w:h="16838" w:orient="portrait"/>
          <w:cols w:equalWidth="0" w:num="1">
            <w:col w:w="11240"/>
          </w:cols>
          <w:pgMar w:left="320" w:top="12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Consolidated Results of Operations</w:t>
      </w:r>
    </w:p>
    <w:p>
      <w:pPr>
        <w:spacing w:after="0" w:line="251"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color w:val="auto"/>
        </w:rPr>
        <w:t>The following table summarizes our results of operations for the quarter and two quarters ended June 26, 2022 and June 27,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5"/>
          </w:tcPr>
          <w:p>
            <w:pPr>
              <w:ind w:left="520"/>
              <w:spacing w:after="0"/>
              <w:rPr>
                <w:sz w:val="20"/>
                <w:szCs w:val="20"/>
                <w:color w:val="auto"/>
              </w:rPr>
            </w:pPr>
            <w:r>
              <w:rPr>
                <w:rFonts w:ascii="Arial" w:cs="Arial" w:eastAsia="Arial" w:hAnsi="Arial"/>
                <w:sz w:val="16"/>
                <w:szCs w:val="16"/>
                <w:b w:val="1"/>
                <w:bCs w:val="1"/>
                <w:color w:val="auto"/>
              </w:rPr>
              <w:t>Quarter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5"/>
          </w:tcPr>
          <w:p>
            <w:pPr>
              <w:ind w:left="300"/>
              <w:spacing w:after="0"/>
              <w:rPr>
                <w:sz w:val="20"/>
                <w:szCs w:val="20"/>
                <w:color w:val="auto"/>
              </w:rPr>
            </w:pPr>
            <w:r>
              <w:rPr>
                <w:rFonts w:ascii="Arial" w:cs="Arial" w:eastAsia="Arial" w:hAnsi="Arial"/>
                <w:sz w:val="16"/>
                <w:szCs w:val="16"/>
                <w:b w:val="1"/>
                <w:bCs w:val="1"/>
                <w:color w:val="auto"/>
              </w:rPr>
              <w:t>Two Quarters Ended</w:t>
            </w:r>
          </w:p>
        </w:tc>
        <w:tc>
          <w:tcPr>
            <w:tcW w:w="1040" w:type="dxa"/>
            <w:vAlign w:val="bottom"/>
          </w:tcPr>
          <w:p>
            <w:pPr>
              <w:spacing w:after="0"/>
              <w:rPr>
                <w:sz w:val="19"/>
                <w:szCs w:val="19"/>
                <w:color w:val="auto"/>
              </w:rPr>
            </w:pPr>
          </w:p>
        </w:tc>
      </w:tr>
      <w:tr>
        <w:trPr>
          <w:trHeight w:val="245"/>
        </w:trPr>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4"/>
          </w:tcPr>
          <w:p>
            <w:pPr>
              <w:ind w:left="320"/>
              <w:spacing w:after="0"/>
              <w:rPr>
                <w:sz w:val="20"/>
                <w:szCs w:val="20"/>
                <w:color w:val="auto"/>
              </w:rPr>
            </w:pPr>
            <w:r>
              <w:rPr>
                <w:rFonts w:ascii="Arial" w:cs="Arial" w:eastAsia="Arial" w:hAnsi="Arial"/>
                <w:sz w:val="16"/>
                <w:szCs w:val="16"/>
                <w:b w:val="1"/>
                <w:bCs w:val="1"/>
                <w:color w:val="auto"/>
              </w:rPr>
              <w:t>June 26, 2022</w:t>
            </w:r>
          </w:p>
        </w:tc>
        <w:tc>
          <w:tcPr>
            <w:tcW w:w="200" w:type="dxa"/>
            <w:vAlign w:val="bottom"/>
          </w:tcPr>
          <w:p>
            <w:pPr>
              <w:spacing w:after="0"/>
              <w:rPr>
                <w:sz w:val="21"/>
                <w:szCs w:val="21"/>
                <w:color w:val="auto"/>
              </w:rPr>
            </w:pPr>
          </w:p>
        </w:tc>
        <w:tc>
          <w:tcPr>
            <w:tcW w:w="1980" w:type="dxa"/>
            <w:vAlign w:val="bottom"/>
            <w:gridSpan w:val="4"/>
          </w:tcPr>
          <w:p>
            <w:pPr>
              <w:ind w:left="320"/>
              <w:spacing w:after="0"/>
              <w:rPr>
                <w:sz w:val="20"/>
                <w:szCs w:val="20"/>
                <w:color w:val="auto"/>
              </w:rPr>
            </w:pPr>
            <w:r>
              <w:rPr>
                <w:rFonts w:ascii="Arial" w:cs="Arial" w:eastAsia="Arial" w:hAnsi="Arial"/>
                <w:sz w:val="16"/>
                <w:szCs w:val="16"/>
                <w:b w:val="1"/>
                <w:bCs w:val="1"/>
                <w:color w:val="auto"/>
              </w:rPr>
              <w:t>June 27, 2021</w:t>
            </w:r>
          </w:p>
        </w:tc>
        <w:tc>
          <w:tcPr>
            <w:tcW w:w="200" w:type="dxa"/>
            <w:vAlign w:val="bottom"/>
          </w:tcPr>
          <w:p>
            <w:pPr>
              <w:spacing w:after="0"/>
              <w:rPr>
                <w:sz w:val="21"/>
                <w:szCs w:val="21"/>
                <w:color w:val="auto"/>
              </w:rPr>
            </w:pPr>
          </w:p>
        </w:tc>
        <w:tc>
          <w:tcPr>
            <w:tcW w:w="1960" w:type="dxa"/>
            <w:vAlign w:val="bottom"/>
            <w:gridSpan w:val="4"/>
          </w:tcPr>
          <w:p>
            <w:pPr>
              <w:ind w:left="300"/>
              <w:spacing w:after="0"/>
              <w:rPr>
                <w:sz w:val="20"/>
                <w:szCs w:val="20"/>
                <w:color w:val="auto"/>
              </w:rPr>
            </w:pPr>
            <w:r>
              <w:rPr>
                <w:rFonts w:ascii="Arial" w:cs="Arial" w:eastAsia="Arial" w:hAnsi="Arial"/>
                <w:sz w:val="16"/>
                <w:szCs w:val="16"/>
                <w:b w:val="1"/>
                <w:bCs w:val="1"/>
                <w:color w:val="auto"/>
              </w:rPr>
              <w:t>June 26, 2022</w:t>
            </w:r>
          </w:p>
        </w:tc>
        <w:tc>
          <w:tcPr>
            <w:tcW w:w="220" w:type="dxa"/>
            <w:vAlign w:val="bottom"/>
          </w:tcPr>
          <w:p>
            <w:pPr>
              <w:spacing w:after="0"/>
              <w:rPr>
                <w:sz w:val="21"/>
                <w:szCs w:val="21"/>
                <w:color w:val="auto"/>
              </w:rPr>
            </w:pPr>
          </w:p>
        </w:tc>
        <w:tc>
          <w:tcPr>
            <w:tcW w:w="188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June 27, 2021</w:t>
            </w:r>
          </w:p>
        </w:tc>
      </w:tr>
      <w:tr>
        <w:trPr>
          <w:trHeight w:val="239"/>
        </w:trPr>
        <w:tc>
          <w:tcPr>
            <w:tcW w:w="26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REVENUES, NET</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150,623</w:t>
            </w:r>
          </w:p>
        </w:tc>
        <w:tc>
          <w:tcPr>
            <w:tcW w:w="120" w:type="dxa"/>
            <w:vAlign w:val="bottom"/>
            <w:tcBorders>
              <w:top w:val="single" w:sz="8" w:color="auto"/>
            </w:tcBorders>
            <w:shd w:val="clear" w:color="auto" w:fill="DBDBDB"/>
          </w:tcPr>
          <w:p>
            <w:pPr>
              <w:spacing w:after="0"/>
              <w:rPr>
                <w:sz w:val="20"/>
                <w:szCs w:val="20"/>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140,734</w:t>
            </w:r>
          </w:p>
        </w:tc>
        <w:tc>
          <w:tcPr>
            <w:tcW w:w="100" w:type="dxa"/>
            <w:vAlign w:val="bottom"/>
            <w:tcBorders>
              <w:top w:val="single" w:sz="8" w:color="auto"/>
            </w:tcBorders>
            <w:shd w:val="clear" w:color="auto" w:fill="DBDBDB"/>
          </w:tcPr>
          <w:p>
            <w:pPr>
              <w:spacing w:after="0"/>
              <w:rPr>
                <w:sz w:val="20"/>
                <w:szCs w:val="20"/>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285,105</w:t>
            </w:r>
          </w:p>
        </w:tc>
        <w:tc>
          <w:tcPr>
            <w:tcW w:w="100" w:type="dxa"/>
            <w:vAlign w:val="bottom"/>
            <w:tcBorders>
              <w:top w:val="single" w:sz="8" w:color="auto"/>
            </w:tcBorders>
            <w:shd w:val="clear" w:color="auto" w:fill="DBDBDB"/>
          </w:tcPr>
          <w:p>
            <w:pPr>
              <w:spacing w:after="0"/>
              <w:rPr>
                <w:sz w:val="20"/>
                <w:szCs w:val="20"/>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DBDBDB"/>
            </w:tcBorders>
            <w:shd w:val="clear" w:color="auto" w:fill="DBDBDB"/>
          </w:tcPr>
          <w:p>
            <w:pPr>
              <w:spacing w:after="0"/>
              <w:rPr>
                <w:sz w:val="20"/>
                <w:szCs w:val="20"/>
                <w:color w:val="auto"/>
              </w:rPr>
            </w:pPr>
          </w:p>
        </w:tc>
        <w:tc>
          <w:tcPr>
            <w:tcW w:w="22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258,041</w:t>
            </w:r>
          </w:p>
        </w:tc>
        <w:tc>
          <w:tcPr>
            <w:tcW w:w="100" w:type="dxa"/>
            <w:vAlign w:val="bottom"/>
            <w:tcBorders>
              <w:top w:val="single" w:sz="8" w:color="auto"/>
            </w:tcBorders>
            <w:shd w:val="clear" w:color="auto" w:fill="DBDBDB"/>
          </w:tcPr>
          <w:p>
            <w:pPr>
              <w:spacing w:after="0"/>
              <w:rPr>
                <w:sz w:val="20"/>
                <w:szCs w:val="20"/>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68"/>
        </w:trPr>
        <w:tc>
          <w:tcPr>
            <w:tcW w:w="2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42"/>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COST AND EXPENSES:</w:t>
            </w:r>
          </w:p>
        </w:tc>
        <w:tc>
          <w:tcPr>
            <w:tcW w:w="2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r>
      <w:tr>
        <w:trPr>
          <w:trHeight w:val="234"/>
        </w:trPr>
        <w:tc>
          <w:tcPr>
            <w:tcW w:w="2620" w:type="dxa"/>
            <w:vAlign w:val="bottom"/>
          </w:tcPr>
          <w:p>
            <w:pPr>
              <w:ind w:left="20"/>
              <w:spacing w:after="0"/>
              <w:rPr>
                <w:sz w:val="20"/>
                <w:szCs w:val="20"/>
                <w:color w:val="auto"/>
              </w:rPr>
            </w:pPr>
            <w:r>
              <w:rPr>
                <w:rFonts w:ascii="Arial" w:cs="Arial" w:eastAsia="Arial" w:hAnsi="Arial"/>
                <w:sz w:val="16"/>
                <w:szCs w:val="16"/>
                <w:color w:val="auto"/>
              </w:rPr>
              <w:t>Restaurant operating expenses: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2"/>
        </w:trPr>
        <w:tc>
          <w:tcPr>
            <w:tcW w:w="26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Cost of goods sold, excluding</w:t>
            </w: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9"/>
        </w:trPr>
        <w:tc>
          <w:tcPr>
            <w:tcW w:w="26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51,774</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34.4 %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42,156</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98,040</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34.4 %</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77,180</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29.9 %</w:t>
            </w:r>
          </w:p>
        </w:tc>
      </w:tr>
      <w:tr>
        <w:trPr>
          <w:trHeight w:val="234"/>
        </w:trPr>
        <w:tc>
          <w:tcPr>
            <w:tcW w:w="2620" w:type="dxa"/>
            <w:vAlign w:val="bottom"/>
          </w:tcPr>
          <w:p>
            <w:pPr>
              <w:ind w:left="220"/>
              <w:spacing w:after="0"/>
              <w:rPr>
                <w:sz w:val="20"/>
                <w:szCs w:val="20"/>
                <w:color w:val="auto"/>
              </w:rPr>
            </w:pPr>
            <w:r>
              <w:rPr>
                <w:rFonts w:ascii="Arial" w:cs="Arial" w:eastAsia="Arial" w:hAnsi="Arial"/>
                <w:sz w:val="16"/>
                <w:szCs w:val="16"/>
                <w:color w:val="auto"/>
              </w:rPr>
              <w:t>Labor</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37,906</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34,482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75,219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65,512</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25.4 %</w:t>
            </w:r>
          </w:p>
        </w:tc>
      </w:tr>
      <w:tr>
        <w:trPr>
          <w:trHeight w:val="249"/>
        </w:trPr>
        <w:tc>
          <w:tcPr>
            <w:tcW w:w="26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Occupancy</w:t>
            </w:r>
          </w:p>
        </w:tc>
        <w:tc>
          <w:tcPr>
            <w:tcW w:w="20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7,379</w:t>
            </w:r>
          </w:p>
        </w:tc>
        <w:tc>
          <w:tcPr>
            <w:tcW w:w="12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7,106</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15,134</w:t>
            </w: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13,890</w:t>
            </w: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5.4 %</w:t>
            </w:r>
          </w:p>
        </w:tc>
      </w:tr>
      <w:tr>
        <w:trPr>
          <w:trHeight w:val="235"/>
        </w:trPr>
        <w:tc>
          <w:tcPr>
            <w:tcW w:w="2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15,178</w:t>
            </w:r>
          </w:p>
        </w:tc>
        <w:tc>
          <w:tcPr>
            <w:tcW w:w="12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13,925</w:t>
            </w:r>
          </w:p>
        </w:tc>
        <w:tc>
          <w:tcPr>
            <w:tcW w:w="10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30,343</w:t>
            </w:r>
          </w:p>
        </w:tc>
        <w:tc>
          <w:tcPr>
            <w:tcW w:w="100" w:type="dxa"/>
            <w:vAlign w:val="bottom"/>
            <w:tcBorders>
              <w:bottom w:val="single" w:sz="8" w:color="DBDBDB"/>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10.6 %</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28,633</w:t>
            </w:r>
          </w:p>
        </w:tc>
        <w:tc>
          <w:tcPr>
            <w:tcW w:w="100" w:type="dxa"/>
            <w:vAlign w:val="bottom"/>
            <w:tcBorders>
              <w:bottom w:val="single" w:sz="8" w:color="DBDBDB"/>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11.1 %</w:t>
            </w:r>
          </w:p>
        </w:tc>
      </w:tr>
      <w:tr>
        <w:trPr>
          <w:trHeight w:val="214"/>
        </w:trPr>
        <w:tc>
          <w:tcPr>
            <w:tcW w:w="2620" w:type="dxa"/>
            <w:vAlign w:val="bottom"/>
            <w:shd w:val="clear" w:color="auto" w:fill="DBDBDB"/>
          </w:tcPr>
          <w:p>
            <w:pPr>
              <w:ind w:left="460"/>
              <w:spacing w:after="0"/>
              <w:rPr>
                <w:sz w:val="20"/>
                <w:szCs w:val="20"/>
                <w:color w:val="auto"/>
              </w:rPr>
            </w:pPr>
            <w:r>
              <w:rPr>
                <w:rFonts w:ascii="Arial" w:cs="Arial" w:eastAsia="Arial" w:hAnsi="Arial"/>
                <w:sz w:val="16"/>
                <w:szCs w:val="16"/>
                <w:b w:val="1"/>
                <w:bCs w:val="1"/>
                <w:color w:val="auto"/>
              </w:rPr>
              <w:t>Total restaurant operating</w:t>
            </w:r>
          </w:p>
        </w:tc>
        <w:tc>
          <w:tcPr>
            <w:tcW w:w="2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29"/>
        </w:trPr>
        <w:tc>
          <w:tcPr>
            <w:tcW w:w="2620" w:type="dxa"/>
            <w:vAlign w:val="bottom"/>
            <w:shd w:val="clear" w:color="auto" w:fill="DBDBDB"/>
          </w:tcPr>
          <w:p>
            <w:pPr>
              <w:ind w:left="460"/>
              <w:spacing w:after="0"/>
              <w:rPr>
                <w:sz w:val="20"/>
                <w:szCs w:val="20"/>
                <w:color w:val="auto"/>
              </w:rPr>
            </w:pPr>
            <w:r>
              <w:rPr>
                <w:rFonts w:ascii="Arial" w:cs="Arial" w:eastAsia="Arial" w:hAnsi="Arial"/>
                <w:sz w:val="16"/>
                <w:szCs w:val="16"/>
                <w:b w:val="1"/>
                <w:bCs w:val="1"/>
                <w:color w:val="auto"/>
              </w:rPr>
              <w:t>expenses</w:t>
            </w: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112,237</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74.5 %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97,669</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69.4 %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218,736</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76.7 %</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185,215</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71.8 %</w:t>
            </w:r>
          </w:p>
        </w:tc>
      </w:tr>
      <w:tr>
        <w:trPr>
          <w:trHeight w:val="214"/>
        </w:trPr>
        <w:tc>
          <w:tcPr>
            <w:tcW w:w="26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1"/>
        </w:trPr>
        <w:tc>
          <w:tcPr>
            <w:tcW w:w="2620" w:type="dxa"/>
            <w:vAlign w:val="bottom"/>
          </w:tcPr>
          <w:p>
            <w:pPr>
              <w:ind w:left="24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15,439</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12,170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31,126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24,005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49"/>
        </w:trPr>
        <w:tc>
          <w:tcPr>
            <w:tcW w:w="2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Pre-opening expenses</w:t>
            </w:r>
          </w:p>
        </w:tc>
        <w:tc>
          <w:tcPr>
            <w:tcW w:w="20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1,960</w:t>
            </w: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0.8 %</w:t>
            </w:r>
          </w:p>
        </w:tc>
      </w:tr>
      <w:tr>
        <w:trPr>
          <w:trHeight w:val="234"/>
        </w:trPr>
        <w:tc>
          <w:tcPr>
            <w:tcW w:w="26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5,309</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6,420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10,514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12,709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22"/>
        </w:trPr>
        <w:tc>
          <w:tcPr>
            <w:tcW w:w="2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income attributable to equity</w:t>
            </w: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9"/>
        </w:trPr>
        <w:tc>
          <w:tcPr>
            <w:tcW w:w="26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method investment</w:t>
            </w: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2620" w:type="dxa"/>
            <w:vAlign w:val="bottom"/>
          </w:tcPr>
          <w:p>
            <w:pPr>
              <w:ind w:left="240"/>
              <w:spacing w:after="0"/>
              <w:rPr>
                <w:sz w:val="20"/>
                <w:szCs w:val="20"/>
                <w:color w:val="auto"/>
              </w:rPr>
            </w:pPr>
            <w:r>
              <w:rPr>
                <w:rFonts w:ascii="Arial" w:cs="Arial" w:eastAsia="Arial" w:hAnsi="Arial"/>
                <w:sz w:val="16"/>
                <w:szCs w:val="16"/>
                <w:color w:val="auto"/>
              </w:rPr>
              <w:t>Other (loss) income, net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42"/>
        </w:trPr>
        <w:tc>
          <w:tcPr>
            <w:tcW w:w="26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top w:val="single" w:sz="8" w:color="auto"/>
            </w:tcBorders>
            <w:shd w:val="clear" w:color="auto" w:fill="DBDBDB"/>
          </w:tcPr>
          <w:p>
            <w:pPr>
              <w:spacing w:after="0"/>
              <w:rPr>
                <w:sz w:val="21"/>
                <w:szCs w:val="21"/>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17,439</w:t>
            </w:r>
          </w:p>
        </w:tc>
        <w:tc>
          <w:tcPr>
            <w:tcW w:w="120" w:type="dxa"/>
            <w:vAlign w:val="bottom"/>
            <w:tcBorders>
              <w:top w:val="single" w:sz="8" w:color="DBDBDB"/>
            </w:tcBorders>
            <w:shd w:val="clear" w:color="auto" w:fill="DBDBDB"/>
          </w:tcPr>
          <w:p>
            <w:pPr>
              <w:spacing w:after="0"/>
              <w:rPr>
                <w:sz w:val="21"/>
                <w:szCs w:val="21"/>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Borders>
              <w:top w:val="single" w:sz="8" w:color="DBDBDB"/>
            </w:tcBorders>
            <w:shd w:val="clear" w:color="auto" w:fill="DBDBDB"/>
          </w:tcPr>
          <w:p>
            <w:pPr>
              <w:spacing w:after="0"/>
              <w:rPr>
                <w:sz w:val="21"/>
                <w:szCs w:val="21"/>
                <w:color w:val="auto"/>
              </w:rPr>
            </w:pPr>
          </w:p>
        </w:tc>
        <w:tc>
          <w:tcPr>
            <w:tcW w:w="200" w:type="dxa"/>
            <w:vAlign w:val="bottom"/>
            <w:tcBorders>
              <w:top w:val="single" w:sz="8" w:color="auto"/>
            </w:tcBorders>
            <w:shd w:val="clear" w:color="auto" w:fill="DBDBDB"/>
          </w:tcPr>
          <w:p>
            <w:pPr>
              <w:spacing w:after="0"/>
              <w:rPr>
                <w:sz w:val="21"/>
                <w:szCs w:val="21"/>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24,461</w:t>
            </w:r>
          </w:p>
        </w:tc>
        <w:tc>
          <w:tcPr>
            <w:tcW w:w="100" w:type="dxa"/>
            <w:vAlign w:val="bottom"/>
            <w:tcBorders>
              <w:top w:val="single" w:sz="8" w:color="DBDBDB"/>
            </w:tcBorders>
            <w:shd w:val="clear" w:color="auto" w:fill="DBDBDB"/>
          </w:tcPr>
          <w:p>
            <w:pPr>
              <w:spacing w:after="0"/>
              <w:rPr>
                <w:sz w:val="21"/>
                <w:szCs w:val="21"/>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17.4 %</w:t>
            </w:r>
          </w:p>
        </w:tc>
        <w:tc>
          <w:tcPr>
            <w:tcW w:w="100" w:type="dxa"/>
            <w:vAlign w:val="bottom"/>
            <w:tcBorders>
              <w:top w:val="single" w:sz="8" w:color="DBDBDB"/>
            </w:tcBorders>
            <w:shd w:val="clear" w:color="auto" w:fill="DBDBDB"/>
          </w:tcPr>
          <w:p>
            <w:pPr>
              <w:spacing w:after="0"/>
              <w:rPr>
                <w:sz w:val="21"/>
                <w:szCs w:val="21"/>
                <w:color w:val="auto"/>
              </w:rPr>
            </w:pPr>
          </w:p>
        </w:tc>
        <w:tc>
          <w:tcPr>
            <w:tcW w:w="200" w:type="dxa"/>
            <w:vAlign w:val="bottom"/>
            <w:tcBorders>
              <w:top w:val="single" w:sz="8" w:color="auto"/>
            </w:tcBorders>
            <w:shd w:val="clear" w:color="auto" w:fill="DBDBDB"/>
          </w:tcPr>
          <w:p>
            <w:pPr>
              <w:spacing w:after="0"/>
              <w:rPr>
                <w:sz w:val="21"/>
                <w:szCs w:val="21"/>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24,253</w:t>
            </w:r>
          </w:p>
        </w:tc>
        <w:tc>
          <w:tcPr>
            <w:tcW w:w="100" w:type="dxa"/>
            <w:vAlign w:val="bottom"/>
            <w:tcBorders>
              <w:top w:val="single" w:sz="8" w:color="DBDBDB"/>
            </w:tcBorders>
            <w:shd w:val="clear" w:color="auto" w:fill="DBDBDB"/>
          </w:tcPr>
          <w:p>
            <w:pPr>
              <w:spacing w:after="0"/>
              <w:rPr>
                <w:sz w:val="21"/>
                <w:szCs w:val="21"/>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8.5 %</w:t>
            </w:r>
          </w:p>
        </w:tc>
        <w:tc>
          <w:tcPr>
            <w:tcW w:w="80" w:type="dxa"/>
            <w:vAlign w:val="bottom"/>
            <w:tcBorders>
              <w:top w:val="single" w:sz="8" w:color="DBDBDB"/>
            </w:tcBorders>
            <w:shd w:val="clear" w:color="auto" w:fill="DBDBDB"/>
          </w:tcPr>
          <w:p>
            <w:pPr>
              <w:spacing w:after="0"/>
              <w:rPr>
                <w:sz w:val="21"/>
                <w:szCs w:val="21"/>
                <w:color w:val="auto"/>
              </w:rPr>
            </w:pPr>
          </w:p>
        </w:tc>
        <w:tc>
          <w:tcPr>
            <w:tcW w:w="220" w:type="dxa"/>
            <w:vAlign w:val="bottom"/>
            <w:tcBorders>
              <w:top w:val="single" w:sz="8" w:color="auto"/>
            </w:tcBorders>
            <w:shd w:val="clear" w:color="auto" w:fill="DBDBDB"/>
          </w:tcPr>
          <w:p>
            <w:pPr>
              <w:spacing w:after="0"/>
              <w:rPr>
                <w:sz w:val="21"/>
                <w:szCs w:val="21"/>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35,314</w:t>
            </w:r>
          </w:p>
        </w:tc>
        <w:tc>
          <w:tcPr>
            <w:tcW w:w="100" w:type="dxa"/>
            <w:vAlign w:val="bottom"/>
            <w:tcBorders>
              <w:top w:val="single" w:sz="8" w:color="DBDBDB"/>
            </w:tcBorders>
            <w:shd w:val="clear" w:color="auto" w:fill="DBDBDB"/>
          </w:tcPr>
          <w:p>
            <w:pPr>
              <w:spacing w:after="0"/>
              <w:rPr>
                <w:sz w:val="21"/>
                <w:szCs w:val="21"/>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13.7 %</w:t>
            </w:r>
          </w:p>
        </w:tc>
      </w:tr>
      <w:tr>
        <w:trPr>
          <w:trHeight w:val="234"/>
        </w:trPr>
        <w:tc>
          <w:tcPr>
            <w:tcW w:w="26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6,097</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10,712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12,196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21,441</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22"/>
        </w:trPr>
        <w:tc>
          <w:tcPr>
            <w:tcW w:w="26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Tax Receivable Agreement</w:t>
            </w: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2"/>
        </w:trPr>
        <w:tc>
          <w:tcPr>
            <w:tcW w:w="26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liability adjustment</w:t>
            </w: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(1,754)</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TAXES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13,096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13,749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13,811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13,873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39"/>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2,340</w:t>
            </w:r>
          </w:p>
        </w:tc>
        <w:tc>
          <w:tcPr>
            <w:tcW w:w="12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DBDBDB"/>
          </w:tcPr>
          <w:p>
            <w:pPr>
              <w:spacing w:after="0"/>
              <w:rPr>
                <w:sz w:val="20"/>
                <w:szCs w:val="20"/>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2,505</w:t>
            </w:r>
          </w:p>
        </w:tc>
        <w:tc>
          <w:tcPr>
            <w:tcW w:w="100" w:type="dxa"/>
            <w:vAlign w:val="bottom"/>
            <w:shd w:val="clear" w:color="auto" w:fill="DBDBDB"/>
          </w:tcPr>
          <w:p>
            <w:pPr>
              <w:spacing w:after="0"/>
              <w:rPr>
                <w:sz w:val="20"/>
                <w:szCs w:val="20"/>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0.9 %</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10,756</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13,749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11,306</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13,873</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5.4 %</w:t>
            </w:r>
          </w:p>
        </w:tc>
      </w:tr>
      <w:tr>
        <w:trPr>
          <w:trHeight w:val="218"/>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Redeemable preferred units</w:t>
            </w:r>
          </w:p>
        </w:tc>
        <w:tc>
          <w:tcPr>
            <w:tcW w:w="2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22"/>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accretion</w:t>
            </w:r>
          </w:p>
        </w:tc>
        <w:tc>
          <w:tcPr>
            <w:tcW w:w="20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(5,577)</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 %</w:t>
            </w:r>
          </w:p>
        </w:tc>
        <w:tc>
          <w:tcPr>
            <w:tcW w:w="2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(11,092)</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w:t>
            </w:r>
          </w:p>
        </w:tc>
      </w:tr>
      <w:tr>
        <w:trPr>
          <w:trHeight w:val="214"/>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COMMON HOLDERS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10,756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8,172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11,306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2,781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8"/>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attributable to non-</w:t>
            </w:r>
          </w:p>
        </w:tc>
        <w:tc>
          <w:tcPr>
            <w:tcW w:w="2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22"/>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controlling interests</w:t>
            </w: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5,645</w:t>
            </w:r>
          </w:p>
        </w:tc>
        <w:tc>
          <w:tcPr>
            <w:tcW w:w="12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6,001</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25"/>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PORTILLO'S INC.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5,111</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r>
      <w:tr>
        <w:trPr>
          <w:trHeight w:val="24"/>
        </w:trPr>
        <w:tc>
          <w:tcPr>
            <w:tcW w:w="2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Revenues, Net</w:t>
      </w:r>
    </w:p>
    <w:p>
      <w:pPr>
        <w:spacing w:after="0" w:line="2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Revenues primarily represent the aggregate sales of food and beverages, net of discounts. Sales taxes collected from customers are excluded from revenues. Revenues in any period are directly influenced by the number of operating weeks in the period, the number of open restaurants, restaurant traffic, our menu prices, third-party delivery platform prices and product mix. At the end of 2021, the Company began to record the difference in higher third-party delivery menu prices, versus regular menu prices, in revenues. This markup was previously recorded in Cost of goods sold, excluding depreciation and amortization. As a result, we anticipate this change to positively impact our same-restaurant sales growth by 2%-3% in each quarter in 2022 and for the full fiscal year 2022, with a corresponding increase to Cost of goods sold, excluding depreciation and amortization. Operating income has not been, and is not anticipated in the future to be, impacted by such change. See Note 2. Summary Of Significant Accounting Policies-Revenue Recognition, for more information.</w:t>
      </w:r>
    </w:p>
    <w:p>
      <w:pPr>
        <w:spacing w:after="0" w:line="21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Revenues for the quarter ended June 26, 2022 were $150.6 million compared to $ 140.7 million for the quarter ended June 27, 2021, an increase of $9.9 million or 7.0%. The increase in revenues was primarily attributed to the opening of four new restaurants in the second through fourth quarters of 2021 and two new restaurants during the two quarters ended June 26, 2022 combined with an increase in our same-restaurant sales. The new restaurants positively impacted revenues by approximately $7.4 million in the quarter ended June 26, 2022. Same-restaurant sales increased 1.9% during the second quarter ended June 26, 2022, which was attributable to an increase in average check of 4.8% and a 2.7% impact from the change in recording third-party delivery pricing, offset by a decline in transactions of 5.6%. The higher average check was driven by an approximate 6.8% increase in certain menu prices partially offset by lower items sold per transaction. During the second quarter of 2022, we increased menu prices on certain items resulting in an approximate 3.5% effective overall increase to continue to combat inflationary cost pressures. For the purpose of calculating same-restaurant sales for June 26, 2022, sales for 61 restaurants were included in the Comparable Restaurant Base (as defined in "Selected Operating Data" below) versus 59 as of the quarter ended June 27, 2021.</w:t>
      </w:r>
    </w:p>
    <w:p>
      <w:pPr>
        <w:spacing w:after="0" w:line="21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Revenues for the two quarters ended June 26, 2022 were $285.1 million compared to $258.0 million for the two quarters ended June 27, 2021, an increase of $27.1 million or 10.5%. The increase in revenues was primarily attributed to the opening of five new restaurants in 2021 and two new restaurants during the two quarters ended June 26, 2022 combined with an increase in our same-restaurant sales. The new restaurants positively impacted revenues by approximately $15.2 million in the two quarters ended June 26, 2022. Same-restaurant sales increased 4.8% during the two quarters ended June 26, 2022, which was attributable to an increase in average check of 6.0% and a 2.8% impact from the change in recording third-party delivery pricing, offset by a decline in transactions of 4.0%. The higher average check was primarily driven by an approximate 7.0% increase in menu prices partially offset by lower items sold per transaction. We increased menu prices approximately 1.5% in the first quarter of 2022 and approximately 3.5% during the second quarter of 2022 to continue to combat inflationary cost pressures. For the purpose of calculating same-restaurant sales for June 26, 2022, sales for 61 restaurants were included in the Comparable Restaurant Base (as defined in "Selected Operating Data" below) versus 59 as of the quarter ended June 27, 2021.</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Cost of Goods Sold, Excluding Depreciation and Amortization</w:t>
      </w:r>
    </w:p>
    <w:p>
      <w:pPr>
        <w:spacing w:after="0" w:line="24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Cost of goods sold, excluding depreciation and amortization includes the direct costs associated with food and beverages, including paper products and third-party delivery commissions. The components of cost of goods sold, excluding depreciation and amortization are variable by nature, change with sales volume, are impacted by product mix and are subject to increases or decreases in commodity costs</w:t>
      </w:r>
      <w:r>
        <w:rPr>
          <w:rFonts w:ascii="Arial" w:cs="Arial" w:eastAsia="Arial" w:hAnsi="Arial"/>
          <w:sz w:val="18"/>
          <w:szCs w:val="18"/>
          <w:i w:val="1"/>
          <w:iCs w:val="1"/>
          <w:color w:val="auto"/>
        </w:rPr>
        <w:t>.</w:t>
      </w:r>
      <w:r>
        <w:rPr>
          <w:rFonts w:ascii="Arial" w:cs="Arial" w:eastAsia="Arial" w:hAnsi="Arial"/>
          <w:sz w:val="18"/>
          <w:szCs w:val="18"/>
          <w:color w:val="auto"/>
        </w:rPr>
        <w:t xml:space="preserve"> We anticipate the comparability of cost of goods sold, excluding depreciation and amortization, to be impacted in 2022 versus 2021 due to the aforementioned change in how the Company records third-party delivery menu prices. Operating income has not been, and is not anticipated in the future to be, impacted by such change.</w:t>
      </w:r>
    </w:p>
    <w:p>
      <w:pPr>
        <w:spacing w:after="0" w:line="20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Cost of goods sold, excluding depreciation and amortization for the quarter ended June 26, 2022 was $51.8 million compared to $42.2 million for the quarter ended June 27, 2021, an increase of $9.6 million or 22.8%. This increase was primarily driven by a 15.2% increase in all commodity prices, with the largest increases in pork, chicken, and beef prices; the impact of how the Company records third-party delivery menu prices; and the opening of four new restaurants in the second through fourth quarters of 2021 and two new restaurants during the two quarters ended June 26, 2022. As a percentage of revenues net, cost of goods sold, excluding depreciation and amortization increased 4.4% during the quarter ended June 26, 2022. The increase was primarily due to an increase in all commodity prices and the impact of how the Company records third-party delivery menu prices, partially offset by an increase in our average check.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Cost of goods sold, excluding depreciation and amortization for the two quarters ended June 26, 2022 was $98.0 million compared to $77.2 million for the two quarters ended June 27, 2021, an increase of $20.9 million or 27.0%. This increase was primarily driven by a 15.5% increase in all commodity prices, with the largest increases in pork, chicken, and beef prices; the impact of how the Company records third-party delivery menu prices; and the opening of five new restaurants in 2021 and two new restaurants during the two quarters ended June 26, 2022. As a percentage of revenues, net, cost of goods sold, excluding depreciation and amortization increased 4.5% during the two quarters ended June 26, 2022. The increase was primarily due to an increase in all commodity prices and the impact of how the Company records third-party delivery menu prices, partially offset by an increase in our average check.</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Labor Expenses</w:t>
      </w:r>
    </w:p>
    <w:p>
      <w:pPr>
        <w:spacing w:after="0" w:line="258"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Labor expenses include hourly and management wages, bonuses and stock compensation, payroll taxes, workers’ compensation expense, and team member benefits. Factors that influence labor costs include wage inflation and payroll tax legislation, health care costs and the staffing needs of our restaurants</w:t>
      </w:r>
      <w:r>
        <w:rPr>
          <w:rFonts w:ascii="Arial" w:cs="Arial" w:eastAsia="Arial" w:hAnsi="Arial"/>
          <w:sz w:val="18"/>
          <w:szCs w:val="18"/>
          <w:i w:val="1"/>
          <w:iCs w:val="1"/>
          <w:color w:val="auto"/>
        </w:rPr>
        <w:t>.</w:t>
      </w:r>
    </w:p>
    <w:p>
      <w:pPr>
        <w:spacing w:after="0" w:line="20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Labor expenses for the quarter ended June 26, 2022 were $ 37.9 million compared to $34.5 million for the quarter ended June 27, 2021, an increase of $3.4 million or 9.9%. This increase was primarily driven by incremental investments to support our team members, including rate increases primarily made in June 2021 and equity-based compensation, and the opening of four new restaurants in the second through fourth quarters of 2021 and two new restaurants during the two quarters ended June 26, 2022. These increases were partially offset by operational efficiencies and lower variable-based compensation. As a percentage of revenues, net, labor increased 0.7% due primarily to the aforementioned incremental rate increases to support our team members, partially offset by an increase in our average check, operational efficiencies and lower variable-based compensation.</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Labor expenses for the two quarters ended June 26, 2022 were $75.2 million compared to $65.5 million for the two quarters ended June 27, 2021, an increase of $9.7 million or 14.8%. This increase was primarily driven by incremental investments to support our team members, including rate increases primarily made in the June 2021 and equity-based compensation, and the opening of five new restaurants in 2021 and two new restaurants during the two quarters ended June 26, 2022. These increases were partially offset by operational efficiencies and lower variable-based compensation. As a percentage of revenues, net, labor increased 1.0% due primarily to the aforementioned incremental hourly rate increases to support our team members, partially offset by an increase in our average check, lower variable-based compensation, and operational efficiencies.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Occupancy Expenses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property insurance, common area expenses and property taxes.</w:t>
      </w:r>
    </w:p>
    <w:p>
      <w:pPr>
        <w:spacing w:after="0" w:line="249"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Occupancy expenses for the quarter ended June 26, 2022 were $7.4 million compared to $7.1 million for the quarter ended June 27, 2021, an increase of $0.3 million or 3.8%, primarily driven by the opening of four new restaurants in the second through fourth quarters of 2021 and two new restaurants during the two quarters ended June 26, 2022.</w:t>
      </w:r>
    </w:p>
    <w:p>
      <w:pPr>
        <w:spacing w:after="0" w:line="200" w:lineRule="exact"/>
        <w:rPr>
          <w:sz w:val="20"/>
          <w:szCs w:val="20"/>
          <w:color w:val="auto"/>
        </w:rPr>
      </w:pPr>
    </w:p>
    <w:p>
      <w:pPr>
        <w:jc w:val="both"/>
        <w:ind w:right="40"/>
        <w:spacing w:after="0" w:line="265" w:lineRule="auto"/>
        <w:rPr>
          <w:sz w:val="20"/>
          <w:szCs w:val="20"/>
          <w:color w:val="auto"/>
        </w:rPr>
      </w:pPr>
      <w:r>
        <w:rPr>
          <w:rFonts w:ascii="Arial" w:cs="Arial" w:eastAsia="Arial" w:hAnsi="Arial"/>
          <w:sz w:val="18"/>
          <w:szCs w:val="18"/>
          <w:color w:val="auto"/>
        </w:rPr>
        <w:t>Occupancy expenses for the two quarters ended June 26, 2022 were $15.1 million compared to $13.9 million for the two quarters ended June 27, 2021, an increase of $1.2 million or 9.0%, primarily driven by the opening of five new restaurants in 2021 and two new restaurants during the two quarters ended June 26, 2022.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Operating Expenses</w:t>
      </w:r>
    </w:p>
    <w:p>
      <w:pPr>
        <w:spacing w:after="0" w:line="25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Other operating expenses consist of direct marketing expenses, utilities and other operating expenses incidental to operating our restaurants, such as credit card fees and repairs and maintenance.</w:t>
      </w:r>
    </w:p>
    <w:p>
      <w:pPr>
        <w:spacing w:after="0" w:line="1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Other operating expenses for the quarter ended June 26, 2022 were $15.2 million compared to $13.9 million for the quarter ended June 27, 2021, an increase of $1.3 million or 9.0%, primarily driven by the opening of four new restaurants in the second through fourth quarters of 2021 and two new restaurants during the two quarters ended June 26, 2022 as well as an increase in repair and maintenance and insurance expenses, offset by a decrease in travel expense.</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Other operating expenses for the two quarters ended June 26, 2022 were $30.3 million compared to $28.6 million for the two quarters ended June 27, 2021, an increase of $1.7 million or 6.0%, primarily driven by the opening of five new restaurants in 2021 and two new restaurants during the two quarters ended June 26, 2022 as well as an increase in repair and maintenance and insurance expenses, offset by a reduction in utility and uniform costs.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General and Administrative Expenses</w:t>
      </w:r>
    </w:p>
    <w:p>
      <w:pPr>
        <w:spacing w:after="0" w:line="25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w:t>
      </w:r>
    </w:p>
    <w:p>
      <w:pPr>
        <w:spacing w:after="0" w:line="204"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General and administrative expenses for the quarter ended June 26, 2022 were $15.4 million compared to $12.2 million for the quarter ended June 27, 2021, an increase of $3.3 million or 26.9%. This increase was primarily driven by increases in equity-based compensation of $3.4 million, insurance and software licensing fees, partially offset by a decrease in variable-based compensation expense.</w:t>
      </w:r>
    </w:p>
    <w:p>
      <w:pPr>
        <w:spacing w:after="0" w:line="20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General and administrative expenses for the two quarters ended June 26, 2022 were $ 31.1 million compared to $24.0 million for the two quarters ended June 27, 2021, an increase of $ 7.1 million or 29.7%. This increase was primarily driven by an increase in equity-based compensation of $6.7 million. The remainder of the increase is related to a $0.7 million increase in transaction-related fees and expenses, consisting primarily of certain professional fees and an increase in software licensing fees, partially offset by a decrease in variable-based compensation expense.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Pre-Opening Expenses</w:t>
      </w:r>
    </w:p>
    <w:p>
      <w:pPr>
        <w:spacing w:after="0" w:line="2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Pre-opening expenses consist primarily of occupancy expenses, which represent rent expense recognized during the period between the date of possession of the restaurant facility and the restaurant opening date, wages, travel for the opening team and other supporting team members, food, beverage, and the initial stocking of operating supplies.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initially experience higher pre-opening expenses than our established geographic market areas, such as the Chicagoland area, where we have greater economies of scale and incur lower travel and lodging costs for our training team.</w:t>
      </w:r>
    </w:p>
    <w:p>
      <w:pPr>
        <w:spacing w:after="0" w:line="211" w:lineRule="exact"/>
        <w:rPr>
          <w:sz w:val="20"/>
          <w:szCs w:val="20"/>
          <w:color w:val="auto"/>
        </w:rPr>
      </w:pPr>
    </w:p>
    <w:p>
      <w:pPr>
        <w:jc w:val="both"/>
        <w:ind w:right="40"/>
        <w:spacing w:after="0" w:line="265" w:lineRule="auto"/>
        <w:rPr>
          <w:sz w:val="20"/>
          <w:szCs w:val="20"/>
          <w:color w:val="auto"/>
        </w:rPr>
      </w:pPr>
      <w:r>
        <w:rPr>
          <w:rFonts w:ascii="Arial" w:cs="Arial" w:eastAsia="Arial" w:hAnsi="Arial"/>
          <w:sz w:val="18"/>
          <w:szCs w:val="18"/>
          <w:color w:val="auto"/>
        </w:rPr>
        <w:t>Pre-opening expenses for the quarter ended June 26, 2022 were $0.4 million compared to $0.7 million for the quarter ended June 27, 2021, a decrease of $0.2 million or 37.0%. This decrease was due to the timing and geographic location of restaurant openings in the second quarter of 2022 versus 2021.</w:t>
      </w:r>
    </w:p>
    <w:p>
      <w:pPr>
        <w:spacing w:after="0" w:line="200" w:lineRule="exact"/>
        <w:rPr>
          <w:sz w:val="20"/>
          <w:szCs w:val="20"/>
          <w:color w:val="auto"/>
        </w:rPr>
      </w:pPr>
    </w:p>
    <w:p>
      <w:pPr>
        <w:jc w:val="both"/>
        <w:ind w:right="60"/>
        <w:spacing w:after="0" w:line="265" w:lineRule="auto"/>
        <w:rPr>
          <w:sz w:val="20"/>
          <w:szCs w:val="20"/>
          <w:color w:val="auto"/>
        </w:rPr>
      </w:pPr>
      <w:r>
        <w:rPr>
          <w:rFonts w:ascii="Arial" w:cs="Arial" w:eastAsia="Arial" w:hAnsi="Arial"/>
          <w:sz w:val="18"/>
          <w:szCs w:val="18"/>
          <w:color w:val="auto"/>
        </w:rPr>
        <w:t>Pre-opening expenses for the two quarters ended June 26, 2022 were $1.0 million compared to $2.0 million for the two quarters ended June 27, 2021, a decrease of $1.0 million or 50.1%. This decrease was due to the timing and geographic location of restaurant openings in the first two quarters of 2022 versus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Depreciation and Amortization</w:t>
      </w:r>
    </w:p>
    <w:p>
      <w:pPr>
        <w:spacing w:after="0" w:line="25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Depreciation and amortization expenses consist of the depreciation of fixed assets, including leasehold improvements, fixtures and equipment and the amortization of definite-lived intangible assets, which are primarily comprised of recipes.</w:t>
      </w:r>
    </w:p>
    <w:p>
      <w:pPr>
        <w:spacing w:after="0" w:line="18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Depreciation and amortization expense for the quarter ended June 26, 2022 was $5.3 million compared to $6.4 million for the quarter ended June 27, 2021, a decrease of $1.1 million or 17.3%. This decrease was primarily attributable to an expired non-compete intangible asset, partially offset by incremental depreciation of capital expenditures related to the opening of four new restaurants in quarters two through four of 2021 and two new restaurants during the quarter ended June 26, 2022.</w:t>
      </w:r>
    </w:p>
    <w:p>
      <w:pPr>
        <w:spacing w:after="0" w:line="20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Depreciation and amortization expense for the two quarters ended June 26, 2022 was $10.5 million compared to $12.7 million for the two quarters ended June 27, 2021, a decrease of $2.2 million or 17.3%. This decrease was primarily attributable to an expired non-compete intangible asset, partially offset by incremental depreciation of capital expenditures related to the opening of five new restaurants in 2021 and two new restaurants during the two quarters ended June 26, 2022.</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Equity Method Investment</w:t>
      </w:r>
    </w:p>
    <w:p>
      <w:pPr>
        <w:spacing w:after="0" w:line="258"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Net income attributable to equity method investment consists of a 50% interest in C&amp;O, which runs a single restaurant located within the Chicagoland market. We account for the investment and financial results in the consolidated financial statements under the equity method of accounting as we have significant influence but do not have control.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equity method investment was $0.3 million for each of the quarters ended June 26, 2022 and June 27, 2021.</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equity method investment was $0.4 million for each of the two quarters ended June 26, 2022 and June 27, 2021.</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Loss (Income), Net</w:t>
      </w:r>
    </w:p>
    <w:p>
      <w:pPr>
        <w:spacing w:after="0" w:line="244"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Other income, net includes among other items, income resulting from discounts received for timely filing of sales tax returns, management fee income associated with our investment in C&amp;O, trading gains or losses on our deferred compensation plan and gains or losses on asset disposals.</w:t>
      </w:r>
    </w:p>
    <w:p>
      <w:pPr>
        <w:spacing w:after="0" w:line="200" w:lineRule="exact"/>
        <w:rPr>
          <w:sz w:val="20"/>
          <w:szCs w:val="20"/>
          <w:color w:val="auto"/>
        </w:rPr>
      </w:pPr>
    </w:p>
    <w:p>
      <w:pPr>
        <w:jc w:val="both"/>
        <w:ind w:right="40"/>
        <w:spacing w:after="0" w:line="265" w:lineRule="auto"/>
        <w:rPr>
          <w:sz w:val="20"/>
          <w:szCs w:val="20"/>
          <w:color w:val="auto"/>
        </w:rPr>
      </w:pPr>
      <w:r>
        <w:rPr>
          <w:rFonts w:ascii="Arial" w:cs="Arial" w:eastAsia="Arial" w:hAnsi="Arial"/>
          <w:sz w:val="18"/>
          <w:szCs w:val="18"/>
          <w:color w:val="auto"/>
        </w:rPr>
        <w:t>Other loss, net for the quarter ended June 26, 2022 was $0.1 million compared to other income, net of $0.4 million for the quarter ended June 27, 2021 a decrease of $0.4 million or 114.1%. This decrease was primarily due to an increase in trading losses in the rabbi trust used to fund our deferred compensation plan.</w:t>
      </w:r>
    </w:p>
    <w:p>
      <w:pPr>
        <w:spacing w:after="0" w:line="200" w:lineRule="exact"/>
        <w:rPr>
          <w:sz w:val="20"/>
          <w:szCs w:val="20"/>
          <w:color w:val="auto"/>
        </w:rPr>
      </w:pPr>
    </w:p>
    <w:p>
      <w:pPr>
        <w:jc w:val="both"/>
        <w:ind w:right="220"/>
        <w:spacing w:after="0" w:line="265" w:lineRule="auto"/>
        <w:rPr>
          <w:sz w:val="20"/>
          <w:szCs w:val="20"/>
          <w:color w:val="auto"/>
        </w:rPr>
      </w:pPr>
      <w:r>
        <w:rPr>
          <w:rFonts w:ascii="Arial" w:cs="Arial" w:eastAsia="Arial" w:hAnsi="Arial"/>
          <w:sz w:val="18"/>
          <w:szCs w:val="18"/>
          <w:color w:val="auto"/>
        </w:rPr>
        <w:t>Other income, net for the two quarters ended June 26, 2022 was $0.1 million compared to $0.8 million for the two quarters ended June 27, 2021 a decrease of $0.7 million or 86.9%. This decrease was primarily due to a increase in trading losses in the rabbi trust used to fund our deferred compensation plan.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Expense</w:t>
      </w:r>
    </w:p>
    <w:p>
      <w:pPr>
        <w:spacing w:after="0" w:line="25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Interest expense primarily consists of interest and fees on our credit facilities and the amortization expense for debt discount and deferred issuance costs.</w:t>
      </w:r>
    </w:p>
    <w:p>
      <w:pPr>
        <w:spacing w:after="0" w:line="185"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Interest expense for the quarter ended June 26, 2022 was $6.1 million compared to $10.7 million for the quarter ended June 27, 2021, a decrease of $4.6 million or 43.1%. This decrease was primarily driven by the payoff of the Second Term B-3 Loans with the use of IPO proceeds during the year ended December 26, 2021 and decreased borrowings on the First Lien Term B-3 Loans during the quarter ended June 26, 2022. There were no outstanding borrowings under the Revolving Facility during the quarter ended June 26, 2022 or June 27, 2021.</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Interest expense for the two quarters ended June 26, 2022 was $12.2 million compared to $ 21.4 million for the two quarters ended June 27, 2021, a decrease of $9.2 million or 43.1%. This decrease was primarily driven by the payoff of the Second Term B-3 Loans with the use of IPO proceeds during the year ended December 26, 2021 and decreased borrowings on the First Lien Term B-3 Loans during the quarter ended June 26, 2022. There were no outstanding borrowings under the Revolving Facility during the two quarters ended June 26, 2022 or June 27,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 Liability Adjustment</w:t>
      </w:r>
    </w:p>
    <w:p>
      <w:pPr>
        <w:spacing w:after="0" w:line="244"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In connection with the IPO, we entered into a Tax Receivable Agreement liability with certain members of Portillo's OpCo that provides for the payment by us of 85% of the amount of tax benefits, if any, that Portillo's Inc. actually realizes or in some cases is deemed to realize as a result of certain transactions.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The tax receivable agreement liability adjustment was $1.8 million for the quarter and two quarters ended June 26, 2022 related to a remeasurement due to option exercises. There was no tax receivable agreement adjustment for the quarter and two quarters ended June 27,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58"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Portillo's OpCo is treated as a partnership for U.S. federal, as well as state and local income tax purposes and is not subject to taxes. Rather, any taxable income or loss generated by Portillo's OpCo is passed through to and included in the taxable income or loss of its members on a pro rata basis. As of the IPO, we are subject to U.S. federal, as well as state and local income taxes with respect to our allocable share of any taxable income or loss of Portillo's OpCo, as well as any stand-alone income or loss generated by Portillo's Inc.</w:t>
      </w:r>
    </w:p>
    <w:p>
      <w:pPr>
        <w:spacing w:after="0" w:line="20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Income tax expense for the quarter ended June 26, 2022 was $2.3 million. Our effective income tax rate for the quarter ended June 26, 2022 was 17.9%. There was no income tax expense for the quarter ended June 27, 2021.</w:t>
      </w:r>
    </w:p>
    <w:p>
      <w:pPr>
        <w:spacing w:after="0" w:line="18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Income tax expense for the two quarters ended June 26, 2022 was $2.5 million. Our effective income tax rate for the two quarters ended June 26, 2022 was 18.1%. There was no income tax expense for the two quarters ended June 27, 2021.</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Non-controlling Interests</w:t>
      </w:r>
    </w:p>
    <w:p>
      <w:pPr>
        <w:spacing w:after="0" w:line="2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the IPO, we became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income is allocated to non-controlling interests to reflect the entitlement of the pre-IPO LLC Members who retained their equity ownership in Portillo's OpCo (the "pre-IPO LLC Members"). The weighted average ownership percentages for the applicable reporting periods are used to attribute net income (loss) to Portillo's Inc. and the non-controlling interest holders.</w:t>
      </w:r>
    </w:p>
    <w:p>
      <w:pPr>
        <w:spacing w:after="0" w:line="21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Net income attributable to non-controlling interests for the quarter ended June 26, 2022 was $5.6 million. There was no such income for the quarter ended June 27, 2021.</w:t>
      </w:r>
    </w:p>
    <w:p>
      <w:pPr>
        <w:spacing w:after="0" w:line="1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Net income attributable to non-controlling interests for the two quarters ended June 26, 2022 was $6.0 million. There was no such income for the two quarters ended June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Key Performance Indicators and Non-GAAP Financial Measures</w:t>
      </w:r>
    </w:p>
    <w:p>
      <w:pPr>
        <w:spacing w:after="0" w:line="25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to the GAAP measures presented in our financial statements, we use the following key performance indicators and non-GAAP financial measures to evaluate our business, measure our performance, develop financial forecasts and make strategic decisions. These key measures include new restaurant openings, average unit volume ("AUV"), same-restaurant sales,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gridSpan w:val="5"/>
          </w:tcPr>
          <w:p>
            <w:pPr>
              <w:ind w:left="96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19"/>
                <w:szCs w:val="19"/>
                <w:color w:val="auto"/>
              </w:rPr>
            </w:pPr>
          </w:p>
        </w:tc>
        <w:tc>
          <w:tcPr>
            <w:tcW w:w="32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4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26, 2022</w:t>
            </w:r>
          </w:p>
        </w:tc>
        <w:tc>
          <w:tcPr>
            <w:tcW w:w="200" w:type="dxa"/>
            <w:vAlign w:val="bottom"/>
          </w:tcPr>
          <w:p>
            <w:pPr>
              <w:spacing w:after="0"/>
              <w:rPr>
                <w:sz w:val="21"/>
                <w:szCs w:val="21"/>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27, 2021</w:t>
            </w:r>
          </w:p>
        </w:tc>
        <w:tc>
          <w:tcPr>
            <w:tcW w:w="200" w:type="dxa"/>
            <w:vAlign w:val="bottom"/>
          </w:tcPr>
          <w:p>
            <w:pPr>
              <w:spacing w:after="0"/>
              <w:rPr>
                <w:sz w:val="21"/>
                <w:szCs w:val="21"/>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26, 2022</w:t>
            </w:r>
          </w:p>
        </w:tc>
        <w:tc>
          <w:tcPr>
            <w:tcW w:w="200" w:type="dxa"/>
            <w:vAlign w:val="bottom"/>
          </w:tcPr>
          <w:p>
            <w:pPr>
              <w:spacing w:after="0"/>
              <w:rPr>
                <w:sz w:val="21"/>
                <w:szCs w:val="21"/>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27, 2021</w:t>
            </w:r>
          </w:p>
        </w:tc>
      </w:tr>
      <w:tr>
        <w:trPr>
          <w:trHeight w:val="239"/>
        </w:trPr>
        <w:tc>
          <w:tcPr>
            <w:tcW w:w="43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Restaurants (a)</w:t>
            </w:r>
          </w:p>
        </w:tc>
        <w:tc>
          <w:tcPr>
            <w:tcW w:w="200" w:type="dxa"/>
            <w:vAlign w:val="bottom"/>
            <w:tcBorders>
              <w:top w:val="single" w:sz="8" w:color="auto"/>
            </w:tcBorders>
            <w:shd w:val="clear" w:color="auto" w:fill="DBDBDB"/>
          </w:tcPr>
          <w:p>
            <w:pPr>
              <w:spacing w:after="0"/>
              <w:rPr>
                <w:sz w:val="20"/>
                <w:szCs w:val="20"/>
                <w:color w:val="auto"/>
              </w:rPr>
            </w:pP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spacing w:after="0"/>
              <w:rPr>
                <w:sz w:val="20"/>
                <w:szCs w:val="20"/>
                <w:color w:val="auto"/>
              </w:rPr>
            </w:pP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spacing w:after="0"/>
              <w:rPr>
                <w:sz w:val="20"/>
                <w:szCs w:val="20"/>
                <w:color w:val="auto"/>
              </w:rPr>
            </w:pP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spacing w:after="0"/>
              <w:rPr>
                <w:sz w:val="20"/>
                <w:szCs w:val="20"/>
                <w:color w:val="auto"/>
              </w:rPr>
            </w:pP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w:t>
            </w:r>
          </w:p>
        </w:tc>
      </w:tr>
      <w:tr>
        <w:trPr>
          <w:trHeight w:val="234"/>
        </w:trPr>
        <w:tc>
          <w:tcPr>
            <w:tcW w:w="4300" w:type="dxa"/>
            <w:vAlign w:val="bottom"/>
          </w:tcPr>
          <w:p>
            <w:pPr>
              <w:ind w:left="20"/>
              <w:spacing w:after="0"/>
              <w:rPr>
                <w:sz w:val="20"/>
                <w:szCs w:val="20"/>
                <w:color w:val="auto"/>
              </w:rPr>
            </w:pPr>
            <w:r>
              <w:rPr>
                <w:rFonts w:ascii="Arial" w:cs="Arial" w:eastAsia="Arial" w:hAnsi="Arial"/>
                <w:sz w:val="16"/>
                <w:szCs w:val="16"/>
                <w:color w:val="auto"/>
              </w:rPr>
              <w:t>AUV (in millions) (a)</w:t>
            </w:r>
          </w:p>
        </w:tc>
        <w:tc>
          <w:tcPr>
            <w:tcW w:w="2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7.9</w:t>
            </w:r>
          </w:p>
        </w:tc>
      </w:tr>
      <w:tr>
        <w:trPr>
          <w:trHeight w:val="249"/>
        </w:trPr>
        <w:tc>
          <w:tcPr>
            <w:tcW w:w="4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Change in same-restaurant sales (b)</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12.7 %</w:t>
            </w:r>
          </w:p>
        </w:tc>
      </w:tr>
      <w:tr>
        <w:trPr>
          <w:trHeight w:val="234"/>
        </w:trPr>
        <w:tc>
          <w:tcPr>
            <w:tcW w:w="4300" w:type="dxa"/>
            <w:vAlign w:val="bottom"/>
          </w:tcPr>
          <w:p>
            <w:pPr>
              <w:ind w:left="20"/>
              <w:spacing w:after="0"/>
              <w:rPr>
                <w:sz w:val="20"/>
                <w:szCs w:val="20"/>
                <w:color w:val="auto"/>
              </w:rPr>
            </w:pPr>
            <w:r>
              <w:rPr>
                <w:rFonts w:ascii="Arial" w:cs="Arial" w:eastAsia="Arial" w:hAnsi="Arial"/>
                <w:sz w:val="16"/>
                <w:szCs w:val="16"/>
                <w:color w:val="auto"/>
              </w:rPr>
              <w:t>Adjusted EBITDA (in thousands)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27,613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32,539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45,244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51,073</w:t>
            </w:r>
          </w:p>
        </w:tc>
      </w:tr>
      <w:tr>
        <w:trPr>
          <w:trHeight w:val="249"/>
        </w:trPr>
        <w:tc>
          <w:tcPr>
            <w:tcW w:w="4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Margin</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19.8 %</w:t>
            </w:r>
          </w:p>
        </w:tc>
      </w:tr>
      <w:tr>
        <w:trPr>
          <w:trHeight w:val="234"/>
        </w:trPr>
        <w:tc>
          <w:tcPr>
            <w:tcW w:w="4300" w:type="dxa"/>
            <w:vAlign w:val="bottom"/>
          </w:tcPr>
          <w:p>
            <w:pPr>
              <w:ind w:left="20"/>
              <w:spacing w:after="0"/>
              <w:rPr>
                <w:sz w:val="20"/>
                <w:szCs w:val="20"/>
                <w:color w:val="auto"/>
              </w:rPr>
            </w:pPr>
            <w:r>
              <w:rPr>
                <w:rFonts w:ascii="Arial" w:cs="Arial" w:eastAsia="Arial" w:hAnsi="Arial"/>
                <w:sz w:val="16"/>
                <w:szCs w:val="16"/>
                <w:color w:val="auto"/>
              </w:rPr>
              <w:t>Restaurant-Level Adjusted EBITDA (in thousands)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38,386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43,065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66,369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72,826</w:t>
            </w:r>
          </w:p>
        </w:tc>
      </w:tr>
      <w:tr>
        <w:trPr>
          <w:trHeight w:val="249"/>
        </w:trPr>
        <w:tc>
          <w:tcPr>
            <w:tcW w:w="4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30.6 %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23.3 %</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28.2 %</w:t>
            </w:r>
          </w:p>
        </w:tc>
      </w:tr>
    </w:tbl>
    <w:p>
      <w:pPr>
        <w:spacing w:after="0" w:line="80" w:lineRule="exact"/>
        <w:rPr>
          <w:sz w:val="20"/>
          <w:szCs w:val="20"/>
          <w:color w:val="auto"/>
        </w:rPr>
      </w:pPr>
    </w:p>
    <w:p>
      <w:pPr>
        <w:ind w:right="60" w:firstLine="7"/>
        <w:spacing w:after="0" w:line="257" w:lineRule="auto"/>
        <w:tabs>
          <w:tab w:leader="none" w:pos="24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 restaurant that is owned by C&amp;O, of which Portillo’s owns 50% of the equity, as described in Note 2. Summary Of Significant Accounting Policies in the notes to the unaudited condensed consolidated financial statements. AUVs for the quarters ended June 26, 2022 and June 27, 2021 represent AUVs for the twelve months ended June 26, 2022 and June 27, 2021, respectively.</w:t>
      </w:r>
    </w:p>
    <w:p>
      <w:pPr>
        <w:spacing w:after="0" w:line="2" w:lineRule="exact"/>
        <w:rPr>
          <w:rFonts w:ascii="Arial" w:cs="Arial" w:eastAsia="Arial" w:hAnsi="Arial"/>
          <w:sz w:val="16"/>
          <w:szCs w:val="16"/>
          <w:color w:val="auto"/>
        </w:rPr>
      </w:pPr>
    </w:p>
    <w:p>
      <w:pPr>
        <w:ind w:left="240" w:hanging="233"/>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a restaurant that is owned by C&amp;O of which Portillo’s owns 50% of the equity.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 in Same-Restaurant Sales</w:t>
      </w:r>
    </w:p>
    <w:p>
      <w:pPr>
        <w:spacing w:after="0" w:line="2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change in same-restaurant sales is the percentage change in year-over-year revenue (excluding gift card breakage) for the comparable restaurant base, which is defined as the number of restaurants open for at least 24 full fiscal periods (the “Comparable Restaurant Base”). For the two quarters ended June 26, 2022 and June 27, 2021, there were 61 and 59 restaurants in our Comparable Restaurant Base, respectively. The Comparable Restaurant Base excludes a restaurant that is owned by C&amp;O, of which Portillo’s owns 50% of the equity, as described in Note 2. Summary Of Significant Accounting Policies in the notes to the unaudited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Average Unit Volume ("AUV")</w:t>
      </w:r>
    </w:p>
    <w:p>
      <w:pPr>
        <w:spacing w:after="0" w:line="25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AUV is the total revenue (excluding gift card breakage) recognized in the Comparable Restaurant Base, including a restaurant that is owned by C&amp;O, divided by the number of restaurants in the Comparable Restaurant Base by period.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Non-GAAP Financial Measures</w:t>
      </w:r>
    </w:p>
    <w:p>
      <w:pPr>
        <w:spacing w:after="0" w:line="2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To supplement the consolidated financial statements, which are prepared and presented in accordance with GAAP, we use the 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Adjusted EBITDA and Adjusted EBITDA Margin</w:t>
      </w:r>
    </w:p>
    <w:p>
      <w:pPr>
        <w:spacing w:after="0" w:line="25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Adjusted EBITDA represents net income before depreciation and amortization, interest expense and income taxes, adjusted for the impact of certain non-cash and other items that we do not consider in our evaluation of ongoing core operating performance as identified in the reconciliation of net income, the most directly comparable GAAP measure to Adjusted EBITDA. Adjusted EBITDA Margin represents Adjusted EBITDA as a percentage of total revenues.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use Adjusted EBITDA and Adjusted EBITDA Margin (i) to evaluate our operating results and the effectiveness of our business strategies,</w:t>
      </w:r>
    </w:p>
    <w:p>
      <w:pPr>
        <w:spacing w:after="0" w:line="26" w:lineRule="exact"/>
        <w:rPr>
          <w:sz w:val="20"/>
          <w:szCs w:val="20"/>
          <w:color w:val="auto"/>
        </w:rPr>
      </w:pPr>
    </w:p>
    <w:p>
      <w:pPr>
        <w:ind w:right="940" w:firstLine="7"/>
        <w:spacing w:after="0" w:line="261" w:lineRule="auto"/>
        <w:tabs>
          <w:tab w:leader="none" w:pos="24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internally as benchmarks to compare our performance to that of our competitors and (iii) as factors in evaluating management’s performance when determining incentive compensation.</w:t>
      </w:r>
    </w:p>
    <w:p>
      <w:pPr>
        <w:spacing w:after="0" w:line="20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We believe that Adjusted EBITDA and Adjusted EBITDA Margin are important measures of operating performance because they eliminate the impact of expenses that do not relate to our core operating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to Adjusted EBITDA and Adjusted EBITDA margin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gridSpan w:val="5"/>
          </w:tcPr>
          <w:p>
            <w:pPr>
              <w:ind w:left="96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Pr>
          <w:p>
            <w:pPr>
              <w:spacing w:after="0"/>
              <w:rPr>
                <w:sz w:val="19"/>
                <w:szCs w:val="19"/>
                <w:color w:val="auto"/>
              </w:rPr>
            </w:pPr>
          </w:p>
        </w:tc>
        <w:tc>
          <w:tcPr>
            <w:tcW w:w="322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4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26, 2022</w:t>
            </w:r>
          </w:p>
        </w:tc>
        <w:tc>
          <w:tcPr>
            <w:tcW w:w="200" w:type="dxa"/>
            <w:vAlign w:val="bottom"/>
          </w:tcPr>
          <w:p>
            <w:pPr>
              <w:spacing w:after="0"/>
              <w:rPr>
                <w:sz w:val="21"/>
                <w:szCs w:val="21"/>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27, 2021</w:t>
            </w:r>
          </w:p>
        </w:tc>
        <w:tc>
          <w:tcPr>
            <w:tcW w:w="220" w:type="dxa"/>
            <w:vAlign w:val="bottom"/>
          </w:tcPr>
          <w:p>
            <w:pPr>
              <w:spacing w:after="0"/>
              <w:rPr>
                <w:sz w:val="21"/>
                <w:szCs w:val="21"/>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26, 2022</w:t>
            </w:r>
          </w:p>
        </w:tc>
        <w:tc>
          <w:tcPr>
            <w:tcW w:w="200" w:type="dxa"/>
            <w:vAlign w:val="bottom"/>
          </w:tcPr>
          <w:p>
            <w:pPr>
              <w:spacing w:after="0"/>
              <w:rPr>
                <w:sz w:val="21"/>
                <w:szCs w:val="21"/>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27, 2021</w:t>
            </w:r>
          </w:p>
        </w:tc>
      </w:tr>
      <w:tr>
        <w:trPr>
          <w:trHeight w:val="239"/>
        </w:trPr>
        <w:tc>
          <w:tcPr>
            <w:tcW w:w="4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10,756</w:t>
            </w:r>
          </w:p>
        </w:tc>
        <w:tc>
          <w:tcPr>
            <w:tcW w:w="12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13,749</w:t>
            </w:r>
          </w:p>
        </w:tc>
        <w:tc>
          <w:tcPr>
            <w:tcW w:w="100" w:type="dxa"/>
            <w:vAlign w:val="bottom"/>
            <w:tcBorders>
              <w:top w:val="single" w:sz="8" w:color="DBDBDB"/>
            </w:tcBorders>
            <w:shd w:val="clear" w:color="auto" w:fill="DBDBDB"/>
          </w:tcPr>
          <w:p>
            <w:pPr>
              <w:spacing w:after="0"/>
              <w:rPr>
                <w:sz w:val="20"/>
                <w:szCs w:val="20"/>
                <w:color w:val="auto"/>
              </w:rPr>
            </w:pPr>
          </w:p>
        </w:tc>
        <w:tc>
          <w:tcPr>
            <w:tcW w:w="22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11,306</w:t>
            </w:r>
          </w:p>
        </w:tc>
        <w:tc>
          <w:tcPr>
            <w:tcW w:w="120" w:type="dxa"/>
            <w:vAlign w:val="bottom"/>
            <w:tcBorders>
              <w:top w:val="single" w:sz="8" w:color="auto"/>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13,873</w:t>
            </w:r>
          </w:p>
        </w:tc>
      </w:tr>
      <w:tr>
        <w:trPr>
          <w:trHeight w:val="234"/>
        </w:trPr>
        <w:tc>
          <w:tcPr>
            <w:tcW w:w="42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5,309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6,420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10,514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12,709</w:t>
            </w:r>
          </w:p>
        </w:tc>
      </w:tr>
      <w:tr>
        <w:trPr>
          <w:trHeight w:val="249"/>
        </w:trPr>
        <w:tc>
          <w:tcPr>
            <w:tcW w:w="4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6,097</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10,712</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12,196</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21,441</w:t>
            </w:r>
          </w:p>
        </w:tc>
      </w:tr>
      <w:tr>
        <w:trPr>
          <w:trHeight w:val="235"/>
        </w:trPr>
        <w:tc>
          <w:tcPr>
            <w:tcW w:w="42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2,340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2,505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42"/>
        </w:trPr>
        <w:tc>
          <w:tcPr>
            <w:tcW w:w="4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EBITDA</w:t>
            </w:r>
          </w:p>
        </w:tc>
        <w:tc>
          <w:tcPr>
            <w:tcW w:w="200" w:type="dxa"/>
            <w:vAlign w:val="bottom"/>
            <w:tcBorders>
              <w:top w:val="single" w:sz="8" w:color="auto"/>
            </w:tcBorders>
            <w:shd w:val="clear" w:color="auto" w:fill="DBDBDB"/>
          </w:tcPr>
          <w:p>
            <w:pPr>
              <w:spacing w:after="0"/>
              <w:rPr>
                <w:sz w:val="21"/>
                <w:szCs w:val="21"/>
                <w:color w:val="auto"/>
              </w:rPr>
            </w:pPr>
          </w:p>
        </w:tc>
        <w:tc>
          <w:tcPr>
            <w:tcW w:w="14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24,502</w:t>
            </w:r>
          </w:p>
        </w:tc>
        <w:tc>
          <w:tcPr>
            <w:tcW w:w="120" w:type="dxa"/>
            <w:vAlign w:val="bottom"/>
            <w:tcBorders>
              <w:top w:val="single" w:sz="8" w:color="DBDBDB"/>
            </w:tcBorders>
            <w:shd w:val="clear" w:color="auto" w:fill="DBDBDB"/>
          </w:tcPr>
          <w:p>
            <w:pPr>
              <w:spacing w:after="0"/>
              <w:rPr>
                <w:sz w:val="21"/>
                <w:szCs w:val="21"/>
                <w:color w:val="auto"/>
              </w:rPr>
            </w:pPr>
          </w:p>
        </w:tc>
        <w:tc>
          <w:tcPr>
            <w:tcW w:w="200" w:type="dxa"/>
            <w:vAlign w:val="bottom"/>
            <w:tcBorders>
              <w:top w:val="single" w:sz="8" w:color="auto"/>
            </w:tcBorders>
            <w:shd w:val="clear" w:color="auto" w:fill="DBDBDB"/>
          </w:tcPr>
          <w:p>
            <w:pPr>
              <w:spacing w:after="0"/>
              <w:rPr>
                <w:sz w:val="21"/>
                <w:szCs w:val="21"/>
                <w:color w:val="auto"/>
              </w:rPr>
            </w:pPr>
          </w:p>
        </w:tc>
        <w:tc>
          <w:tcPr>
            <w:tcW w:w="14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30,881</w:t>
            </w:r>
          </w:p>
        </w:tc>
        <w:tc>
          <w:tcPr>
            <w:tcW w:w="100" w:type="dxa"/>
            <w:vAlign w:val="bottom"/>
            <w:tcBorders>
              <w:top w:val="single" w:sz="8" w:color="DBDBDB"/>
            </w:tcBorders>
            <w:shd w:val="clear" w:color="auto" w:fill="DBDBDB"/>
          </w:tcPr>
          <w:p>
            <w:pPr>
              <w:spacing w:after="0"/>
              <w:rPr>
                <w:sz w:val="21"/>
                <w:szCs w:val="21"/>
                <w:color w:val="auto"/>
              </w:rPr>
            </w:pPr>
          </w:p>
        </w:tc>
        <w:tc>
          <w:tcPr>
            <w:tcW w:w="220" w:type="dxa"/>
            <w:vAlign w:val="bottom"/>
            <w:tcBorders>
              <w:top w:val="single" w:sz="8" w:color="auto"/>
            </w:tcBorders>
            <w:shd w:val="clear" w:color="auto" w:fill="DBDBDB"/>
          </w:tcPr>
          <w:p>
            <w:pPr>
              <w:spacing w:after="0"/>
              <w:rPr>
                <w:sz w:val="21"/>
                <w:szCs w:val="21"/>
                <w:color w:val="auto"/>
              </w:rPr>
            </w:pPr>
          </w:p>
        </w:tc>
        <w:tc>
          <w:tcPr>
            <w:tcW w:w="144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36,521</w:t>
            </w:r>
          </w:p>
        </w:tc>
        <w:tc>
          <w:tcPr>
            <w:tcW w:w="120" w:type="dxa"/>
            <w:vAlign w:val="bottom"/>
            <w:tcBorders>
              <w:top w:val="single" w:sz="8" w:color="DBDBDB"/>
            </w:tcBorders>
            <w:shd w:val="clear" w:color="auto" w:fill="DBDBDB"/>
          </w:tcPr>
          <w:p>
            <w:pPr>
              <w:spacing w:after="0"/>
              <w:rPr>
                <w:sz w:val="21"/>
                <w:szCs w:val="21"/>
                <w:color w:val="auto"/>
              </w:rPr>
            </w:pPr>
          </w:p>
        </w:tc>
        <w:tc>
          <w:tcPr>
            <w:tcW w:w="200" w:type="dxa"/>
            <w:vAlign w:val="bottom"/>
            <w:tcBorders>
              <w:top w:val="single" w:sz="8" w:color="auto"/>
            </w:tcBorders>
            <w:shd w:val="clear" w:color="auto" w:fill="DBDBDB"/>
          </w:tcPr>
          <w:p>
            <w:pPr>
              <w:spacing w:after="0"/>
              <w:rPr>
                <w:sz w:val="21"/>
                <w:szCs w:val="21"/>
                <w:color w:val="auto"/>
              </w:rPr>
            </w:pPr>
          </w:p>
        </w:tc>
        <w:tc>
          <w:tcPr>
            <w:tcW w:w="14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48,023</w:t>
            </w:r>
          </w:p>
        </w:tc>
      </w:tr>
      <w:tr>
        <w:trPr>
          <w:trHeight w:val="234"/>
        </w:trPr>
        <w:tc>
          <w:tcPr>
            <w:tcW w:w="4260" w:type="dxa"/>
            <w:vAlign w:val="bottom"/>
          </w:tcPr>
          <w:p>
            <w:pPr>
              <w:ind w:left="20"/>
              <w:spacing w:after="0"/>
              <w:rPr>
                <w:sz w:val="20"/>
                <w:szCs w:val="20"/>
                <w:color w:val="auto"/>
              </w:rPr>
            </w:pPr>
            <w:r>
              <w:rPr>
                <w:rFonts w:ascii="Arial" w:cs="Arial" w:eastAsia="Arial" w:hAnsi="Arial"/>
                <w:sz w:val="16"/>
                <w:szCs w:val="16"/>
                <w:color w:val="auto"/>
              </w:rPr>
              <w:t>Deferred rent (1)</w:t>
            </w: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1,946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1,594</w:t>
            </w:r>
          </w:p>
        </w:tc>
      </w:tr>
      <w:tr>
        <w:trPr>
          <w:trHeight w:val="249"/>
        </w:trPr>
        <w:tc>
          <w:tcPr>
            <w:tcW w:w="4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Equity-based compensation</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3,864</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7,649</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273</w:t>
            </w:r>
          </w:p>
        </w:tc>
      </w:tr>
      <w:tr>
        <w:trPr>
          <w:trHeight w:val="234"/>
        </w:trPr>
        <w:tc>
          <w:tcPr>
            <w:tcW w:w="4260" w:type="dxa"/>
            <w:vAlign w:val="bottom"/>
          </w:tcPr>
          <w:p>
            <w:pPr>
              <w:ind w:left="20"/>
              <w:spacing w:after="0"/>
              <w:rPr>
                <w:sz w:val="20"/>
                <w:szCs w:val="20"/>
                <w:color w:val="auto"/>
              </w:rPr>
            </w:pPr>
            <w:r>
              <w:rPr>
                <w:rFonts w:ascii="Arial" w:cs="Arial" w:eastAsia="Arial" w:hAnsi="Arial"/>
                <w:sz w:val="16"/>
                <w:szCs w:val="16"/>
                <w:color w:val="auto"/>
              </w:rPr>
              <w:t>Consulting fees (2)</w:t>
            </w:r>
          </w:p>
        </w:tc>
        <w:tc>
          <w:tcPr>
            <w:tcW w:w="20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1,000</w:t>
            </w:r>
          </w:p>
        </w:tc>
      </w:tr>
      <w:tr>
        <w:trPr>
          <w:trHeight w:val="249"/>
        </w:trPr>
        <w:tc>
          <w:tcPr>
            <w:tcW w:w="4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loss (income) (3)</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132</w:t>
            </w:r>
          </w:p>
        </w:tc>
      </w:tr>
      <w:tr>
        <w:trPr>
          <w:trHeight w:val="234"/>
        </w:trPr>
        <w:tc>
          <w:tcPr>
            <w:tcW w:w="4260" w:type="dxa"/>
            <w:vAlign w:val="bottom"/>
          </w:tcPr>
          <w:p>
            <w:pPr>
              <w:ind w:left="20"/>
              <w:spacing w:after="0"/>
              <w:rPr>
                <w:sz w:val="20"/>
                <w:szCs w:val="20"/>
                <w:color w:val="auto"/>
              </w:rPr>
            </w:pPr>
            <w:r>
              <w:rPr>
                <w:rFonts w:ascii="Arial" w:cs="Arial" w:eastAsia="Arial" w:hAnsi="Arial"/>
                <w:sz w:val="16"/>
                <w:szCs w:val="16"/>
                <w:color w:val="auto"/>
              </w:rPr>
              <w:t>Transaction-related fees &amp; expenses (4)</w:t>
            </w: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51</w:t>
            </w:r>
          </w:p>
        </w:tc>
      </w:tr>
      <w:tr>
        <w:trPr>
          <w:trHeight w:val="243"/>
        </w:trPr>
        <w:tc>
          <w:tcPr>
            <w:tcW w:w="4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Tax Receivable Agreement liability adjustment (5)</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560" w:type="dxa"/>
            <w:vAlign w:val="bottom"/>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r>
      <w:tr>
        <w:trPr>
          <w:trHeight w:val="235"/>
        </w:trPr>
        <w:tc>
          <w:tcPr>
            <w:tcW w:w="42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27,613</w:t>
            </w:r>
          </w:p>
        </w:tc>
        <w:tc>
          <w:tcPr>
            <w:tcW w:w="120" w:type="dxa"/>
            <w:vAlign w:val="bottom"/>
            <w:tcBorders>
              <w:bottom w:val="single" w:sz="8" w:color="DBDBDB"/>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32,539</w:t>
            </w:r>
          </w:p>
        </w:tc>
        <w:tc>
          <w:tcPr>
            <w:tcW w:w="100" w:type="dxa"/>
            <w:vAlign w:val="bottom"/>
            <w:tcBorders>
              <w:bottom w:val="single" w:sz="8" w:color="DBDBDB"/>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45,244</w:t>
            </w:r>
          </w:p>
        </w:tc>
        <w:tc>
          <w:tcPr>
            <w:tcW w:w="1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51,073</w:t>
            </w:r>
          </w:p>
        </w:tc>
      </w:tr>
      <w:tr>
        <w:trPr>
          <w:trHeight w:val="267"/>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 Margin</w:t>
            </w:r>
          </w:p>
        </w:tc>
        <w:tc>
          <w:tcPr>
            <w:tcW w:w="200" w:type="dxa"/>
            <w:vAlign w:val="bottom"/>
            <w:tcBorders>
              <w:bottom w:val="single" w:sz="8" w:color="auto"/>
            </w:tcBorders>
            <w:shd w:val="clear" w:color="auto" w:fill="DBDBDB"/>
          </w:tcPr>
          <w:p>
            <w:pPr>
              <w:spacing w:after="0"/>
              <w:rPr>
                <w:sz w:val="22"/>
                <w:szCs w:val="22"/>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18.3 %</w:t>
            </w:r>
          </w:p>
        </w:tc>
        <w:tc>
          <w:tcPr>
            <w:tcW w:w="12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spacing w:after="0"/>
              <w:rPr>
                <w:sz w:val="22"/>
                <w:szCs w:val="22"/>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23.1 %</w:t>
            </w:r>
          </w:p>
        </w:tc>
        <w:tc>
          <w:tcPr>
            <w:tcW w:w="10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15.9 %</w:t>
            </w:r>
          </w:p>
        </w:tc>
        <w:tc>
          <w:tcPr>
            <w:tcW w:w="12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spacing w:after="0"/>
              <w:rPr>
                <w:sz w:val="22"/>
                <w:szCs w:val="22"/>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19.8 %</w:t>
            </w:r>
          </w:p>
        </w:tc>
      </w:tr>
      <w:tr>
        <w:trPr>
          <w:trHeight w:val="20"/>
        </w:trPr>
        <w:tc>
          <w:tcPr>
            <w:tcW w:w="42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difference between cash rent payments and the recognition of straight-line rent expense recognized over the lease term.</w:t>
      </w:r>
    </w:p>
    <w:p>
      <w:pPr>
        <w:spacing w:after="0" w:line="29" w:lineRule="exact"/>
        <w:rPr>
          <w:rFonts w:ascii="Arial" w:cs="Arial" w:eastAsia="Arial" w:hAnsi="Arial"/>
          <w:sz w:val="16"/>
          <w:szCs w:val="16"/>
          <w:color w:val="auto"/>
        </w:rPr>
      </w:pP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consulting fees related to our former owner.</w:t>
      </w:r>
    </w:p>
    <w:p>
      <w:pPr>
        <w:spacing w:after="0" w:line="7" w:lineRule="exact"/>
        <w:rPr>
          <w:rFonts w:ascii="Arial" w:cs="Arial" w:eastAsia="Arial" w:hAnsi="Arial"/>
          <w:sz w:val="16"/>
          <w:szCs w:val="16"/>
          <w:color w:val="auto"/>
        </w:rPr>
      </w:pPr>
    </w:p>
    <w:p>
      <w:pPr>
        <w:ind w:left="240" w:hanging="233"/>
        <w:spacing w:after="0" w:line="227" w:lineRule="auto"/>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loss on disposal of property and equipment.</w:t>
      </w: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exclusion of certain expenses that management believes are not indicative of ongoing operations, consisting primarily of certain</w:t>
      </w:r>
    </w:p>
    <w:p>
      <w:pPr>
        <w:spacing w:after="0" w:line="232" w:lineRule="auto"/>
        <w:rPr>
          <w:sz w:val="20"/>
          <w:szCs w:val="20"/>
          <w:color w:val="auto"/>
        </w:rPr>
      </w:pPr>
      <w:r>
        <w:rPr>
          <w:rFonts w:ascii="Arial" w:cs="Arial" w:eastAsia="Arial" w:hAnsi="Arial"/>
          <w:sz w:val="16"/>
          <w:szCs w:val="16"/>
          <w:color w:val="auto"/>
        </w:rPr>
        <w:t>professional fees.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(5) Represents remeasurement of the Tax Receivable Agreement.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Restaurant-Level Adjusted EBITDA and Restaurant-Level Adjusted EBITDA Margin</w:t>
      </w:r>
    </w:p>
    <w:p>
      <w:pPr>
        <w:spacing w:after="0" w:line="19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Restaurant-Level Adjusted EBITDA is defined as revenue, less restaurant operating expenses, which include cost of goods sold (excluding depreciation and amortization),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w:t>
      </w:r>
    </w:p>
    <w:p>
      <w:pPr>
        <w:spacing w:after="0" w:line="20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We believe that Restaurant-Level Adjusted EBITDA and Restaurant-Level Adjusted EBITDA Margin are important measures to evaluate the performance and profitability of our restaurants, individually and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The following table reconciles operating income to Restaurant-Level Adjusted EBITDA and Restaurant-Level Adjusted EBITDA Margin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5"/>
          </w:tcPr>
          <w:p>
            <w:pPr>
              <w:ind w:left="960"/>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19"/>
                <w:szCs w:val="19"/>
                <w:color w:val="auto"/>
              </w:rPr>
            </w:pPr>
          </w:p>
        </w:tc>
        <w:tc>
          <w:tcPr>
            <w:tcW w:w="320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4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26, 2022</w:t>
            </w:r>
          </w:p>
        </w:tc>
        <w:tc>
          <w:tcPr>
            <w:tcW w:w="200" w:type="dxa"/>
            <w:vAlign w:val="bottom"/>
          </w:tcPr>
          <w:p>
            <w:pPr>
              <w:spacing w:after="0"/>
              <w:rPr>
                <w:sz w:val="21"/>
                <w:szCs w:val="21"/>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27, 2021</w:t>
            </w:r>
          </w:p>
        </w:tc>
        <w:tc>
          <w:tcPr>
            <w:tcW w:w="20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26, 2022</w:t>
            </w:r>
          </w:p>
        </w:tc>
        <w:tc>
          <w:tcPr>
            <w:tcW w:w="220" w:type="dxa"/>
            <w:vAlign w:val="bottom"/>
          </w:tcPr>
          <w:p>
            <w:pPr>
              <w:spacing w:after="0"/>
              <w:rPr>
                <w:sz w:val="21"/>
                <w:szCs w:val="21"/>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June 27, 2021</w:t>
            </w:r>
          </w:p>
        </w:tc>
      </w:tr>
      <w:tr>
        <w:trPr>
          <w:trHeight w:val="239"/>
        </w:trPr>
        <w:tc>
          <w:tcPr>
            <w:tcW w:w="4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17,439</w:t>
            </w:r>
          </w:p>
        </w:tc>
        <w:tc>
          <w:tcPr>
            <w:tcW w:w="12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24,461</w:t>
            </w:r>
          </w:p>
        </w:tc>
        <w:tc>
          <w:tcPr>
            <w:tcW w:w="14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24,253</w:t>
            </w:r>
          </w:p>
        </w:tc>
        <w:tc>
          <w:tcPr>
            <w:tcW w:w="80" w:type="dxa"/>
            <w:vAlign w:val="bottom"/>
            <w:tcBorders>
              <w:top w:val="single" w:sz="8" w:color="DBDBDB"/>
            </w:tcBorders>
            <w:shd w:val="clear" w:color="auto" w:fill="DBDBDB"/>
          </w:tcPr>
          <w:p>
            <w:pPr>
              <w:spacing w:after="0"/>
              <w:rPr>
                <w:sz w:val="20"/>
                <w:szCs w:val="20"/>
                <w:color w:val="auto"/>
              </w:rPr>
            </w:pPr>
          </w:p>
        </w:tc>
        <w:tc>
          <w:tcPr>
            <w:tcW w:w="22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35,314</w:t>
            </w:r>
          </w:p>
        </w:tc>
      </w:tr>
      <w:tr>
        <w:trPr>
          <w:trHeight w:val="234"/>
        </w:trPr>
        <w:tc>
          <w:tcPr>
            <w:tcW w:w="4260" w:type="dxa"/>
            <w:vAlign w:val="bottom"/>
          </w:tcPr>
          <w:p>
            <w:pPr>
              <w:ind w:left="20"/>
              <w:spacing w:after="0"/>
              <w:rPr>
                <w:sz w:val="20"/>
                <w:szCs w:val="20"/>
                <w:color w:val="auto"/>
              </w:rPr>
            </w:pPr>
            <w:r>
              <w:rPr>
                <w:rFonts w:ascii="Arial" w:cs="Arial" w:eastAsia="Arial" w:hAnsi="Arial"/>
                <w:sz w:val="16"/>
                <w:szCs w:val="16"/>
                <w:color w:val="auto"/>
              </w:rPr>
              <w:t>Plus: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9"/>
        </w:trPr>
        <w:tc>
          <w:tcPr>
            <w:tcW w:w="42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15,439</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12,170</w:t>
            </w:r>
          </w:p>
        </w:tc>
        <w:tc>
          <w:tcPr>
            <w:tcW w:w="14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31,126</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24,005</w:t>
            </w:r>
          </w:p>
        </w:tc>
      </w:tr>
      <w:tr>
        <w:trPr>
          <w:trHeight w:val="234"/>
        </w:trPr>
        <w:tc>
          <w:tcPr>
            <w:tcW w:w="4260" w:type="dxa"/>
            <w:vAlign w:val="bottom"/>
          </w:tcPr>
          <w:p>
            <w:pPr>
              <w:ind w:left="140"/>
              <w:spacing w:after="0"/>
              <w:rPr>
                <w:sz w:val="20"/>
                <w:szCs w:val="20"/>
                <w:color w:val="auto"/>
              </w:rPr>
            </w:pPr>
            <w:r>
              <w:rPr>
                <w:rFonts w:ascii="Arial" w:cs="Arial" w:eastAsia="Arial" w:hAnsi="Arial"/>
                <w:sz w:val="16"/>
                <w:szCs w:val="16"/>
                <w:color w:val="auto"/>
              </w:rPr>
              <w:t>Pre-opening expenses</w:t>
            </w: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671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979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1,960</w:t>
            </w:r>
          </w:p>
        </w:tc>
      </w:tr>
      <w:tr>
        <w:trPr>
          <w:trHeight w:val="249"/>
        </w:trPr>
        <w:tc>
          <w:tcPr>
            <w:tcW w:w="42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5,309</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6,420</w:t>
            </w:r>
          </w:p>
        </w:tc>
        <w:tc>
          <w:tcPr>
            <w:tcW w:w="14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4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10,514</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12,709</w:t>
            </w:r>
          </w:p>
        </w:tc>
      </w:tr>
      <w:tr>
        <w:trPr>
          <w:trHeight w:val="234"/>
        </w:trPr>
        <w:tc>
          <w:tcPr>
            <w:tcW w:w="4260" w:type="dxa"/>
            <w:vAlign w:val="bottom"/>
          </w:tcPr>
          <w:p>
            <w:pPr>
              <w:ind w:left="140"/>
              <w:spacing w:after="0"/>
              <w:rPr>
                <w:sz w:val="20"/>
                <w:szCs w:val="20"/>
                <w:color w:val="auto"/>
              </w:rPr>
            </w:pPr>
            <w:r>
              <w:rPr>
                <w:rFonts w:ascii="Arial" w:cs="Arial" w:eastAsia="Arial" w:hAnsi="Arial"/>
                <w:sz w:val="16"/>
                <w:szCs w:val="16"/>
                <w:color w:val="auto"/>
              </w:rPr>
              <w:t>Net income attributable to equity method investment</w:t>
            </w:r>
          </w:p>
        </w:tc>
        <w:tc>
          <w:tcPr>
            <w:tcW w:w="20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(295)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(359)</w:t>
            </w:r>
          </w:p>
        </w:tc>
      </w:tr>
      <w:tr>
        <w:trPr>
          <w:trHeight w:val="243"/>
        </w:trPr>
        <w:tc>
          <w:tcPr>
            <w:tcW w:w="42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loss (income), net</w:t>
            </w:r>
          </w:p>
        </w:tc>
        <w:tc>
          <w:tcPr>
            <w:tcW w:w="200" w:type="dxa"/>
            <w:vAlign w:val="bottom"/>
            <w:tcBorders>
              <w:bottom w:val="single" w:sz="8" w:color="auto"/>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51</w:t>
            </w:r>
          </w:p>
        </w:tc>
        <w:tc>
          <w:tcPr>
            <w:tcW w:w="12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(362)</w:t>
            </w:r>
          </w:p>
        </w:tc>
        <w:tc>
          <w:tcPr>
            <w:tcW w:w="14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4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(105)</w:t>
            </w:r>
          </w:p>
        </w:tc>
        <w:tc>
          <w:tcPr>
            <w:tcW w:w="8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(803)</w:t>
            </w:r>
          </w:p>
        </w:tc>
      </w:tr>
      <w:tr>
        <w:trPr>
          <w:trHeight w:val="235"/>
        </w:trPr>
        <w:tc>
          <w:tcPr>
            <w:tcW w:w="42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Restaurant-Level 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38,386</w:t>
            </w:r>
          </w:p>
        </w:tc>
        <w:tc>
          <w:tcPr>
            <w:tcW w:w="12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43,065</w:t>
            </w:r>
          </w:p>
        </w:tc>
        <w:tc>
          <w:tcPr>
            <w:tcW w:w="14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66,369</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72,826</w:t>
            </w:r>
          </w:p>
        </w:tc>
      </w:tr>
      <w:tr>
        <w:trPr>
          <w:trHeight w:val="267"/>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w:t>
            </w:r>
          </w:p>
        </w:tc>
        <w:tc>
          <w:tcPr>
            <w:tcW w:w="200" w:type="dxa"/>
            <w:vAlign w:val="bottom"/>
            <w:tcBorders>
              <w:bottom w:val="single" w:sz="8" w:color="auto"/>
            </w:tcBorders>
            <w:shd w:val="clear" w:color="auto" w:fill="DBDBDB"/>
          </w:tcPr>
          <w:p>
            <w:pPr>
              <w:spacing w:after="0"/>
              <w:rPr>
                <w:sz w:val="22"/>
                <w:szCs w:val="22"/>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25.5 %</w:t>
            </w:r>
          </w:p>
        </w:tc>
        <w:tc>
          <w:tcPr>
            <w:tcW w:w="12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spacing w:after="0"/>
              <w:rPr>
                <w:sz w:val="22"/>
                <w:szCs w:val="22"/>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30.6 %</w:t>
            </w:r>
          </w:p>
        </w:tc>
        <w:tc>
          <w:tcPr>
            <w:tcW w:w="14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spacing w:after="0"/>
              <w:rPr>
                <w:sz w:val="22"/>
                <w:szCs w:val="22"/>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23.3 %</w:t>
            </w:r>
          </w:p>
        </w:tc>
        <w:tc>
          <w:tcPr>
            <w:tcW w:w="8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28.2 %</w:t>
            </w:r>
          </w:p>
        </w:tc>
      </w:tr>
      <w:tr>
        <w:trPr>
          <w:trHeight w:val="20"/>
        </w:trPr>
        <w:tc>
          <w:tcPr>
            <w:tcW w:w="42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Liquidity and Capital Resources</w:t>
      </w:r>
    </w:p>
    <w:p>
      <w:pPr>
        <w:spacing w:after="0" w:line="251"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Our primary sources of liquidity are cash from operations, cash and cash equivalents on hand, and availability under our Revolving Facility. As of June 26, 2022, we maintained a cash and cash equivalents and restricted cash balance of $49.7 million and had $45.0 million of availability under our Revolver, after giving effect to $5.0 million in outstanding letters of credit..</w:t>
      </w:r>
    </w:p>
    <w:p>
      <w:pPr>
        <w:spacing w:after="0" w:line="2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Based upon current levels of operations and anticipated growth, we expect that cash flows from operations will be sufficient to meet our needs for at least the next twelve months, and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Liquidity Upon IPO</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25, 2021, Portillo's Inc. completed the IPO of 23,310,810 shares of the Class A common stock (including 3,040,540 shares sold to the underwriters pursuant to their overallotment option). Portillo's Inc. received net proceeds from the offering of approximately</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$430.0 million (after deducting underwriting fees and commissions and offering expenses). The net proceeds and cash on hand were used as follows:</w:t>
      </w:r>
    </w:p>
    <w:p>
      <w:pPr>
        <w:spacing w:after="0" w:line="203" w:lineRule="exact"/>
        <w:rPr>
          <w:sz w:val="20"/>
          <w:szCs w:val="20"/>
          <w:color w:val="auto"/>
        </w:rPr>
      </w:pPr>
    </w:p>
    <w:p>
      <w:pPr>
        <w:ind w:left="660" w:hanging="33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25" w:lineRule="exact"/>
        <w:rPr>
          <w:rFonts w:ascii="Arial" w:cs="Arial" w:eastAsia="Arial" w:hAnsi="Arial"/>
          <w:sz w:val="18"/>
          <w:szCs w:val="18"/>
          <w:color w:val="auto"/>
        </w:rPr>
      </w:pPr>
    </w:p>
    <w:p>
      <w:pPr>
        <w:ind w:left="660" w:right="1180" w:hanging="331"/>
        <w:spacing w:after="0" w:line="248"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prepayment penalties) of $158.1 million; and</w:t>
      </w:r>
    </w:p>
    <w:p>
      <w:pPr>
        <w:spacing w:after="0" w:line="1" w:lineRule="exact"/>
        <w:rPr>
          <w:rFonts w:ascii="Arial" w:cs="Arial" w:eastAsia="Arial" w:hAnsi="Arial"/>
          <w:sz w:val="18"/>
          <w:szCs w:val="18"/>
          <w:color w:val="auto"/>
        </w:rPr>
      </w:pPr>
    </w:p>
    <w:p>
      <w:pPr>
        <w:ind w:left="660" w:hanging="33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we entered into a Tax Receivable Agreement ("TRA") with certain of our pre-IPO LLC Members, pursuant to which we will generally be required to pay 85% of the amount of cash savings, if any, in U.S. federal, state, and local income tax that we actually realize or be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 (iv) certain other tax benefits related to entering into the TRA, including payments made under the TRA.</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Based on several assumptions, it was estimated that, as of June 26, 2022, our obligation for future payments under the TRA totaled $154.9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 Assuming no material changes in relevant tax law and that we earn sufficient taxable income to realize all tax benefits that are subject to the TRA, we estimate that the tax savings associated with all tax attributes described above would aggregate to approximately $182.2 million as of June 26, 2022. Under this scenario, we would be required to pay the TRA Parties approximately 85% of such amount, or $154.9 million, primarily over the next 15 years, substantially declining in year 16 through year 47.</w:t>
      </w:r>
    </w:p>
    <w:p>
      <w:pPr>
        <w:spacing w:after="0" w:line="389"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Summary of Cash Flows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9"/>
                <w:szCs w:val="19"/>
                <w:color w:val="auto"/>
              </w:rPr>
            </w:pPr>
          </w:p>
        </w:tc>
        <w:tc>
          <w:tcPr>
            <w:tcW w:w="380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Two Quarters Ended</w:t>
            </w:r>
          </w:p>
        </w:tc>
      </w:tr>
      <w:tr>
        <w:trPr>
          <w:trHeight w:val="245"/>
        </w:trPr>
        <w:tc>
          <w:tcPr>
            <w:tcW w:w="7140" w:type="dxa"/>
            <w:vAlign w:val="bottom"/>
            <w:tcBorders>
              <w:bottom w:val="single" w:sz="8" w:color="DBDBDB"/>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26, 2022</w:t>
            </w: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June 27, 2021</w:t>
            </w:r>
          </w:p>
        </w:tc>
      </w:tr>
      <w:tr>
        <w:trPr>
          <w:trHeight w:val="239"/>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25,359</w:t>
            </w: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32,817</w:t>
            </w:r>
          </w:p>
        </w:tc>
      </w:tr>
      <w:tr>
        <w:trPr>
          <w:trHeight w:val="234"/>
        </w:trPr>
        <w:tc>
          <w:tcPr>
            <w:tcW w:w="71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(13,910)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(18,545)</w:t>
            </w:r>
          </w:p>
        </w:tc>
      </w:tr>
      <w:tr>
        <w:trPr>
          <w:trHeight w:val="243"/>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(1,312)</w:t>
            </w:r>
          </w:p>
        </w:tc>
      </w:tr>
      <w:tr>
        <w:trPr>
          <w:trHeight w:val="234"/>
        </w:trPr>
        <w:tc>
          <w:tcPr>
            <w:tcW w:w="71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10,467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12,960</w:t>
            </w:r>
          </w:p>
        </w:tc>
      </w:tr>
      <w:tr>
        <w:trPr>
          <w:trHeight w:val="243"/>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0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c>
          <w:tcPr>
            <w:tcW w:w="10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41,432</w:t>
            </w:r>
          </w:p>
        </w:tc>
      </w:tr>
      <w:tr>
        <w:trPr>
          <w:trHeight w:val="242"/>
        </w:trPr>
        <w:tc>
          <w:tcPr>
            <w:tcW w:w="714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49,730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54,392</w:t>
            </w: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Operating Activities</w:t>
      </w:r>
    </w:p>
    <w:p>
      <w:pPr>
        <w:spacing w:after="0" w:line="25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Net cash provided by operating activities for the two quarters ended June 26, 2022 was $ 25.4 million compared to net cash provided by operating activities of $32.8 million for the two quarters ended June 27, 2021, a decrease of $ 7.5 million or 22.7%. This decrease was primarily driven by a decrease in the change in operating assets and liabilities of $10.1 million and lower net income of $2.6 million, partially offset by the change in non-cash items of $5.2 million.</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$10.1 million change in our operating asset and liability balances was primarily driven by operating assets and liabilities being a use of net cash of $7.7 million in the two quarters ended June 26, 2022, compared to a source of net cash of $2.5 million in two quarters ended June 27, 2021 driven by the change in accounts payable and accrued expenses and other liabilities in the two quarters ended June 26, 2022. The $5.2 million change from the two quarters ended June 26, 2022 in non-cash charges is primarily attributable to equity-based compensation, offset by a decrease in depreciation and amortization.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Investing Activities</w:t>
      </w:r>
    </w:p>
    <w:p>
      <w:pPr>
        <w:spacing w:after="0" w:line="244"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Net cash used in investing activities was $13.9 million for the two quarters ended June 26, 2022 compared to $18.5 million for the two quarters ended June 27, 2021, a decrease of $4.6 million or 25.0%. This decrease was primarily due to the timing of restaurant openings in 2022 compared to the timing of restaurant openings in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Financing Activities</w:t>
      </w:r>
    </w:p>
    <w:p>
      <w:pPr>
        <w:spacing w:after="0" w:line="25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Net cash used in financing activities was $1.0 million for the quarter ending June 26, 2022 compared to net cash used in financing activities of $1.3 million for the quarter ending June 27, 2021, a decrease of $0.3 million or 25.2%. This decrease is primarily due to proceeds from stock option exercises of $1.5 million offset by $0.8 million payment of IPO issuance costs in the two quarters ended June 26, 2022, which were accrued for as of December 26, 2021.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Revolving Facility and Liens</w:t>
      </w:r>
    </w:p>
    <w:p>
      <w:pPr>
        <w:spacing w:after="0" w:line="258" w:lineRule="exact"/>
        <w:rPr>
          <w:sz w:val="20"/>
          <w:szCs w:val="20"/>
          <w:color w:val="auto"/>
        </w:rPr>
      </w:pPr>
    </w:p>
    <w:p>
      <w:pPr>
        <w:jc w:val="both"/>
        <w:ind w:right="280"/>
        <w:spacing w:after="0" w:line="265" w:lineRule="auto"/>
        <w:rPr>
          <w:sz w:val="20"/>
          <w:szCs w:val="20"/>
          <w:color w:val="auto"/>
        </w:rPr>
      </w:pPr>
      <w:r>
        <w:rPr>
          <w:rFonts w:ascii="Arial" w:cs="Arial" w:eastAsia="Arial" w:hAnsi="Arial"/>
          <w:sz w:val="18"/>
          <w:szCs w:val="18"/>
          <w:color w:val="auto"/>
        </w:rPr>
        <w:t>We maintain a Revolving Facility that provides for a revolving total commitment amount of $50.0 million. The Revolving Facility will mature and all amounts outstanding will be due and payable in June 2024. The Revolving Facility permits the issuance of letters of credit upon our request.</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As of June 26, 2022, there were no borrowings outstanding under the Revolving Facility. We had $45.0 million of availability, as of June 26, 2022, after giving effect to $5.0 million in outstanding letters of credit.</w:t>
      </w:r>
    </w:p>
    <w:p>
      <w:pPr>
        <w:spacing w:after="0" w:line="185" w:lineRule="exact"/>
        <w:rPr>
          <w:sz w:val="20"/>
          <w:szCs w:val="20"/>
          <w:color w:val="auto"/>
        </w:rPr>
      </w:pPr>
    </w:p>
    <w:p>
      <w:pPr>
        <w:jc w:val="both"/>
        <w:ind w:right="500"/>
        <w:spacing w:after="0" w:line="265"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offering expenses. Net proceeds of $158.1 million were used to repay the Second Lien Term B-3 Loans (including prepayment penalties) in full.</w:t>
      </w:r>
    </w:p>
    <w:p>
      <w:pPr>
        <w:spacing w:after="0" w:line="200"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Borrowings under the First Lien Credit Agreement are guaranteed by PHD Intermediate LLC ("Holdings"), Portillo’s Holdings LLC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200" w:lineRule="exact"/>
        <w:rPr>
          <w:sz w:val="20"/>
          <w:szCs w:val="20"/>
          <w:color w:val="auto"/>
        </w:rPr>
      </w:pPr>
    </w:p>
    <w:p>
      <w:pPr>
        <w:ind w:right="540"/>
        <w:spacing w:after="0" w:line="313" w:lineRule="auto"/>
        <w:rPr>
          <w:sz w:val="20"/>
          <w:szCs w:val="20"/>
          <w:color w:val="auto"/>
        </w:rPr>
      </w:pPr>
      <w:r>
        <w:rPr>
          <w:rFonts w:ascii="Arial" w:cs="Arial" w:eastAsia="Arial" w:hAnsi="Arial"/>
          <w:sz w:val="17"/>
          <w:szCs w:val="17"/>
          <w:color w:val="auto"/>
        </w:rPr>
        <w:t>The Borrower is subject to certain financial and reporting covenants pursuant to the terms of the First Lien Credit Agreement. These covenants are customary for these types of debt agreements. As of June 26, 2022, the Company was in compliance with all covenants.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Material Cash Requirements</w:t>
      </w:r>
    </w:p>
    <w:p>
      <w:pPr>
        <w:spacing w:after="0" w:line="25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There have been no material changes to the material cash requirements as disclosed in our Annual Report on Form 10-K for the fiscal year ended December 26, 2021, other than those payments made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Critical Accounting Estimates</w:t>
      </w: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condensed consolidated financial statements, which have been prepared in accordance with generally accepted accounting principles in the United States of America ("GAAP"). The preparation of these financial statements requires the Company to make estimates, judgments, and assumptions that can have a meaningful effect on the reporting of condensed consolidated financial statements. There have been no significant changes to our critical accounting estimates or significant accounting policies as disclosed in our Annual Report on Form 10-K for the fiscal year ended December 26, 2021.</w:t>
      </w:r>
    </w:p>
    <w:p>
      <w:pPr>
        <w:spacing w:after="0" w:line="21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See Note 2. Summary of Significant Accounting Policies under Part I, Item 1 of this Form 10-Q for an analysis of recently issued accounting pronouncements.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JOBS 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qualify as an emerging growth company ("EGC") pursuant to the provisions of the Jumpstart our Business Startups (“JOBS”) Act. For as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long as we are an EGC, we may take advantage of certain exemptions from various reporting requirements that are applicable to other public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companies that are not EGCs, including, but not limited to, not being required to comply with the auditor attestation requirements of</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Section 404(b) of the Sarbanes-Oxley Act, reduced disclosure obligations regarding executive compensation in our periodic reports and proxy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statements, exemptions from the requirements of holding advisory “say-on-pay” votes on executive compensation and shareholder advisory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votes on golden parachute compensation.</w:t>
      </w:r>
    </w:p>
    <w:p>
      <w:pPr>
        <w:spacing w:after="0" w:line="23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addition, Section 107 of the JOBS Act also provides that an EGC can take advantage of the extended transition period provided in Section 7(a)(2)(B) of the Securities Act for complying with new or revised accounting standards. An EGC can therefore delay the adoption of certain accounting standards until those standards would otherwise apply to private companies. We intend to take advantage of the extended transition period.</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will remain an EGC until the last day of the fiscal year following the fifth anniversary of the date of the first sale of our Class A common stock pursuant to an effective registration statement, which was October 21, 2021, unless, prior to that time, we have more than $1.07 billion in annual gross revenue, have a market value for our Class A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executive compensation disclosure and expect to continue to avail ourselves of the reduced reporting obligations available to EGCs in future filings.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0180" cy="1619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7"/>
          <w:szCs w:val="17"/>
          <w:color w:val="auto"/>
        </w:rPr>
        <w:t xml:space="preserve">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100965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3. Quantitative and Qualitative Disclosures About Market Risk.</w:t>
      </w:r>
    </w:p>
    <w:p>
      <w:pPr>
        <w:spacing w:after="0" w:line="25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There have been no material changes to our exposure to market risks as described in Part II, Item 7A of our Annual Report on Form 10-K for the fiscal year ended December 26, 2021.</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4. 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EVALUATION OF DISCLOSURE CONTROLS AND PROCEDURES</w:t>
      </w:r>
    </w:p>
    <w:p>
      <w:pPr>
        <w:spacing w:after="0" w:line="25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CHANGES IN INTERNAL CONTROL OVER FINANCIAL REPORTING</w:t>
      </w:r>
    </w:p>
    <w:p>
      <w:pPr>
        <w:spacing w:after="0" w:line="258"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26,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20320</wp:posOffset>
            </wp:positionV>
            <wp:extent cx="5931535" cy="323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31535" cy="32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1. Legal Proceedings.</w:t>
      </w:r>
    </w:p>
    <w:p>
      <w:pPr>
        <w:spacing w:after="0" w:line="25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Information regarding certain legal proceedings to which the Company is a party are discussed in Note 13. Contingencies in the notes to the unaudited condensed consolidated financial statements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1A. Risk Factors.</w:t>
      </w:r>
    </w:p>
    <w:p>
      <w:pPr>
        <w:spacing w:after="0" w:line="25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There have been no material changes to the risk factors disclosed in the Company's Annual Report on Form 10-K for the fiscal year ended December 26, 2021.</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2. Unregistered Sales of Equity Securities and Use of Proceeds.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3. Defaults Upon Senior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4. Mine Safety Disclosures.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5.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6. Exhibits.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60" w:type="dxa"/>
            <w:vAlign w:val="bottom"/>
            <w:gridSpan w:val="4"/>
          </w:tcPr>
          <w:p>
            <w:pPr>
              <w:ind w:left="2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160" w:type="dxa"/>
            <w:vAlign w:val="bottom"/>
            <w:gridSpan w:val="4"/>
          </w:tcPr>
          <w:p>
            <w:pPr>
              <w:ind w:left="18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180" w:type="dxa"/>
            <w:vAlign w:val="bottom"/>
            <w:gridSpan w:val="7"/>
          </w:tcPr>
          <w:p>
            <w:pPr>
              <w:ind w:left="180"/>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01"/>
        </w:trPr>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line="201" w:lineRule="exact"/>
              <w:rPr>
                <w:sz w:val="20"/>
                <w:szCs w:val="20"/>
                <w:color w:val="auto"/>
              </w:rPr>
            </w:pPr>
            <w:r>
              <w:rPr>
                <w:rFonts w:ascii="Arial" w:cs="Arial" w:eastAsia="Arial" w:hAnsi="Arial"/>
                <w:sz w:val="18"/>
                <w:szCs w:val="18"/>
                <w:color w:val="auto"/>
                <w:w w:val="95"/>
              </w:rPr>
              <w:t>3.</w:t>
            </w:r>
            <w:r>
              <w:rPr>
                <w:rFonts w:ascii="Arial" w:cs="Arial" w:eastAsia="Arial" w:hAnsi="Arial"/>
                <w:sz w:val="18"/>
                <w:szCs w:val="18"/>
                <w:u w:val="single" w:color="auto"/>
                <w:color w:val="auto"/>
                <w:w w:val="95"/>
              </w:rPr>
              <w:t>1</w:t>
            </w: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300" w:type="dxa"/>
            <w:vAlign w:val="bottom"/>
            <w:tcBorders>
              <w:top w:val="single" w:sz="8" w:color="auto"/>
              <w:bottom w:val="single" w:sz="8" w:color="auto"/>
            </w:tcBorders>
            <w:gridSpan w:val="4"/>
          </w:tcPr>
          <w:p>
            <w:pPr>
              <w:spacing w:after="0" w:line="201" w:lineRule="exact"/>
              <w:rPr>
                <w:sz w:val="20"/>
                <w:szCs w:val="20"/>
                <w:color w:val="auto"/>
              </w:rPr>
            </w:pPr>
            <w:r>
              <w:rPr>
                <w:rFonts w:ascii="Arial" w:cs="Arial" w:eastAsia="Arial" w:hAnsi="Arial"/>
                <w:sz w:val="18"/>
                <w:szCs w:val="18"/>
                <w:color w:val="auto"/>
                <w:w w:val="99"/>
              </w:rPr>
              <w:t>Amended and Restated Certificate of Incorporation of Portillo's Inc.</w:t>
            </w:r>
          </w:p>
        </w:tc>
        <w:tc>
          <w:tcPr>
            <w:tcW w:w="3640" w:type="dxa"/>
            <w:vAlign w:val="bottom"/>
            <w:tcBorders>
              <w:top w:val="single" w:sz="8" w:color="auto"/>
            </w:tcBorders>
            <w:gridSpan w:val="5"/>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3.</w:t>
            </w:r>
            <w:r>
              <w:rPr>
                <w:rFonts w:ascii="Arial" w:cs="Arial" w:eastAsia="Arial" w:hAnsi="Arial"/>
                <w:sz w:val="18"/>
                <w:szCs w:val="18"/>
                <w:u w:val="single" w:color="auto"/>
                <w:color w:val="auto"/>
                <w:w w:val="95"/>
              </w:rPr>
              <w:t>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rPr>
              <w:t>Amended and Restated Bylaws of Portillo’s Inc.</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10.</w:t>
            </w:r>
            <w:r>
              <w:rPr>
                <w:rFonts w:ascii="Arial" w:cs="Arial" w:eastAsia="Arial" w:hAnsi="Arial"/>
                <w:sz w:val="18"/>
                <w:szCs w:val="18"/>
                <w:u w:val="single" w:color="auto"/>
                <w:color w:val="auto"/>
                <w:w w:val="96"/>
              </w:rPr>
              <w:t>1</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rPr>
              <w:t>Portillo's Inc. Employee Stock Purchase Plan</w:t>
            </w:r>
          </w:p>
        </w:tc>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vMerge w:val="restart"/>
          </w:tcPr>
          <w:p>
            <w:pPr>
              <w:spacing w:after="0"/>
              <w:rPr>
                <w:sz w:val="21"/>
                <w:szCs w:val="21"/>
                <w:color w:val="auto"/>
              </w:rPr>
            </w:pPr>
          </w:p>
        </w:tc>
        <w:tc>
          <w:tcPr>
            <w:tcW w:w="360" w:type="dxa"/>
            <w:vAlign w:val="bottom"/>
            <w:gridSpan w:val="2"/>
            <w:vMerge w:val="restart"/>
          </w:tcPr>
          <w:p>
            <w:pPr>
              <w:spacing w:after="0"/>
              <w:rPr>
                <w:sz w:val="20"/>
                <w:szCs w:val="20"/>
                <w:color w:val="auto"/>
              </w:rPr>
            </w:pPr>
            <w:r>
              <w:rPr>
                <w:rFonts w:ascii="Arial" w:cs="Arial" w:eastAsia="Arial" w:hAnsi="Arial"/>
                <w:sz w:val="18"/>
                <w:szCs w:val="18"/>
                <w:color w:val="auto"/>
                <w:w w:val="96"/>
              </w:rPr>
              <w:t>31.</w:t>
            </w:r>
            <w:r>
              <w:rPr>
                <w:rFonts w:ascii="Arial" w:cs="Arial" w:eastAsia="Arial" w:hAnsi="Arial"/>
                <w:sz w:val="18"/>
                <w:szCs w:val="18"/>
                <w:u w:val="single" w:color="auto"/>
                <w:color w:val="auto"/>
                <w:w w:val="96"/>
              </w:rPr>
              <w:t>1</w:t>
            </w:r>
          </w:p>
        </w:tc>
        <w:tc>
          <w:tcPr>
            <w:tcW w:w="700" w:type="dxa"/>
            <w:vAlign w:val="bottom"/>
            <w:vMerge w:val="restart"/>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9"/>
              </w:rPr>
              <w:t>Certification of the Principal Executive Officer pursuant to Securities Exchange Act Rules 13a-14(a), as adopted</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vMerge w:val="continue"/>
          </w:tcPr>
          <w:p>
            <w:pPr>
              <w:spacing w:after="0"/>
              <w:rPr>
                <w:sz w:val="7"/>
                <w:szCs w:val="7"/>
                <w:color w:val="auto"/>
              </w:rPr>
            </w:pPr>
          </w:p>
        </w:tc>
        <w:tc>
          <w:tcPr>
            <w:tcW w:w="360" w:type="dxa"/>
            <w:vAlign w:val="bottom"/>
            <w:tcBorders>
              <w:bottom w:val="single" w:sz="8" w:color="auto"/>
            </w:tcBorders>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4680" w:type="dxa"/>
            <w:vAlign w:val="bottom"/>
            <w:gridSpan w:val="3"/>
            <w:vMerge w:val="restart"/>
          </w:tcPr>
          <w:p>
            <w:pPr>
              <w:spacing w:after="0" w:line="195" w:lineRule="exact"/>
              <w:rPr>
                <w:sz w:val="20"/>
                <w:szCs w:val="20"/>
                <w:color w:val="auto"/>
              </w:rPr>
            </w:pPr>
            <w:r>
              <w:rPr>
                <w:rFonts w:ascii="Arial" w:cs="Arial" w:eastAsia="Arial" w:hAnsi="Arial"/>
                <w:sz w:val="18"/>
                <w:szCs w:val="18"/>
                <w:color w:val="auto"/>
                <w:w w:val="99"/>
              </w:rPr>
              <w:t>pursuant to Section 302 of the Sarbanes-Oxley Act of 2002</w:t>
            </w:r>
          </w:p>
        </w:tc>
        <w:tc>
          <w:tcPr>
            <w:tcW w:w="4260" w:type="dxa"/>
            <w:vAlign w:val="bottom"/>
            <w:gridSpan w:val="6"/>
            <w:vMerge w:val="restart"/>
          </w:tcPr>
          <w:p>
            <w:pPr>
              <w:spacing w:after="0"/>
              <w:rPr>
                <w:sz w:val="7"/>
                <w:szCs w:val="7"/>
                <w:color w:val="auto"/>
              </w:rPr>
            </w:pPr>
          </w:p>
        </w:tc>
        <w:tc>
          <w:tcPr>
            <w:tcW w:w="10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4680" w:type="dxa"/>
            <w:vAlign w:val="bottom"/>
            <w:tcBorders>
              <w:bottom w:val="single" w:sz="8" w:color="auto"/>
            </w:tcBorders>
            <w:gridSpan w:val="3"/>
            <w:vMerge w:val="continue"/>
          </w:tcPr>
          <w:p>
            <w:pPr>
              <w:spacing w:after="0"/>
              <w:rPr>
                <w:sz w:val="7"/>
                <w:szCs w:val="7"/>
                <w:color w:val="auto"/>
              </w:rPr>
            </w:pPr>
          </w:p>
        </w:tc>
        <w:tc>
          <w:tcPr>
            <w:tcW w:w="4260" w:type="dxa"/>
            <w:vAlign w:val="bottom"/>
            <w:gridSpan w:val="6"/>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080" w:type="dxa"/>
            <w:vAlign w:val="bottom"/>
            <w:gridSpan w:val="4"/>
            <w:vMerge w:val="restart"/>
          </w:tcPr>
          <w:p>
            <w:pPr>
              <w:ind w:left="20"/>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9"/>
              </w:rPr>
              <w:t>Certification of the Principal Financial Officer pursuant to Securities Exchange Act Rules 13a-14(a), as adopted</w:t>
            </w:r>
          </w:p>
        </w:tc>
        <w:tc>
          <w:tcPr>
            <w:tcW w:w="16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0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4680" w:type="dxa"/>
            <w:vAlign w:val="bottom"/>
            <w:gridSpan w:val="3"/>
            <w:vMerge w:val="restart"/>
          </w:tcPr>
          <w:p>
            <w:pPr>
              <w:spacing w:after="0" w:line="195" w:lineRule="exact"/>
              <w:rPr>
                <w:sz w:val="20"/>
                <w:szCs w:val="20"/>
                <w:color w:val="auto"/>
              </w:rPr>
            </w:pPr>
            <w:r>
              <w:rPr>
                <w:rFonts w:ascii="Arial" w:cs="Arial" w:eastAsia="Arial" w:hAnsi="Arial"/>
                <w:sz w:val="18"/>
                <w:szCs w:val="18"/>
                <w:color w:val="auto"/>
                <w:w w:val="99"/>
              </w:rPr>
              <w:t>pursuant to Section 302 of the Sarbanes-Oxley Act of 2002</w:t>
            </w:r>
          </w:p>
        </w:tc>
        <w:tc>
          <w:tcPr>
            <w:tcW w:w="4260" w:type="dxa"/>
            <w:vAlign w:val="bottom"/>
            <w:gridSpan w:val="6"/>
            <w:vMerge w:val="restart"/>
          </w:tcPr>
          <w:p>
            <w:pPr>
              <w:spacing w:after="0"/>
              <w:rPr>
                <w:sz w:val="7"/>
                <w:szCs w:val="7"/>
                <w:color w:val="auto"/>
              </w:rPr>
            </w:pPr>
          </w:p>
        </w:tc>
        <w:tc>
          <w:tcPr>
            <w:tcW w:w="10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4680" w:type="dxa"/>
            <w:vAlign w:val="bottom"/>
            <w:tcBorders>
              <w:bottom w:val="single" w:sz="8" w:color="auto"/>
            </w:tcBorders>
            <w:gridSpan w:val="3"/>
            <w:vMerge w:val="continue"/>
          </w:tcPr>
          <w:p>
            <w:pPr>
              <w:spacing w:after="0"/>
              <w:rPr>
                <w:sz w:val="7"/>
                <w:szCs w:val="7"/>
                <w:color w:val="auto"/>
              </w:rPr>
            </w:pPr>
          </w:p>
        </w:tc>
        <w:tc>
          <w:tcPr>
            <w:tcW w:w="4260" w:type="dxa"/>
            <w:vAlign w:val="bottom"/>
            <w:gridSpan w:val="6"/>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080" w:type="dxa"/>
            <w:vAlign w:val="bottom"/>
            <w:gridSpan w:val="4"/>
            <w:vMerge w:val="restart"/>
          </w:tcPr>
          <w:p>
            <w:pPr>
              <w:ind w:left="20"/>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rPr>
              <w:t>Certifications of the Chief Executive Officer and Chief Financial Officer pursuant to 18 U.S.C. Section 1350, as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0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5380" w:type="dxa"/>
            <w:vAlign w:val="bottom"/>
            <w:tcBorders>
              <w:top w:val="single" w:sz="8" w:color="auto"/>
            </w:tcBorders>
            <w:gridSpan w:val="5"/>
            <w:vMerge w:val="restart"/>
          </w:tcPr>
          <w:p>
            <w:pPr>
              <w:spacing w:after="0" w:line="195" w:lineRule="exact"/>
              <w:rPr>
                <w:sz w:val="20"/>
                <w:szCs w:val="20"/>
                <w:color w:val="auto"/>
              </w:rPr>
            </w:pPr>
            <w:r>
              <w:rPr>
                <w:rFonts w:ascii="Arial" w:cs="Arial" w:eastAsia="Arial" w:hAnsi="Arial"/>
                <w:sz w:val="18"/>
                <w:szCs w:val="18"/>
                <w:color w:val="auto"/>
                <w:w w:val="99"/>
              </w:rPr>
              <w:t>adopted pursuant to Section 906 of the Sarbanes-Oxley Act of 2002</w:t>
            </w:r>
          </w:p>
        </w:tc>
        <w:tc>
          <w:tcPr>
            <w:tcW w:w="3320" w:type="dxa"/>
            <w:vAlign w:val="bottom"/>
            <w:tcBorders>
              <w:top w:val="single" w:sz="8" w:color="auto"/>
            </w:tcBorders>
            <w:vMerge w:val="restart"/>
          </w:tcPr>
          <w:p>
            <w:pPr>
              <w:spacing w:after="0"/>
              <w:rPr>
                <w:sz w:val="7"/>
                <w:szCs w:val="7"/>
                <w:color w:val="auto"/>
              </w:rPr>
            </w:pPr>
          </w:p>
        </w:tc>
        <w:tc>
          <w:tcPr>
            <w:tcW w:w="240" w:type="dxa"/>
            <w:vAlign w:val="bottom"/>
            <w:gridSpan w:val="3"/>
            <w:vMerge w:val="restart"/>
          </w:tcPr>
          <w:p>
            <w:pPr>
              <w:spacing w:after="0"/>
              <w:rPr>
                <w:sz w:val="7"/>
                <w:szCs w:val="7"/>
                <w:color w:val="auto"/>
              </w:rPr>
            </w:pPr>
          </w:p>
        </w:tc>
        <w:tc>
          <w:tcPr>
            <w:tcW w:w="1080" w:type="dxa"/>
            <w:vAlign w:val="bottom"/>
            <w:vMerge w:val="restart"/>
          </w:tcPr>
          <w:p>
            <w:pPr>
              <w:jc w:val="center"/>
              <w:ind w:right="11"/>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380" w:type="dxa"/>
            <w:vAlign w:val="bottom"/>
            <w:tcBorders>
              <w:top w:val="single" w:sz="8" w:color="auto"/>
              <w:bottom w:val="single" w:sz="8" w:color="auto"/>
            </w:tcBorders>
            <w:gridSpan w:val="5"/>
            <w:vMerge w:val="continue"/>
          </w:tcPr>
          <w:p>
            <w:pPr>
              <w:spacing w:after="0"/>
              <w:rPr>
                <w:sz w:val="7"/>
                <w:szCs w:val="7"/>
                <w:color w:val="auto"/>
              </w:rPr>
            </w:pPr>
          </w:p>
        </w:tc>
        <w:tc>
          <w:tcPr>
            <w:tcW w:w="3320" w:type="dxa"/>
            <w:vAlign w:val="bottom"/>
            <w:tcBorders>
              <w:top w:val="single" w:sz="8" w:color="auto"/>
            </w:tcBorders>
            <w:vMerge w:val="continue"/>
          </w:tcPr>
          <w:p>
            <w:pPr>
              <w:spacing w:after="0"/>
              <w:rPr>
                <w:sz w:val="7"/>
                <w:szCs w:val="7"/>
                <w:color w:val="auto"/>
              </w:rPr>
            </w:pPr>
          </w:p>
        </w:tc>
        <w:tc>
          <w:tcPr>
            <w:tcW w:w="240" w:type="dxa"/>
            <w:vAlign w:val="bottom"/>
            <w:gridSpan w:val="3"/>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60" w:type="dxa"/>
            <w:vAlign w:val="bottom"/>
            <w:gridSpan w:val="4"/>
            <w:vMerge w:val="restart"/>
          </w:tcPr>
          <w:p>
            <w:pPr>
              <w:spacing w:after="0"/>
              <w:rPr>
                <w:sz w:val="20"/>
                <w:szCs w:val="20"/>
                <w:color w:val="auto"/>
              </w:rPr>
            </w:pPr>
            <w:r>
              <w:rPr>
                <w:rFonts w:ascii="Arial" w:cs="Arial" w:eastAsia="Arial" w:hAnsi="Arial"/>
                <w:sz w:val="18"/>
                <w:szCs w:val="18"/>
                <w:color w:val="auto"/>
              </w:rPr>
              <w:t>101.INS</w:t>
            </w:r>
          </w:p>
        </w:tc>
        <w:tc>
          <w:tcPr>
            <w:tcW w:w="8960" w:type="dxa"/>
            <w:vAlign w:val="bottom"/>
            <w:gridSpan w:val="10"/>
          </w:tcPr>
          <w:p>
            <w:pPr>
              <w:ind w:left="20"/>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8960" w:type="dxa"/>
            <w:vAlign w:val="bottom"/>
            <w:gridSpan w:val="10"/>
            <w:vMerge w:val="restart"/>
          </w:tcPr>
          <w:p>
            <w:pPr>
              <w:ind w:left="20"/>
              <w:spacing w:after="0"/>
              <w:rPr>
                <w:sz w:val="20"/>
                <w:szCs w:val="20"/>
                <w:color w:val="auto"/>
              </w:rPr>
            </w:pPr>
            <w:r>
              <w:rPr>
                <w:rFonts w:ascii="Arial" w:cs="Arial" w:eastAsia="Arial" w:hAnsi="Arial"/>
                <w:sz w:val="18"/>
                <w:szCs w:val="18"/>
                <w:color w:val="auto"/>
              </w:rPr>
              <w:t>XBRL tags are embedded within the Inline XBRL document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960" w:type="dxa"/>
            <w:vAlign w:val="bottom"/>
            <w:gridSpan w:val="10"/>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8960" w:type="dxa"/>
            <w:vAlign w:val="bottom"/>
            <w:gridSpan w:val="10"/>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960" w:type="dxa"/>
            <w:vAlign w:val="bottom"/>
            <w:gridSpan w:val="10"/>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8960" w:type="dxa"/>
            <w:vAlign w:val="bottom"/>
            <w:gridSpan w:val="10"/>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960" w:type="dxa"/>
            <w:vAlign w:val="bottom"/>
            <w:gridSpan w:val="10"/>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8960" w:type="dxa"/>
            <w:vAlign w:val="bottom"/>
            <w:gridSpan w:val="10"/>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80" w:type="dxa"/>
            <w:vAlign w:val="bottom"/>
            <w:gridSpan w:val="3"/>
            <w:vMerge w:val="restart"/>
          </w:tcPr>
          <w:p>
            <w:pPr>
              <w:ind w:left="20"/>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960" w:type="dxa"/>
            <w:vAlign w:val="bottom"/>
            <w:gridSpan w:val="10"/>
          </w:tcPr>
          <w:p>
            <w:pPr>
              <w:ind w:left="20"/>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960" w:type="dxa"/>
            <w:vAlign w:val="bottom"/>
            <w:gridSpan w:val="10"/>
            <w:vMerge w:val="restart"/>
          </w:tcPr>
          <w:p>
            <w:pPr>
              <w:ind w:left="20"/>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960" w:type="dxa"/>
            <w:vAlign w:val="bottom"/>
            <w:gridSpan w:val="10"/>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80" w:hanging="273"/>
        <w:spacing w:after="0"/>
        <w:tabs>
          <w:tab w:leader="none" w:pos="2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24" w:lineRule="exact"/>
        <w:rPr>
          <w:sz w:val="20"/>
          <w:szCs w:val="20"/>
          <w:color w:val="auto"/>
        </w:rPr>
      </w:pPr>
    </w:p>
    <w:p>
      <w:pPr>
        <w:ind w:left="360" w:hanging="353"/>
        <w:spacing w:after="0"/>
        <w:tabs>
          <w:tab w:leader="none" w:pos="3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Herewith</w:t>
      </w:r>
    </w:p>
    <w:p>
      <w:pPr>
        <w:spacing w:after="0" w:line="8" w:lineRule="exact"/>
        <w:rPr>
          <w:sz w:val="20"/>
          <w:szCs w:val="20"/>
          <w:color w:val="auto"/>
        </w:rPr>
      </w:pPr>
    </w:p>
    <w:p>
      <w:pPr>
        <w:ind w:left="300" w:hanging="293"/>
        <w:spacing w:after="0"/>
        <w:tabs>
          <w:tab w:leader="none" w:pos="3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compensatory plan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99695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4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43"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33655</wp:posOffset>
            </wp:positionV>
            <wp:extent cx="381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18255" cy="8255"/>
                    </a:xfrm>
                    <a:prstGeom prst="rect">
                      <a:avLst/>
                    </a:prstGeom>
                    <a:noFill/>
                  </pic:spPr>
                </pic:pic>
              </a:graphicData>
            </a:graphic>
          </wp:anchor>
        </w:drawing>
      </w:r>
    </w:p>
    <w:p>
      <w:pPr>
        <w:spacing w:after="0" w:line="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Michael Osanloo</w:t>
      </w:r>
    </w:p>
    <w:p>
      <w:pPr>
        <w:spacing w:after="0" w:line="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President, Chief Executive Officer and Director</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Executive Officer)</w:t>
      </w:r>
    </w:p>
    <w:p>
      <w:pPr>
        <w:spacing w:after="0" w:line="325"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33655</wp:posOffset>
            </wp:positionV>
            <wp:extent cx="381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18255" cy="8255"/>
                    </a:xfrm>
                    <a:prstGeom prst="rect">
                      <a:avLst/>
                    </a:prstGeom>
                    <a:noFill/>
                  </pic:spPr>
                </pic:pic>
              </a:graphicData>
            </a:graphic>
          </wp:anchor>
        </w:drawing>
      </w:r>
    </w:p>
    <w:p>
      <w:pPr>
        <w:spacing w:after="0" w:line="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Michelle Hook</w:t>
      </w:r>
    </w:p>
    <w:p>
      <w:pPr>
        <w:spacing w:after="0" w:line="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and Treasurer</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0180" cy="1619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0180" cy="161925"/>
                    </a:xfrm>
                    <a:prstGeom prst="rect">
                      <a:avLst/>
                    </a:prstGeom>
                    <a:noFill/>
                    <a:ln>
                      <a:noFill/>
                    </a:ln>
                  </pic:spPr>
                </pic:pic>
              </a:graphicData>
            </a:graphic>
          </wp:inline>
        </w:drawing>
      </w:r>
      <w:r>
        <w:rPr>
          <w:rFonts w:ascii="Arial" w:cs="Arial" w:eastAsia="Arial" w:hAnsi="Arial"/>
          <w:sz w:val="18"/>
          <w:szCs w:val="18"/>
          <w:color w:val="auto"/>
        </w:rPr>
        <w:t xml:space="preserve"> Form 10-Q | 38</w:t>
      </w:r>
    </w:p>
    <w:p>
      <w:pPr>
        <w:sectPr>
          <w:pgSz w:w="11900" w:h="16838" w:orient="portrait"/>
          <w:cols w:equalWidth="0" w:num="1">
            <w:col w:w="11240"/>
          </w:cols>
          <w:pgMar w:left="320" w:top="362"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CERTIFICATE OF INCORPORATION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4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b w:val="1"/>
          <w:bCs w:val="1"/>
          <w:color w:val="auto"/>
        </w:rPr>
        <w:t>PORTILLO’S INC.</w:t>
      </w:r>
    </w:p>
    <w:p>
      <w:pPr>
        <w:spacing w:after="0" w:line="2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(Pursuant to Section 242 and 245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General Corporation Law of the State of Delaware)</w:t>
      </w:r>
    </w:p>
    <w:p>
      <w:pPr>
        <w:spacing w:after="0" w:line="191"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Portillo’s Inc., a corporation organized and existing under the laws of the State of Delaware (the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hereby certifies as follows:</w:t>
      </w:r>
    </w:p>
    <w:p>
      <w:pPr>
        <w:spacing w:after="0" w:line="126"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FIRST: The name of the Corporation is Portillo’s Inc. The date of filing of its original certificate of incorporation with the Secretary of State of the State of Delaware was June 8, 2021 (the “</w:t>
      </w:r>
      <w:r>
        <w:rPr>
          <w:rFonts w:ascii="Times New Roman" w:cs="Times New Roman" w:eastAsia="Times New Roman" w:hAnsi="Times New Roman"/>
          <w:sz w:val="21"/>
          <w:szCs w:val="21"/>
          <w:u w:val="single" w:color="auto"/>
          <w:color w:val="auto"/>
        </w:rPr>
        <w:t>Previous Certificate of Incorporation</w:t>
      </w:r>
      <w:r>
        <w:rPr>
          <w:rFonts w:ascii="Times New Roman" w:cs="Times New Roman" w:eastAsia="Times New Roman" w:hAnsi="Times New Roman"/>
          <w:sz w:val="21"/>
          <w:szCs w:val="21"/>
          <w:color w:val="auto"/>
        </w:rPr>
        <w:t>”) under the name Portillo’s Inc.</w:t>
      </w:r>
    </w:p>
    <w:p>
      <w:pPr>
        <w:spacing w:after="0" w:line="153"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SECOND: The Board of Directors of the Corporation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adopted resolutions proposing to amend and restate the Previous Certificate of Incorporation, and the sole stockholder of the Corporation has duly approved the amendment and restatement by written consent pursuant to and in accordance with Section 228 of the DGCL.</w:t>
      </w:r>
    </w:p>
    <w:p>
      <w:pPr>
        <w:spacing w:after="0" w:line="153"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THIRD: This Amended and Restated Certificate of Incorporation (this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has been duly adopted in accordance with Sections 228, 242 and 245 of the General Corporation Law of the State of Delaware (as from time to time in effect, the “</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44"/>
        <w:spacing w:after="0" w:line="277" w:lineRule="auto"/>
        <w:rPr>
          <w:sz w:val="20"/>
          <w:szCs w:val="20"/>
          <w:color w:val="auto"/>
        </w:rPr>
      </w:pPr>
      <w:r>
        <w:rPr>
          <w:rFonts w:ascii="Times New Roman" w:cs="Times New Roman" w:eastAsia="Times New Roman" w:hAnsi="Times New Roman"/>
          <w:sz w:val="21"/>
          <w:szCs w:val="21"/>
          <w:color w:val="auto"/>
        </w:rPr>
        <w:t>FOURTH: This Certificate of Incorporation restated, integrates and further amends in its entirety the Previous Certificate of Incorporation to read as follows:</w:t>
      </w:r>
    </w:p>
    <w:p>
      <w:pPr>
        <w:spacing w:after="0" w:line="140" w:lineRule="exact"/>
        <w:rPr>
          <w:sz w:val="20"/>
          <w:szCs w:val="20"/>
          <w:color w:val="auto"/>
        </w:rPr>
      </w:pPr>
    </w:p>
    <w:p>
      <w:pPr>
        <w:ind w:left="660" w:hanging="653"/>
        <w:spacing w:after="0"/>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Name</w:t>
      </w:r>
      <w:r>
        <w:rPr>
          <w:rFonts w:ascii="Times New Roman" w:cs="Times New Roman" w:eastAsia="Times New Roman" w:hAnsi="Times New Roman"/>
          <w:sz w:val="21"/>
          <w:szCs w:val="21"/>
          <w:color w:val="auto"/>
        </w:rPr>
        <w:t>. The name of the Corporation is Portillo’s Inc.</w:t>
      </w:r>
    </w:p>
    <w:p>
      <w:pPr>
        <w:spacing w:after="0" w:line="228" w:lineRule="exact"/>
        <w:rPr>
          <w:rFonts w:ascii="Times New Roman" w:cs="Times New Roman" w:eastAsia="Times New Roman" w:hAnsi="Times New Roman"/>
          <w:sz w:val="21"/>
          <w:szCs w:val="21"/>
          <w:color w:val="auto"/>
        </w:rPr>
      </w:pPr>
    </w:p>
    <w:p>
      <w:pPr>
        <w:jc w:val="both"/>
        <w:ind w:firstLine="7"/>
        <w:spacing w:after="0" w:line="265" w:lineRule="auto"/>
        <w:tabs>
          <w:tab w:leader="none" w:pos="644"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Address; Registered Office and Agent</w:t>
      </w:r>
      <w:r>
        <w:rPr>
          <w:rFonts w:ascii="Times New Roman" w:cs="Times New Roman" w:eastAsia="Times New Roman" w:hAnsi="Times New Roman"/>
          <w:sz w:val="21"/>
          <w:szCs w:val="21"/>
          <w:color w:val="auto"/>
        </w:rPr>
        <w:t>. The address of the Corporation’s registered office in the State of Delaware is c/o the Corporation Trust Company, 1209 Orange Street, Wilmington, Delaware 19801, County of New Castle and the name of its registered agent at such address is the Corporation Trust Company.</w:t>
      </w:r>
    </w:p>
    <w:p>
      <w:pPr>
        <w:spacing w:after="0" w:line="152" w:lineRule="exact"/>
        <w:rPr>
          <w:rFonts w:ascii="Times New Roman" w:cs="Times New Roman" w:eastAsia="Times New Roman" w:hAnsi="Times New Roman"/>
          <w:sz w:val="21"/>
          <w:szCs w:val="21"/>
          <w:color w:val="auto"/>
        </w:rPr>
      </w:pPr>
    </w:p>
    <w:p>
      <w:pPr>
        <w:ind w:firstLine="7"/>
        <w:spacing w:after="0" w:line="277" w:lineRule="auto"/>
        <w:tabs>
          <w:tab w:leader="none" w:pos="644"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Purposes</w:t>
      </w:r>
      <w:r>
        <w:rPr>
          <w:rFonts w:ascii="Times New Roman" w:cs="Times New Roman" w:eastAsia="Times New Roman" w:hAnsi="Times New Roman"/>
          <w:sz w:val="21"/>
          <w:szCs w:val="21"/>
          <w:color w:val="auto"/>
        </w:rPr>
        <w:t>. The purpose of the Corporation is to engage in any lawful act or activity for which corporations may be organized under the DGCL.</w:t>
      </w:r>
    </w:p>
    <w:p>
      <w:pPr>
        <w:spacing w:after="0" w:line="153" w:lineRule="exact"/>
        <w:rPr>
          <w:rFonts w:ascii="Times New Roman" w:cs="Times New Roman" w:eastAsia="Times New Roman" w:hAnsi="Times New Roman"/>
          <w:sz w:val="21"/>
          <w:szCs w:val="21"/>
          <w:color w:val="auto"/>
        </w:rPr>
      </w:pPr>
    </w:p>
    <w:p>
      <w:pPr>
        <w:ind w:left="660" w:hanging="653"/>
        <w:spacing w:after="0"/>
        <w:tabs>
          <w:tab w:leader="none" w:pos="6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Number of Shares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firstLine="644"/>
        <w:spacing w:after="0" w:line="256" w:lineRule="auto"/>
        <w:rPr>
          <w:sz w:val="20"/>
          <w:szCs w:val="20"/>
          <w:color w:val="auto"/>
        </w:rPr>
      </w:pPr>
      <w:r>
        <w:rPr>
          <w:rFonts w:ascii="Times New Roman" w:cs="Times New Roman" w:eastAsia="Times New Roman" w:hAnsi="Times New Roman"/>
          <w:sz w:val="21"/>
          <w:szCs w:val="21"/>
          <w:color w:val="auto"/>
        </w:rPr>
        <w:t>4.1 The total number of shares of all classes of stock that the Corporation shall have authority to issue is 440,000,000 shares, consisting of three classes as follows: (i) 380,000,000 shares of Class A common stock, with the par value of $0.01 per share (the “</w:t>
      </w:r>
      <w:r>
        <w:rPr>
          <w:rFonts w:ascii="Times New Roman" w:cs="Times New Roman" w:eastAsia="Times New Roman" w:hAnsi="Times New Roman"/>
          <w:sz w:val="21"/>
          <w:szCs w:val="21"/>
          <w:u w:val="single" w:color="auto"/>
          <w:color w:val="auto"/>
        </w:rPr>
        <w:t>Class A Common Stock</w:t>
      </w:r>
      <w:r>
        <w:rPr>
          <w:rFonts w:ascii="Times New Roman" w:cs="Times New Roman" w:eastAsia="Times New Roman" w:hAnsi="Times New Roman"/>
          <w:sz w:val="21"/>
          <w:szCs w:val="21"/>
          <w:color w:val="auto"/>
        </w:rPr>
        <w:t>”); (ii) 50,000,000 shares of Class B common stock, with the par value of $0.00001 per share (the “</w:t>
      </w:r>
      <w:r>
        <w:rPr>
          <w:rFonts w:ascii="Times New Roman" w:cs="Times New Roman" w:eastAsia="Times New Roman" w:hAnsi="Times New Roman"/>
          <w:sz w:val="21"/>
          <w:szCs w:val="21"/>
          <w:u w:val="single" w:color="auto"/>
          <w:color w:val="auto"/>
        </w:rPr>
        <w:t>Class B Common Stock</w:t>
      </w:r>
      <w:r>
        <w:rPr>
          <w:rFonts w:ascii="Times New Roman" w:cs="Times New Roman" w:eastAsia="Times New Roman" w:hAnsi="Times New Roman"/>
          <w:sz w:val="21"/>
          <w:szCs w:val="21"/>
          <w:color w:val="auto"/>
        </w:rPr>
        <w:t>” and, together with Class A Common Stock,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and (iii) 10,000,000 shares of preferred stock, with the par value of $0.01 per share (the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color w:val="auto"/>
        </w:rPr>
        <w:t>WEIL:\98095539\11\68083.0004</w:t>
      </w:r>
    </w:p>
    <w:p>
      <w:pPr>
        <w:sectPr>
          <w:pgSz w:w="11900" w:h="16838" w:orient="portrait"/>
          <w:cols w:equalWidth="0" w:num="1">
            <w:col w:w="11240"/>
          </w:cols>
          <w:pgMar w:left="320" w:top="108" w:right="339" w:bottom="1440" w:gutter="0" w:footer="0" w:header="0"/>
          <w:type w:val="continuous"/>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Effective upon the effectiveness of the filing of this Certificate of Incorporation with the Secretary of State of the State of Delaware (the “</w:t>
      </w:r>
      <w:r>
        <w:rPr>
          <w:rFonts w:ascii="Times New Roman" w:cs="Times New Roman" w:eastAsia="Times New Roman" w:hAnsi="Times New Roman"/>
          <w:sz w:val="21"/>
          <w:szCs w:val="21"/>
          <w:u w:val="single" w:color="auto"/>
          <w:color w:val="auto"/>
        </w:rPr>
        <w:t>Reclassification Effective Time</w:t>
      </w:r>
      <w:r>
        <w:rPr>
          <w:rFonts w:ascii="Times New Roman" w:cs="Times New Roman" w:eastAsia="Times New Roman" w:hAnsi="Times New Roman"/>
          <w:sz w:val="21"/>
          <w:szCs w:val="21"/>
          <w:color w:val="auto"/>
        </w:rPr>
        <w:t>”), each share of common stock, par value $0.01 per share (the “</w:t>
      </w:r>
      <w:r>
        <w:rPr>
          <w:rFonts w:ascii="Times New Roman" w:cs="Times New Roman" w:eastAsia="Times New Roman" w:hAnsi="Times New Roman"/>
          <w:sz w:val="21"/>
          <w:szCs w:val="21"/>
          <w:u w:val="single" w:color="auto"/>
          <w:color w:val="auto"/>
        </w:rPr>
        <w:t>Old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issued and outstanding immediately prior to the Reclassification Effective Time, shall automatically, without further action on the part of the Corporation or any holder of such Old Common Stock, be reclassified as and become one (1) validly issued, fully paid and non-assessable share of Class A Common Stock.</w:t>
      </w:r>
    </w:p>
    <w:p>
      <w:pPr>
        <w:spacing w:after="0" w:line="162" w:lineRule="exact"/>
        <w:rPr>
          <w:sz w:val="20"/>
          <w:szCs w:val="20"/>
          <w:color w:val="auto"/>
        </w:rPr>
      </w:pPr>
    </w:p>
    <w:p>
      <w:pPr>
        <w:jc w:val="both"/>
        <w:ind w:firstLine="644"/>
        <w:spacing w:after="0" w:line="250" w:lineRule="auto"/>
        <w:rPr>
          <w:sz w:val="20"/>
          <w:szCs w:val="20"/>
          <w:color w:val="auto"/>
        </w:rPr>
      </w:pPr>
      <w:r>
        <w:rPr>
          <w:rFonts w:ascii="Times New Roman" w:cs="Times New Roman" w:eastAsia="Times New Roman" w:hAnsi="Times New Roman"/>
          <w:sz w:val="21"/>
          <w:szCs w:val="21"/>
          <w:color w:val="auto"/>
        </w:rPr>
        <w:t>4.2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DGCL, and no vote of the holders of any class of the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spacing w:after="0" w:line="185" w:lineRule="exact"/>
        <w:rPr>
          <w:sz w:val="20"/>
          <w:szCs w:val="20"/>
          <w:color w:val="auto"/>
        </w:rPr>
      </w:pPr>
    </w:p>
    <w:p>
      <w:pPr>
        <w:jc w:val="both"/>
        <w:ind w:firstLine="1296"/>
        <w:spacing w:after="0" w:line="257" w:lineRule="auto"/>
        <w:tabs>
          <w:tab w:leader="none" w:pos="19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Class A Common Stock, the number of shares of Class A Common Stock issuable in connection with (x) the redemption or exchange of all outstanding LLC Units corresponding to shares of Class B Common Stock, pursuant to Article 10 of the Second Amended and Restated LLC Agreement of PHD Group Holdings LLC and (y) the exercise of outstanding options, warrants, exchange rights, conversion rights or similar rights for Class A Common Stock;</w:t>
      </w:r>
    </w:p>
    <w:p>
      <w:pPr>
        <w:spacing w:after="0" w:line="160" w:lineRule="exact"/>
        <w:rPr>
          <w:rFonts w:ascii="Times New Roman" w:cs="Times New Roman" w:eastAsia="Times New Roman" w:hAnsi="Times New Roman"/>
          <w:sz w:val="21"/>
          <w:szCs w:val="21"/>
          <w:color w:val="auto"/>
        </w:rPr>
      </w:pPr>
    </w:p>
    <w:p>
      <w:pPr>
        <w:jc w:val="both"/>
        <w:ind w:firstLine="1296"/>
        <w:spacing w:after="0" w:line="274" w:lineRule="auto"/>
        <w:tabs>
          <w:tab w:leader="none" w:pos="192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Class B Common Stock, the number of shares of Class B Common Stock issuable in connection with the exercise of outstanding options, warrants, exchange rights, conversion rights or similar rights for Class B Common Stock.</w:t>
      </w:r>
    </w:p>
    <w:p>
      <w:pPr>
        <w:spacing w:after="0" w:line="200" w:lineRule="exact"/>
        <w:rPr>
          <w:sz w:val="20"/>
          <w:szCs w:val="20"/>
          <w:color w:val="auto"/>
        </w:rPr>
      </w:pPr>
    </w:p>
    <w:p>
      <w:pPr>
        <w:spacing w:after="0" w:line="201" w:lineRule="exact"/>
        <w:rPr>
          <w:sz w:val="20"/>
          <w:szCs w:val="20"/>
          <w:color w:val="auto"/>
        </w:rPr>
      </w:pPr>
    </w:p>
    <w:p>
      <w:pPr>
        <w:ind w:firstLine="7"/>
        <w:spacing w:after="0" w:line="291" w:lineRule="auto"/>
        <w:tabs>
          <w:tab w:leader="none" w:pos="64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Classes of Shares</w:t>
      </w:r>
      <w:r>
        <w:rPr>
          <w:rFonts w:ascii="Times New Roman" w:cs="Times New Roman" w:eastAsia="Times New Roman" w:hAnsi="Times New Roman"/>
          <w:sz w:val="21"/>
          <w:szCs w:val="21"/>
          <w:color w:val="auto"/>
        </w:rPr>
        <w:t>. The designation, relative rights, preferences and limitations of the shares of each class of stock are as follows:</w:t>
      </w:r>
    </w:p>
    <w:p>
      <w:pPr>
        <w:spacing w:after="0" w:line="12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ind w:left="1920" w:hanging="624"/>
        <w:spacing w:after="0"/>
        <w:tabs>
          <w:tab w:leader="none" w:pos="192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 Rights</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940"/>
        <w:spacing w:after="0" w:line="251" w:lineRule="auto"/>
        <w:tabs>
          <w:tab w:leader="none" w:pos="2572"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holder of Class A Common Stock will be entitled to one vote for each share of Class A Common Stock held of record by such holder on all matters on which stockholders generally are entitled to vote, and each holder of Class B Common Stock will be entitled to one vote for each share of Class B Common Stock held of record by such holder on all matters on which stockholders generally are entitled to vote, except that, (x) in each case, to the fullest extent permitted by law and subject to Section 5.1(i)(2), holders of shares of each class of Common Stock, as such, will have no voting power with respect to, and will not be entitled to vote on, any amendment to this Certificate of Incorporation (including any certificate of designations relating to any series of Preferred Stock) that relates solely to the terms of any outstanding Preferred Stock if the holders of such Preferred Stock are entitled to vote as a separate class thereon under this Certificate of Incorporation (including any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3" w:name="page44"/>
    <w:bookmarkEnd w:id="43"/>
    <w:p>
      <w:pPr>
        <w:jc w:val="both"/>
        <w:spacing w:after="0" w:line="259" w:lineRule="auto"/>
        <w:rPr>
          <w:sz w:val="20"/>
          <w:szCs w:val="20"/>
          <w:color w:val="auto"/>
        </w:rPr>
      </w:pPr>
      <w:r>
        <w:rPr>
          <w:rFonts w:ascii="Times New Roman" w:cs="Times New Roman" w:eastAsia="Times New Roman" w:hAnsi="Times New Roman"/>
          <w:sz w:val="21"/>
          <w:szCs w:val="21"/>
          <w:color w:val="auto"/>
        </w:rPr>
        <w:t>designations relating to any series of Preferred Stock) or under DGCL and (y) holders of shares of Class B Common Stock shall have no vote per share of Class B Common Stock issued to such holder with respect to LLC Units and Corresponding Management Holdings Units that are unvested until such time as such LLC Units or Corresponding Management Holdings Units have vested.</w:t>
      </w:r>
    </w:p>
    <w:p>
      <w:pPr>
        <w:spacing w:after="0" w:line="200" w:lineRule="exact"/>
        <w:rPr>
          <w:sz w:val="20"/>
          <w:szCs w:val="20"/>
          <w:color w:val="auto"/>
        </w:rPr>
      </w:pPr>
    </w:p>
    <w:p>
      <w:pPr>
        <w:spacing w:after="0" w:line="226" w:lineRule="exact"/>
        <w:rPr>
          <w:sz w:val="20"/>
          <w:szCs w:val="20"/>
          <w:color w:val="auto"/>
        </w:rPr>
      </w:pPr>
    </w:p>
    <w:p>
      <w:pPr>
        <w:jc w:val="both"/>
        <w:ind w:firstLine="1940"/>
        <w:spacing w:after="0" w:line="247" w:lineRule="auto"/>
        <w:tabs>
          <w:tab w:leader="none" w:pos="2572"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holders of the outstanding shares of Class A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B Common Stock and (b) the holders of the outstanding shares of Class B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 it being understood that any merger, consolidation or other combination transaction shall not be deemed an amendment hereof if such merger, consolidation or other combination transaction (x) constitutes a Disposition Event in which holders of Paired Interests are required to exchange LLC Units pursuant to Section 10.04(b) of the Second Amended and Restated LLC Agreement of PHD Group Holdings LLC in such Disposition Event and receive consideration in such Disposition Event in accordance with the terms of the Second Amended and Restated LLC Agreement of PHD Group Holdings LLC as in effect prior to such Disposition Event and (y) provides for payments under or in respect of the tax receivable or similar agreement entered by the Corporation from time to time with any holder of Common Stock and/or securities of PHD Group Holdings LLC to be made in connection with any such merger, consolidation or other combination transaction in accordance with the terms of such tax receivable or similar agreement as in effect prior to such merger, consolidation or other combination transaction.</w:t>
      </w:r>
    </w:p>
    <w:p>
      <w:pPr>
        <w:spacing w:after="0" w:line="184" w:lineRule="exact"/>
        <w:rPr>
          <w:rFonts w:ascii="Times New Roman" w:cs="Times New Roman" w:eastAsia="Times New Roman" w:hAnsi="Times New Roman"/>
          <w:sz w:val="21"/>
          <w:szCs w:val="21"/>
          <w:color w:val="auto"/>
        </w:rPr>
      </w:pPr>
    </w:p>
    <w:p>
      <w:pPr>
        <w:jc w:val="both"/>
        <w:ind w:firstLine="1940"/>
        <w:spacing w:after="0" w:line="265" w:lineRule="auto"/>
        <w:tabs>
          <w:tab w:leader="none" w:pos="2572"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152" w:lineRule="exact"/>
        <w:rPr>
          <w:rFonts w:ascii="Times New Roman" w:cs="Times New Roman" w:eastAsia="Times New Roman" w:hAnsi="Times New Roman"/>
          <w:sz w:val="21"/>
          <w:szCs w:val="21"/>
          <w:color w:val="auto"/>
        </w:rPr>
      </w:pPr>
    </w:p>
    <w:p>
      <w:pPr>
        <w:jc w:val="both"/>
        <w:ind w:firstLine="1940"/>
        <w:spacing w:after="0" w:line="250" w:lineRule="auto"/>
        <w:tabs>
          <w:tab w:leader="none" w:pos="2572"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ratio at which LLC Units are redeemable or exchangeable for shares of Class A Common Stock pursuant to Article 10 of the Second Amended and Restated LLC Agreement of PHD Group Holdings LLC is amended, the number of votes per corresponding share of Class B Common Stock to which holders of shares of Class B Common Stock are entitled pursuant to Section 5.1(i)(1) shall be automatically adjusted accordingly so that from and after such time, the aggregate number of votes that a holder of Class B Common Stock is entitled to vote with respect to all shares of Class B Common Stock held by such holder is equal to the number of share of Class A Common Stock subject to be redeemed or exchanged for all LLC Units held by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4" w:name="page45"/>
    <w:bookmarkEnd w:id="44"/>
    <w:p>
      <w:pPr>
        <w:ind w:left="1940" w:hanging="644"/>
        <w:spacing w:after="0"/>
        <w:tabs>
          <w:tab w:leader="none" w:pos="194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Dividends; Stock Splits or Combinations</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940"/>
        <w:spacing w:after="0" w:line="256" w:lineRule="auto"/>
        <w:tabs>
          <w:tab w:leader="none" w:pos="2572"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applicable law and the rights, if any, of the holders of any outstanding series of Preferred Stock or any class or series of stock having a preference senior to or the right to participate with the Class A Common Stock with respect to the payment of dividends, dividends of cash, stock or property may be declared and paid on the Class A Common Stock out of the assets of the Corporation that are by law available therefor, at the times and in the amounts as the Board in its discretion may determine.</w:t>
      </w:r>
    </w:p>
    <w:p>
      <w:pPr>
        <w:spacing w:after="0" w:line="161" w:lineRule="exact"/>
        <w:rPr>
          <w:rFonts w:ascii="Times New Roman" w:cs="Times New Roman" w:eastAsia="Times New Roman" w:hAnsi="Times New Roman"/>
          <w:sz w:val="21"/>
          <w:szCs w:val="21"/>
          <w:color w:val="auto"/>
        </w:rPr>
      </w:pPr>
    </w:p>
    <w:p>
      <w:pPr>
        <w:ind w:right="20" w:firstLine="1940"/>
        <w:spacing w:after="0" w:line="291" w:lineRule="auto"/>
        <w:tabs>
          <w:tab w:leader="none" w:pos="2572"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Section 5.1(ii)(3) with respect to stock dividends, dividends of cash, stock or property may not be declared or paid on shares of Class B Common Stock.</w:t>
      </w:r>
    </w:p>
    <w:p>
      <w:pPr>
        <w:spacing w:after="0" w:line="125" w:lineRule="exact"/>
        <w:rPr>
          <w:rFonts w:ascii="Times New Roman" w:cs="Times New Roman" w:eastAsia="Times New Roman" w:hAnsi="Times New Roman"/>
          <w:sz w:val="21"/>
          <w:szCs w:val="21"/>
          <w:color w:val="auto"/>
        </w:rPr>
      </w:pPr>
    </w:p>
    <w:p>
      <w:pPr>
        <w:jc w:val="both"/>
        <w:ind w:firstLine="1940"/>
        <w:spacing w:after="0" w:line="252" w:lineRule="auto"/>
        <w:tabs>
          <w:tab w:leader="none" w:pos="2572"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will any stock dividend, stock split, reverse stock split, combination of stock, reclassification or recapitalization be declared or made on any class of Common Stock (each, a “</w:t>
      </w:r>
      <w:r>
        <w:rPr>
          <w:rFonts w:ascii="Times New Roman" w:cs="Times New Roman" w:eastAsia="Times New Roman" w:hAnsi="Times New Roman"/>
          <w:sz w:val="21"/>
          <w:szCs w:val="21"/>
          <w:u w:val="single" w:color="auto"/>
          <w:color w:val="auto"/>
        </w:rPr>
        <w:t>Stock Adjustment</w:t>
      </w:r>
      <w:r>
        <w:rPr>
          <w:rFonts w:ascii="Times New Roman" w:cs="Times New Roman" w:eastAsia="Times New Roman" w:hAnsi="Times New Roman"/>
          <w:sz w:val="21"/>
          <w:szCs w:val="21"/>
          <w:color w:val="auto"/>
        </w:rPr>
        <w:t>”) unless (a) a corresponding Stock Adjustment for all other classes of Common Stock not so adjusted at the time outstanding is made in the same proportion and the same manner and (b) the Stock Adjustment has been reflected in the same economically equivalent manner on all LLC Units. Stock dividends with respect to each class of Common Stock may only be paid with shares of stock of the same class of Common Stock.</w:t>
      </w:r>
    </w:p>
    <w:p>
      <w:pPr>
        <w:spacing w:after="0" w:line="169" w:lineRule="exact"/>
        <w:rPr>
          <w:rFonts w:ascii="Times New Roman" w:cs="Times New Roman" w:eastAsia="Times New Roman" w:hAnsi="Times New Roman"/>
          <w:sz w:val="21"/>
          <w:szCs w:val="21"/>
          <w:color w:val="auto"/>
        </w:rPr>
      </w:pPr>
    </w:p>
    <w:p>
      <w:pPr>
        <w:jc w:val="both"/>
        <w:ind w:firstLine="1296"/>
        <w:spacing w:after="0" w:line="250" w:lineRule="auto"/>
        <w:tabs>
          <w:tab w:leader="none" w:pos="193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Liquidation</w:t>
      </w:r>
      <w:r>
        <w:rPr>
          <w:rFonts w:ascii="Times New Roman" w:cs="Times New Roman" w:eastAsia="Times New Roman" w:hAnsi="Times New Roman"/>
          <w:sz w:val="21"/>
          <w:szCs w:val="21"/>
          <w:color w:val="auto"/>
        </w:rPr>
        <w:t>.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will be entitled to receive the assets of the Corporation available for distribution ratably in proportion to the number of shares of Class A Common Stock. Without limiting the rights of the holders of Class B Common Stock to exchange their LLC Units for shares of Class A Common Stock in accordance with Section 10.01 of the Second Amended and Restated LLC Agreement of PHD Group Holdings LLC (or for the consideration payable in respect of shares of Class A Common Stock in such voluntary or involuntary liquidation, dissolution or winding-up), the holders of shares of Class B Common Stock, as such, will not be entitled to receive, with respect to such shares, any assets of the Corporation in the event of any voluntary or involuntary liquidation, dissolution or winding up of the affairs of the Corporation.</w:t>
      </w:r>
    </w:p>
    <w:p>
      <w:pPr>
        <w:spacing w:after="0" w:line="169" w:lineRule="exact"/>
        <w:rPr>
          <w:sz w:val="20"/>
          <w:szCs w:val="20"/>
          <w:color w:val="auto"/>
        </w:rPr>
      </w:pPr>
    </w:p>
    <w:p>
      <w:pPr>
        <w:jc w:val="both"/>
        <w:ind w:firstLine="644"/>
        <w:spacing w:after="0" w:line="251"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xml:space="preserve">. Shares of Preferred Stock may be issued from time to time in one or more series of any number of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aggregate number of shares issued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5" w:name="page46"/>
    <w:bookmarkEnd w:id="45"/>
    <w:p>
      <w:pPr>
        <w:jc w:val="both"/>
        <w:spacing w:after="0" w:line="247" w:lineRule="auto"/>
        <w:rPr>
          <w:sz w:val="20"/>
          <w:szCs w:val="20"/>
          <w:color w:val="auto"/>
        </w:rPr>
      </w:pPr>
      <w:r>
        <w:rPr>
          <w:rFonts w:ascii="Times New Roman" w:cs="Times New Roman" w:eastAsia="Times New Roman" w:hAnsi="Times New Roman"/>
          <w:sz w:val="21"/>
          <w:szCs w:val="21"/>
          <w:color w:val="auto"/>
        </w:rPr>
        <w:t>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stock, if any; (iv) may have such rights upon the voluntary or involuntary liquidation, winding-up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200" w:lineRule="exact"/>
        <w:rPr>
          <w:sz w:val="20"/>
          <w:szCs w:val="20"/>
          <w:color w:val="auto"/>
        </w:rPr>
      </w:pPr>
    </w:p>
    <w:p>
      <w:pPr>
        <w:spacing w:after="0" w:line="239" w:lineRule="exact"/>
        <w:rPr>
          <w:sz w:val="20"/>
          <w:szCs w:val="20"/>
          <w:color w:val="auto"/>
        </w:rPr>
      </w:pPr>
    </w:p>
    <w:p>
      <w:pPr>
        <w:ind w:left="660" w:hanging="653"/>
        <w:spacing w:after="0"/>
        <w:tabs>
          <w:tab w:leader="none" w:pos="66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B Common Stock</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firstLine="644"/>
        <w:spacing w:after="0" w:line="252"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Retirement of Class B Shares</w:t>
      </w:r>
      <w:r>
        <w:rPr>
          <w:rFonts w:ascii="Times New Roman" w:cs="Times New Roman" w:eastAsia="Times New Roman" w:hAnsi="Times New Roman"/>
          <w:sz w:val="21"/>
          <w:szCs w:val="21"/>
          <w:color w:val="auto"/>
        </w:rPr>
        <w:t>. No holder of Class B Common Stock may Transfer shares of Class B Common Stock to any Person unless such holder transfers a corresponding number of LLC Units to the same Person in accordance with the provisions of the Second Amended and Restated LLC Agreement of PHD Group Holdings LLC, as such agreement may be amended from time to time in accordance with the terms thereof. If any outstanding share of Class B Common Stock ceases to be held by a holder of an LLC Unit, such share shall automatically and without further action on the part of the Corporation or such holder be transferred to the Corporation for no consideration and retired and cancelled.</w:t>
      </w:r>
    </w:p>
    <w:p>
      <w:pPr>
        <w:spacing w:after="0" w:line="170" w:lineRule="exact"/>
        <w:rPr>
          <w:sz w:val="20"/>
          <w:szCs w:val="20"/>
          <w:color w:val="auto"/>
        </w:rPr>
      </w:pPr>
    </w:p>
    <w:p>
      <w:pPr>
        <w:jc w:val="both"/>
        <w:ind w:firstLine="644"/>
        <w:spacing w:after="0" w:line="252"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Reservation of Shares of Class A Common Stock</w:t>
      </w:r>
      <w:r>
        <w:rPr>
          <w:rFonts w:ascii="Times New Roman" w:cs="Times New Roman" w:eastAsia="Times New Roman" w:hAnsi="Times New Roman"/>
          <w:sz w:val="21"/>
          <w:szCs w:val="21"/>
          <w:color w:val="auto"/>
        </w:rPr>
        <w:t>. The Corporation will at all times reserve and keep available out of its authorized and unissued shares of Class A Common Stock, solely for the purpose of the issuance upon the redemption or exchange of LLC Units, the number of shares of Class A Common Stock that are issuable upon the redemption or exchange of all outstanding LLC Units held by holders of Paired Interests, pursuant to Article 10 of the Second Amended and Restated LLC Agreement of PHD Group Holdings LLC. The Corporation covenants that all the shares of Class A Common Stock that are issued upon the redemption or exchange of such Paired Interests will, upon issuance, be validly issued, fully paid and non-assessable.</w:t>
      </w:r>
    </w:p>
    <w:p>
      <w:pPr>
        <w:spacing w:after="0" w:line="183" w:lineRule="exact"/>
        <w:rPr>
          <w:sz w:val="20"/>
          <w:szCs w:val="20"/>
          <w:color w:val="auto"/>
        </w:rPr>
      </w:pPr>
    </w:p>
    <w:p>
      <w:pPr>
        <w:jc w:val="both"/>
        <w:ind w:right="20" w:firstLine="644"/>
        <w:spacing w:after="0" w:line="277"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issuance of shares of Class A Common Stock upon the exercise by holders of Paired Interests of their right under Section 10.01 of the Second Amended and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6" w:name="page47"/>
    <w:bookmarkEnd w:id="46"/>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Restated LLC Agreement of PHD Group Holdings LLC to exchange their LLC Units or have their LLC Units redeemed will be made without charge to such holders for any transfer taxes, stamp taxes or duties or other similar tax in respect of the issuance;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such shares of Class A Common Stock are to be issued in a name other than that of the then record holder of the LLC Units being redeemed or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167" w:lineRule="exact"/>
        <w:rPr>
          <w:sz w:val="20"/>
          <w:szCs w:val="20"/>
          <w:color w:val="auto"/>
        </w:rPr>
      </w:pPr>
    </w:p>
    <w:p>
      <w:pPr>
        <w:jc w:val="both"/>
        <w:ind w:firstLine="644"/>
        <w:spacing w:after="0" w:line="256"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Preemptive Rights</w:t>
      </w:r>
      <w:r>
        <w:rPr>
          <w:rFonts w:ascii="Times New Roman" w:cs="Times New Roman" w:eastAsia="Times New Roman" w:hAnsi="Times New Roman"/>
          <w:sz w:val="21"/>
          <w:szCs w:val="21"/>
          <w:color w:val="auto"/>
        </w:rPr>
        <w:t>. To the extent LLC Units are issued pursuant to the Second Amended and Restated LLC Agreement of PHD Group Holdings LLC to anyone other than the Corporation or a wholly owned subsidiary of the Corporation (including pursuant to Section 9.02 (or any equivalent successor provision) of the Second Amended and Restated LLC Agreement of PHD Group Holdings LLC), an equivalent number of shares of Class B Common Stock (subject to adjustment as set forth herein) shall concurrently be issued to the same Person to which such LLC Units are issued.</w:t>
      </w:r>
    </w:p>
    <w:p>
      <w:pPr>
        <w:spacing w:after="0" w:line="162" w:lineRule="exact"/>
        <w:rPr>
          <w:sz w:val="20"/>
          <w:szCs w:val="20"/>
          <w:color w:val="auto"/>
        </w:rPr>
      </w:pPr>
    </w:p>
    <w:p>
      <w:pPr>
        <w:ind w:left="660" w:hanging="653"/>
        <w:spacing w:after="0"/>
        <w:tabs>
          <w:tab w:leader="none" w:pos="6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 of Directors.</w:t>
      </w:r>
    </w:p>
    <w:p>
      <w:pPr>
        <w:spacing w:after="0" w:line="215" w:lineRule="exact"/>
        <w:rPr>
          <w:sz w:val="20"/>
          <w:szCs w:val="20"/>
          <w:color w:val="auto"/>
        </w:rPr>
      </w:pPr>
    </w:p>
    <w:p>
      <w:pPr>
        <w:jc w:val="both"/>
        <w:ind w:firstLine="644"/>
        <w:spacing w:after="0" w:line="253"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Powers of the Board</w:t>
      </w:r>
      <w:r>
        <w:rPr>
          <w:rFonts w:ascii="Times New Roman" w:cs="Times New Roman" w:eastAsia="Times New Roman" w:hAnsi="Times New Roman"/>
          <w:sz w:val="21"/>
          <w:szCs w:val="21"/>
          <w:color w:val="auto"/>
        </w:rPr>
        <w:t>. Except as otherwise provided by the DGCL or this Certificate of Incorporation, the business and affairs of the Corporation shall be managed by or under the direction of the Board. In addition to the powers and authority expressly conferred upon them by applicable law or by this Certificate of Incorporation (including any certificate of designations relating to any series or class of Preferred Stock) or the By-laws of the Corporation (the “</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 the Board is hereby empowered to exercise all such powers and do all such acts and things as may be exercised or done by the Corporation, except as otherwise specifically required by law or as otherwise provided in this Certificate of Incorporation (including any certificate of designations relating to any series or class of Preferred Stock).</w:t>
      </w:r>
    </w:p>
    <w:p>
      <w:pPr>
        <w:spacing w:after="0" w:line="164" w:lineRule="exact"/>
        <w:rPr>
          <w:sz w:val="20"/>
          <w:szCs w:val="20"/>
          <w:color w:val="auto"/>
        </w:rPr>
      </w:pPr>
    </w:p>
    <w:p>
      <w:pPr>
        <w:jc w:val="both"/>
        <w:ind w:firstLine="644"/>
        <w:spacing w:after="0" w:line="257"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Number of Directors</w:t>
      </w:r>
      <w:r>
        <w:rPr>
          <w:rFonts w:ascii="Times New Roman" w:cs="Times New Roman" w:eastAsia="Times New Roman" w:hAnsi="Times New Roman"/>
          <w:sz w:val="21"/>
          <w:szCs w:val="21"/>
          <w:color w:val="auto"/>
        </w:rPr>
        <w:t>. The total number of directors of the Corporation (the “</w:t>
      </w:r>
      <w:r>
        <w:rPr>
          <w:rFonts w:ascii="Times New Roman" w:cs="Times New Roman" w:eastAsia="Times New Roman" w:hAnsi="Times New Roman"/>
          <w:sz w:val="21"/>
          <w:szCs w:val="21"/>
          <w:u w:val="single" w:color="auto"/>
          <w:color w:val="auto"/>
        </w:rPr>
        <w:t>Directors</w:t>
      </w:r>
      <w:r>
        <w:rPr>
          <w:rFonts w:ascii="Times New Roman" w:cs="Times New Roman" w:eastAsia="Times New Roman" w:hAnsi="Times New Roman"/>
          <w:sz w:val="21"/>
          <w:szCs w:val="21"/>
          <w:color w:val="auto"/>
        </w:rPr>
        <w:t>”) constituting the Board shall be at least one, and subject to any rights of the holders of any series of Preferred Stock then outstanding to elect additional directors under specified circumstances or otherwise, the total number of directors constituting the whole Board of Directors shall be determined from time to time exclusively by resolutions adopted by the Board of Directors.</w:t>
      </w:r>
    </w:p>
    <w:p>
      <w:pPr>
        <w:spacing w:after="0" w:line="174" w:lineRule="exact"/>
        <w:rPr>
          <w:sz w:val="20"/>
          <w:szCs w:val="20"/>
          <w:color w:val="auto"/>
        </w:rPr>
      </w:pPr>
    </w:p>
    <w:p>
      <w:pPr>
        <w:jc w:val="both"/>
        <w:ind w:firstLine="644"/>
        <w:spacing w:after="0" w:line="277"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u w:val="single" w:color="auto"/>
          <w:color w:val="auto"/>
        </w:rPr>
        <w:t>Elections of Directors</w:t>
      </w:r>
      <w:r>
        <w:rPr>
          <w:rFonts w:ascii="Times New Roman" w:cs="Times New Roman" w:eastAsia="Times New Roman" w:hAnsi="Times New Roman"/>
          <w:sz w:val="21"/>
          <w:szCs w:val="21"/>
          <w:color w:val="auto"/>
        </w:rPr>
        <w:t>. Directors shall be elected annually at the annual meeting of stockholders which need not be by written ballot except to the extent provided in the By-laws.</w:t>
      </w:r>
    </w:p>
    <w:p>
      <w:pPr>
        <w:spacing w:after="0" w:line="154" w:lineRule="exact"/>
        <w:rPr>
          <w:sz w:val="20"/>
          <w:szCs w:val="20"/>
          <w:color w:val="auto"/>
        </w:rPr>
      </w:pPr>
    </w:p>
    <w:p>
      <w:pPr>
        <w:jc w:val="both"/>
        <w:ind w:firstLine="644"/>
        <w:spacing w:after="0" w:line="257"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Advance Notice</w:t>
      </w:r>
      <w:r>
        <w:rPr>
          <w:rFonts w:ascii="Times New Roman" w:cs="Times New Roman" w:eastAsia="Times New Roman" w:hAnsi="Times New Roman"/>
          <w:sz w:val="21"/>
          <w:szCs w:val="21"/>
          <w:color w:val="auto"/>
        </w:rPr>
        <w:t>. Advance notice of nominations for the election of Directors or proposals of other business to be considered by stockholders, made other than by the Board or a duly authorized committee thereof or any authorized officer of the Corporation to whom the Board or such committee shall have delegated such authority, shall be given in the manner provided in the By-laws. Without limiting the generality of the foregoing, the By-laws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color w:val="auto"/>
        </w:rPr>
        <w:t>require that such advance notice include such information as the Board may deem appropriate or useful.</w:t>
      </w:r>
    </w:p>
    <w:p>
      <w:pPr>
        <w:spacing w:after="0" w:line="215"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u w:val="single" w:color="auto"/>
          <w:color w:val="auto"/>
        </w:rPr>
        <w:t>Removal of Directors</w:t>
      </w:r>
      <w:r>
        <w:rPr>
          <w:rFonts w:ascii="Times New Roman" w:cs="Times New Roman" w:eastAsia="Times New Roman" w:hAnsi="Times New Roman"/>
          <w:sz w:val="21"/>
          <w:szCs w:val="21"/>
          <w:color w:val="auto"/>
        </w:rPr>
        <w:t>. Subject to the terms of any one or more series or classes of Preferred Stock, any Director who is elected to serve may be removed from office during such term, at any time by the affirmative vote of the holders of at least a majority of the voting power of the Corporation’s outstanding shares of stock entitled to vote generally in the election of Directors, voting together as a single class, with or without cause.</w:t>
      </w:r>
    </w:p>
    <w:p>
      <w:pPr>
        <w:spacing w:after="0" w:line="157" w:lineRule="exact"/>
        <w:rPr>
          <w:sz w:val="20"/>
          <w:szCs w:val="20"/>
          <w:color w:val="auto"/>
        </w:rPr>
      </w:pPr>
    </w:p>
    <w:p>
      <w:pPr>
        <w:jc w:val="both"/>
        <w:ind w:firstLine="644"/>
        <w:spacing w:after="0" w:line="277" w:lineRule="auto"/>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Directors shall hold office until the first annual meeting following their election and until the election and qualification of their respective successors in office or until such Director’s earlier death, resignation or removal.</w:t>
      </w:r>
    </w:p>
    <w:p>
      <w:pPr>
        <w:spacing w:after="0" w:line="154" w:lineRule="exact"/>
        <w:rPr>
          <w:sz w:val="20"/>
          <w:szCs w:val="20"/>
          <w:color w:val="auto"/>
        </w:rPr>
      </w:pPr>
    </w:p>
    <w:p>
      <w:pPr>
        <w:jc w:val="both"/>
        <w:ind w:firstLine="644"/>
        <w:spacing w:after="0" w:line="247"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u w:val="single" w:color="auto"/>
          <w:color w:val="auto"/>
        </w:rPr>
        <w:t>Director Elections by Holders of Preferred Stock</w:t>
      </w:r>
      <w:r>
        <w:rPr>
          <w:rFonts w:ascii="Times New Roman" w:cs="Times New Roman" w:eastAsia="Times New Roman" w:hAnsi="Times New Roman"/>
          <w:sz w:val="21"/>
          <w:szCs w:val="21"/>
          <w:color w:val="auto"/>
        </w:rPr>
        <w:t>. Notwithstanding the foregoing, whenever the holders of any one or more series or classes of Preferred Stock shall have the right, voting separately by series or class, to elect one or more Directors at an annual or special meeting of stockholders, the election, filling of vacancies, removal of Directors and other features of such one or more directorships shall be governed by the terms of such one or more series or classes of Preferred Stock to the extent permitted by law.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77" w:lineRule="exact"/>
        <w:rPr>
          <w:sz w:val="20"/>
          <w:szCs w:val="20"/>
          <w:color w:val="auto"/>
        </w:rPr>
      </w:pPr>
    </w:p>
    <w:p>
      <w:pPr>
        <w:jc w:val="both"/>
        <w:ind w:firstLine="7"/>
        <w:spacing w:after="0" w:line="251" w:lineRule="auto"/>
        <w:tabs>
          <w:tab w:leader="none" w:pos="64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Stockholder Action by Written Consent.</w:t>
      </w:r>
      <w:r>
        <w:rPr>
          <w:rFonts w:ascii="Times New Roman" w:cs="Times New Roman" w:eastAsia="Times New Roman" w:hAnsi="Times New Roman"/>
          <w:sz w:val="21"/>
          <w:szCs w:val="21"/>
          <w:color w:val="auto"/>
        </w:rPr>
        <w:t xml:space="preserve"> Subject to the terms of any one or more series or classes of Preferred Stock, from and prior to the time that the Berkshire Sponsor and its Affiliates collectively beneficially own (as shall be determined in accordance with Rules 13d-3 and 13d-5 of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less than 50% of the voting power of then outstanding shares of capital stock of the Corporation, any action required or permitted to be taken by the stockholders of the Corporation may, except as otherwise required by law or the Certificate of Incorporation, be taken without a meeting, without prior notice and without a vote, if a consent in writing, setting forth the action so taken, shall be signed by the holders of record of the issued and outstanding capital stock of the Corporation having not less than the minimum number of votes that would be necessary to authorize or take such action at a meeting at which all shares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8" w:name="page49"/>
    <w:bookmarkEnd w:id="48"/>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to vote thereon were present and voted, and the writing or writings are filed with the permanent records of the Corporation. Prompt notice of the taking of corporate action without a meeting by less than unanimous written consent shall be given to those stockholders who have not consented in writing. For purposes of this Section, “Affiliates” shall have the meaning set forth in Section 18(b) below;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the purposes of this definition none of (i) the Corporation, its subsidiaries and any entities (including corporations, partnerships, limited liability companies or other Persons) in which the Corporation or its subsidiaries hold, directly or indirectly, an ownership interest, on the one hand, or (ii) the Berkshire Sponsor and its affiliates (excluding the Corporation, its subsidiaries or other entities described in clause (i)), on the other hand, shall be deemed to be “Affiliates” of one another.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hanging="653"/>
        <w:spacing w:after="0"/>
        <w:tabs>
          <w:tab w:leader="none" w:pos="66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Meetings of Stockholders</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21"/>
          <w:szCs w:val="21"/>
          <w:color w:val="auto"/>
        </w:rPr>
        <w:t>9.1 An annual meeting of stockholders for the election of directors to succeed those whose terms expire and for the transaction of such other business as may properly come before the meeting shall be held at such place, on such date, and at such time as shall be fixed exclusively by resolution of the Board or duly authorized committee thereof.</w:t>
      </w:r>
    </w:p>
    <w:p>
      <w:pPr>
        <w:spacing w:after="0" w:line="174"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21"/>
          <w:szCs w:val="21"/>
          <w:color w:val="auto"/>
        </w:rPr>
        <w:t>9.2 Subject to the terms of any one or more series or classes of Preferred Stock, special meetings of the stockholders of the Corporation, for any purpose or purposes, may be called at any time, but only by or at the direction of a majority of the Board, the Chairperson or the chief executive officer of the Corporation.</w:t>
      </w:r>
    </w:p>
    <w:p>
      <w:pPr>
        <w:spacing w:after="0" w:line="174" w:lineRule="exact"/>
        <w:rPr>
          <w:sz w:val="20"/>
          <w:szCs w:val="20"/>
          <w:color w:val="auto"/>
        </w:rPr>
      </w:pPr>
    </w:p>
    <w:p>
      <w:pPr>
        <w:jc w:val="both"/>
        <w:ind w:firstLine="644"/>
        <w:spacing w:after="0" w:line="277" w:lineRule="auto"/>
        <w:rPr>
          <w:sz w:val="20"/>
          <w:szCs w:val="20"/>
          <w:color w:val="auto"/>
        </w:rPr>
      </w:pPr>
      <w:r>
        <w:rPr>
          <w:rFonts w:ascii="Times New Roman" w:cs="Times New Roman" w:eastAsia="Times New Roman" w:hAnsi="Times New Roman"/>
          <w:sz w:val="21"/>
          <w:szCs w:val="21"/>
          <w:color w:val="auto"/>
        </w:rPr>
        <w:t>9.3 There shall be no cumulative voting in the election of directors. Unless and except to the extent that the By-laws shall so require, the election of the Directors need not be by written ballot.</w:t>
      </w:r>
    </w:p>
    <w:p>
      <w:pPr>
        <w:spacing w:after="0" w:line="154" w:lineRule="exact"/>
        <w:rPr>
          <w:sz w:val="20"/>
          <w:szCs w:val="20"/>
          <w:color w:val="auto"/>
        </w:rPr>
      </w:pPr>
    </w:p>
    <w:p>
      <w:pPr>
        <w:jc w:val="both"/>
        <w:ind w:firstLine="644"/>
        <w:spacing w:after="0" w:line="252" w:lineRule="auto"/>
        <w:rPr>
          <w:sz w:val="20"/>
          <w:szCs w:val="20"/>
          <w:color w:val="auto"/>
        </w:rPr>
      </w:pPr>
      <w:r>
        <w:rPr>
          <w:rFonts w:ascii="Times New Roman" w:cs="Times New Roman" w:eastAsia="Times New Roman" w:hAnsi="Times New Roman"/>
          <w:sz w:val="21"/>
          <w:szCs w:val="21"/>
          <w:color w:val="auto"/>
        </w:rPr>
        <w:t>9.4 Any meeting of stockholders may be postponed, rescheduled or canceled by action of the Board at any time in advance of such meeting. The Board shall have the power to adopt such rules and regulations for the conduct of the meetings and management of the affairs of the Corporation as they may deem proper and the power to adjourn or recess any meeting of stockholders without a vote of the stockholders, which powers may be delegated by the Board to the Chairperson in either such rules and regulations or pursuant to the By-laws.</w:t>
      </w:r>
    </w:p>
    <w:p>
      <w:pPr>
        <w:spacing w:after="0" w:line="182"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21"/>
          <w:szCs w:val="21"/>
          <w:color w:val="auto"/>
        </w:rPr>
        <w:t>9.5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or in the By-laws of the Corporation.</w:t>
      </w:r>
    </w:p>
    <w:p>
      <w:pPr>
        <w:spacing w:after="0" w:line="174" w:lineRule="exact"/>
        <w:rPr>
          <w:sz w:val="20"/>
          <w:szCs w:val="20"/>
          <w:color w:val="auto"/>
        </w:rPr>
      </w:pPr>
    </w:p>
    <w:p>
      <w:pPr>
        <w:ind w:left="660" w:hanging="653"/>
        <w:spacing w:after="0"/>
        <w:tabs>
          <w:tab w:leader="none" w:pos="6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Combinations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ind w:right="20" w:firstLine="644"/>
        <w:spacing w:after="0" w:line="291"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Section 203 of the DGCL</w:t>
      </w:r>
      <w:r>
        <w:rPr>
          <w:rFonts w:ascii="Times New Roman" w:cs="Times New Roman" w:eastAsia="Times New Roman" w:hAnsi="Times New Roman"/>
          <w:sz w:val="21"/>
          <w:szCs w:val="21"/>
          <w:color w:val="auto"/>
        </w:rPr>
        <w:t>. The Corporation shall not be governed by Section 203 of the DGCL, and the restrictions contained therein shall not apply to the Corporation.</w:t>
      </w:r>
    </w:p>
    <w:p>
      <w:pPr>
        <w:spacing w:after="0" w:line="126" w:lineRule="exact"/>
        <w:rPr>
          <w:sz w:val="20"/>
          <w:szCs w:val="20"/>
          <w:color w:val="auto"/>
        </w:rPr>
      </w:pPr>
    </w:p>
    <w:p>
      <w:pPr>
        <w:ind w:firstLine="644"/>
        <w:spacing w:after="0" w:line="277"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Limitations on Business Combinations</w:t>
      </w:r>
      <w:r>
        <w:rPr>
          <w:rFonts w:ascii="Times New Roman" w:cs="Times New Roman" w:eastAsia="Times New Roman" w:hAnsi="Times New Roman"/>
          <w:sz w:val="21"/>
          <w:szCs w:val="21"/>
          <w:color w:val="auto"/>
        </w:rPr>
        <w:t>. Notwithstanding the foregoing, the Corporation shall not engage in any business combination (as defined below), at any point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49" w:name="page50"/>
    <w:bookmarkEnd w:id="49"/>
    <w:p>
      <w:pPr>
        <w:jc w:val="both"/>
        <w:spacing w:after="0" w:line="265" w:lineRule="auto"/>
        <w:rPr>
          <w:sz w:val="20"/>
          <w:szCs w:val="20"/>
          <w:color w:val="auto"/>
        </w:rPr>
      </w:pPr>
      <w:r>
        <w:rPr>
          <w:rFonts w:ascii="Times New Roman" w:cs="Times New Roman" w:eastAsia="Times New Roman" w:hAnsi="Times New Roman"/>
          <w:sz w:val="21"/>
          <w:szCs w:val="21"/>
          <w:color w:val="auto"/>
        </w:rPr>
        <w:t>time at which the Class A Common Stock is registered under Section 12(b) or 12(g) of the Exchange Act, with any interested stockholder (as defined below) for a period of three (3) years following the time that such stockholder became an interested stockholder, unless:</w:t>
      </w:r>
    </w:p>
    <w:p>
      <w:pPr>
        <w:spacing w:after="0" w:line="153" w:lineRule="exact"/>
        <w:rPr>
          <w:sz w:val="20"/>
          <w:szCs w:val="20"/>
          <w:color w:val="auto"/>
        </w:rPr>
      </w:pPr>
    </w:p>
    <w:p>
      <w:pPr>
        <w:ind w:right="20" w:firstLine="1296"/>
        <w:spacing w:after="0" w:line="291" w:lineRule="auto"/>
        <w:tabs>
          <w:tab w:leader="none" w:pos="19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such time, the Board approved either the business combination or the transaction which resulted in the stockholder becoming an interested stockholder; or</w:t>
      </w:r>
    </w:p>
    <w:p>
      <w:pPr>
        <w:spacing w:after="0" w:line="125" w:lineRule="exact"/>
        <w:rPr>
          <w:rFonts w:ascii="Times New Roman" w:cs="Times New Roman" w:eastAsia="Times New Roman" w:hAnsi="Times New Roman"/>
          <w:sz w:val="21"/>
          <w:szCs w:val="21"/>
          <w:color w:val="auto"/>
        </w:rPr>
      </w:pPr>
    </w:p>
    <w:p>
      <w:pPr>
        <w:jc w:val="both"/>
        <w:ind w:firstLine="1296"/>
        <w:spacing w:after="0" w:line="251" w:lineRule="auto"/>
        <w:tabs>
          <w:tab w:leader="none" w:pos="192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(1) persons who are directors and also officers of the Corporation and (2) employee stock plans of the Corporation in which employee participants do not have the right to determine confidentially whether shares held subject to the plan will be tendered in a tender or exchange offer; or</w:t>
      </w:r>
    </w:p>
    <w:p>
      <w:pPr>
        <w:spacing w:after="0" w:line="200" w:lineRule="exact"/>
        <w:rPr>
          <w:rFonts w:ascii="Times New Roman" w:cs="Times New Roman" w:eastAsia="Times New Roman" w:hAnsi="Times New Roman"/>
          <w:sz w:val="21"/>
          <w:szCs w:val="21"/>
          <w:color w:val="auto"/>
        </w:rPr>
      </w:pPr>
    </w:p>
    <w:p>
      <w:pPr>
        <w:spacing w:after="0" w:line="230" w:lineRule="exact"/>
        <w:rPr>
          <w:rFonts w:ascii="Times New Roman" w:cs="Times New Roman" w:eastAsia="Times New Roman" w:hAnsi="Times New Roman"/>
          <w:sz w:val="21"/>
          <w:szCs w:val="21"/>
          <w:color w:val="auto"/>
        </w:rPr>
      </w:pPr>
    </w:p>
    <w:p>
      <w:pPr>
        <w:jc w:val="both"/>
        <w:ind w:firstLine="1296"/>
        <w:spacing w:after="0" w:line="258" w:lineRule="auto"/>
        <w:tabs>
          <w:tab w:leader="none" w:pos="193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or subsequent to such time, the business combination is approved by the Board and authorized at an annual or special meeting of stockholders, and not by written consent, by the affirmative vote of at least 66⅔% of the outstanding voting stock of the Corporation which is not owned by the interested stockholder.</w:t>
      </w:r>
    </w:p>
    <w:p>
      <w:pPr>
        <w:spacing w:after="0" w:line="174" w:lineRule="exact"/>
        <w:rPr>
          <w:sz w:val="20"/>
          <w:szCs w:val="20"/>
          <w:color w:val="auto"/>
        </w:rPr>
      </w:pPr>
    </w:p>
    <w:p>
      <w:pPr>
        <w:ind w:firstLine="644"/>
        <w:spacing w:after="0" w:line="277"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Exceptions to Prohibition on Interested Stockholder Transactions</w:t>
      </w:r>
      <w:r>
        <w:rPr>
          <w:rFonts w:ascii="Times New Roman" w:cs="Times New Roman" w:eastAsia="Times New Roman" w:hAnsi="Times New Roman"/>
          <w:sz w:val="21"/>
          <w:szCs w:val="21"/>
          <w:color w:val="auto"/>
        </w:rPr>
        <w:t>. The restrictions contained in this Section 10 shall not apply if:</w:t>
      </w:r>
    </w:p>
    <w:p>
      <w:pPr>
        <w:spacing w:after="0" w:line="154" w:lineRule="exact"/>
        <w:rPr>
          <w:sz w:val="20"/>
          <w:szCs w:val="20"/>
          <w:color w:val="auto"/>
        </w:rPr>
      </w:pPr>
    </w:p>
    <w:p>
      <w:pPr>
        <w:jc w:val="both"/>
        <w:ind w:firstLine="1296"/>
        <w:spacing w:after="0" w:line="257" w:lineRule="auto"/>
        <w:tabs>
          <w:tab w:leader="none" w:pos="192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 becomes an interested stockholder inadvertently and (A) as soon as practicable divests itself of ownership of sufficient shares so that the stockholder ceases to be an interested stockholder; and (B) would not, at any time within the three- year period immediately prior to a business combination between the Corporation and such stockholder, have been an interested stockholder but for the inadvertent acquisition of ownership; or</w:t>
      </w:r>
    </w:p>
    <w:p>
      <w:pPr>
        <w:spacing w:after="0" w:line="160" w:lineRule="exact"/>
        <w:rPr>
          <w:rFonts w:ascii="Times New Roman" w:cs="Times New Roman" w:eastAsia="Times New Roman" w:hAnsi="Times New Roman"/>
          <w:sz w:val="21"/>
          <w:szCs w:val="21"/>
          <w:color w:val="auto"/>
        </w:rPr>
      </w:pPr>
    </w:p>
    <w:p>
      <w:pPr>
        <w:jc w:val="both"/>
        <w:ind w:firstLine="1296"/>
        <w:spacing w:after="0" w:line="248" w:lineRule="auto"/>
        <w:tabs>
          <w:tab w:leader="none" w:pos="192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combination is proposed prior to the consummation or abandonment of and subsequent to the earlier of the public announcement or the notice required hereunder of a proposed transaction which (A) constitutes one of the transactions described in the second sentence of this Section 10.3(ii); (B) is with or by a person who either was not an interested stockholder during the previous three years or who became an interested stockholder with the approval of the Board; and (C)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wholly-owned subsidiary or to the Corporation) having an aggregate market value equal to fifty percent (50%) or more of either that aggregate market value of all of the assets of the Corporation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color w:val="auto"/>
        </w:rPr>
        <w:t>on a consolidated basis or the aggregate market value of all the outstanding stock (as defined hereinafter) of the Corporation; or</w:t>
      </w:r>
    </w:p>
    <w:p>
      <w:pPr>
        <w:spacing w:after="0" w:line="24" w:lineRule="exact"/>
        <w:rPr>
          <w:sz w:val="20"/>
          <w:szCs w:val="20"/>
          <w:color w:val="auto"/>
        </w:rPr>
      </w:pPr>
    </w:p>
    <w:p>
      <w:pPr>
        <w:jc w:val="both"/>
        <w:ind w:firstLine="7"/>
        <w:spacing w:after="0" w:line="253" w:lineRule="auto"/>
        <w:tabs>
          <w:tab w:leader="none" w:pos="30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proposed tender or exchange offer for fifty percent (50%) or more of the outstanding voting stock of the Corporation. The Corporation shall give not less than 20 days’ notice to all interested stockholders prior to the consummation of any of the transactions described in clause (x) or (y) of the second sentence of this Section 10.3(ii).</w:t>
      </w:r>
    </w:p>
    <w:p>
      <w:pPr>
        <w:spacing w:after="0" w:line="179"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u w:val="single" w:color="auto"/>
          <w:color w:val="auto"/>
        </w:rPr>
        <w:t>Section 10 Definitions</w:t>
      </w:r>
      <w:r>
        <w:rPr>
          <w:rFonts w:ascii="Times New Roman" w:cs="Times New Roman" w:eastAsia="Times New Roman" w:hAnsi="Times New Roman"/>
          <w:sz w:val="21"/>
          <w:szCs w:val="21"/>
          <w:color w:val="auto"/>
        </w:rPr>
        <w:t>. As used in this Section 10 only, and unless otherwise provided by the express terms of this Section 10, the following terms shall have the meanings ascribed to them as set forth in this Section 10.4 and, to the extent such terms are defined elsewhere in this Certificate of Incorporation, such definition shall not apply to this Section 10:</w:t>
      </w:r>
    </w:p>
    <w:p>
      <w:pPr>
        <w:spacing w:after="0" w:line="174" w:lineRule="exact"/>
        <w:rPr>
          <w:sz w:val="20"/>
          <w:szCs w:val="20"/>
          <w:color w:val="auto"/>
        </w:rPr>
      </w:pPr>
    </w:p>
    <w:p>
      <w:pPr>
        <w:jc w:val="both"/>
        <w:ind w:firstLine="1296"/>
        <w:spacing w:after="0" w:line="252" w:lineRule="auto"/>
        <w:tabs>
          <w:tab w:leader="none" w:pos="19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“associate” when used to indicate a relationship with any Person, means: (1) any corporation, partnership, unincorporated association or other entity of which such person is a director, officer or partner or is, directly or indirectly, the owner of twenty percent (20%) or more of any class of voting stock; (2) any trust or other estate in which such Person has at least a twenty percent (20%) beneficial interest or as to which such Person serves as trustee or in a similar fiduciary capacity; and (3) any relative or spouse of such Person, or any relative of such spouse, who has the same residence as such Person.</w:t>
      </w:r>
    </w:p>
    <w:p>
      <w:pPr>
        <w:spacing w:after="0" w:line="181"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combination” when used in reference to the Corporation and any interested stockholder of the</w:t>
      </w:r>
    </w:p>
    <w:p>
      <w:pPr>
        <w:spacing w:after="0" w:line="2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Corporation, means:</w:t>
      </w:r>
    </w:p>
    <w:p>
      <w:pPr>
        <w:spacing w:after="0" w:line="190" w:lineRule="exact"/>
        <w:rPr>
          <w:rFonts w:ascii="Times New Roman" w:cs="Times New Roman" w:eastAsia="Times New Roman" w:hAnsi="Times New Roman"/>
          <w:sz w:val="21"/>
          <w:szCs w:val="21"/>
          <w:color w:val="auto"/>
        </w:rPr>
      </w:pPr>
    </w:p>
    <w:p>
      <w:pPr>
        <w:jc w:val="both"/>
        <w:ind w:firstLine="1940"/>
        <w:spacing w:after="0" w:line="261" w:lineRule="auto"/>
        <w:tabs>
          <w:tab w:leader="none" w:pos="257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Section 10.2 is not applicable to the surviving entity;</w:t>
      </w:r>
    </w:p>
    <w:p>
      <w:pPr>
        <w:spacing w:after="0" w:line="157" w:lineRule="exact"/>
        <w:rPr>
          <w:rFonts w:ascii="Times New Roman" w:cs="Times New Roman" w:eastAsia="Times New Roman" w:hAnsi="Times New Roman"/>
          <w:sz w:val="21"/>
          <w:szCs w:val="21"/>
          <w:color w:val="auto"/>
        </w:rPr>
      </w:pPr>
    </w:p>
    <w:p>
      <w:pPr>
        <w:jc w:val="both"/>
        <w:ind w:firstLine="1940"/>
        <w:spacing w:after="0" w:line="253" w:lineRule="auto"/>
        <w:tabs>
          <w:tab w:leader="none" w:pos="257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200" w:lineRule="exact"/>
        <w:rPr>
          <w:rFonts w:ascii="Times New Roman" w:cs="Times New Roman" w:eastAsia="Times New Roman" w:hAnsi="Times New Roman"/>
          <w:sz w:val="21"/>
          <w:szCs w:val="21"/>
          <w:color w:val="auto"/>
        </w:rPr>
      </w:pPr>
    </w:p>
    <w:p>
      <w:pPr>
        <w:spacing w:after="0" w:line="218" w:lineRule="exact"/>
        <w:rPr>
          <w:rFonts w:ascii="Times New Roman" w:cs="Times New Roman" w:eastAsia="Times New Roman" w:hAnsi="Times New Roman"/>
          <w:sz w:val="21"/>
          <w:szCs w:val="21"/>
          <w:color w:val="auto"/>
        </w:rPr>
      </w:pPr>
    </w:p>
    <w:p>
      <w:pPr>
        <w:jc w:val="both"/>
        <w:ind w:firstLine="1940"/>
        <w:spacing w:after="0" w:line="251" w:lineRule="auto"/>
        <w:tabs>
          <w:tab w:leader="none" w:pos="257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the securities exercisable for, exchangeable for or convertible into stock of the Corporation or any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21"/>
          <w:szCs w:val="21"/>
          <w:color w:val="auto"/>
        </w:rPr>
        <w:t>stockholder became such; (d) pursuant to an exchange offer by the Corporation to purchase stock made on the same terms to all holders of said stock; or (e) any issuance or transfer of stock by the Corporation; provided, however, that in no case under items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(c)-(e) of this Section 10.4(ii)(3) shall there be an increase in the interested stockholder’s proportionate share of the stock of any class or series of the Corporation or the voting stock of the Corporation (except as a result of immaterial changes due to fractional share adjustments);</w:t>
      </w:r>
    </w:p>
    <w:p>
      <w:pPr>
        <w:spacing w:after="0" w:line="165" w:lineRule="exact"/>
        <w:rPr>
          <w:sz w:val="20"/>
          <w:szCs w:val="20"/>
          <w:color w:val="auto"/>
        </w:rPr>
      </w:pPr>
    </w:p>
    <w:p>
      <w:pPr>
        <w:jc w:val="both"/>
        <w:ind w:firstLine="1940"/>
        <w:spacing w:after="0" w:line="256" w:lineRule="auto"/>
        <w:tabs>
          <w:tab w:leader="none" w:pos="257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61" w:lineRule="exact"/>
        <w:rPr>
          <w:rFonts w:ascii="Times New Roman" w:cs="Times New Roman" w:eastAsia="Times New Roman" w:hAnsi="Times New Roman"/>
          <w:sz w:val="21"/>
          <w:szCs w:val="21"/>
          <w:color w:val="auto"/>
        </w:rPr>
      </w:pPr>
    </w:p>
    <w:p>
      <w:pPr>
        <w:jc w:val="both"/>
        <w:ind w:firstLine="1940"/>
        <w:spacing w:after="0" w:line="257" w:lineRule="auto"/>
        <w:tabs>
          <w:tab w:leader="none" w:pos="257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receipt by the interested stockholder of the benefit, directly or indirectly (except proportionately as a stockholder of the Corporation), of any loans, advances, guarantees, pledges, or other financial benefits (other than those expressly permitted in Sections 10.4(ii)(1) or 10.4(ii)(4) above) provided by or through the Corporation or any direct or indirect majority-owned subsidiary.</w:t>
      </w:r>
    </w:p>
    <w:p>
      <w:pPr>
        <w:spacing w:after="0" w:line="160" w:lineRule="exact"/>
        <w:rPr>
          <w:rFonts w:ascii="Times New Roman" w:cs="Times New Roman" w:eastAsia="Times New Roman" w:hAnsi="Times New Roman"/>
          <w:sz w:val="21"/>
          <w:szCs w:val="21"/>
          <w:color w:val="auto"/>
        </w:rPr>
      </w:pPr>
    </w:p>
    <w:p>
      <w:pPr>
        <w:jc w:val="both"/>
        <w:ind w:firstLine="1296"/>
        <w:spacing w:after="0" w:line="251" w:lineRule="auto"/>
        <w:tabs>
          <w:tab w:leader="none" w:pos="193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10, as an agent, bank, broker, nominee, custodian or trustee for one or more owners who do not individually or as a group (as such term is used in Rule 13d-5 under the Exchange Act, as such Rule is in effect as of the date of this Certificate of Incorporation) have control of such entity.</w:t>
      </w:r>
    </w:p>
    <w:p>
      <w:pPr>
        <w:spacing w:after="0" w:line="169" w:lineRule="exact"/>
        <w:rPr>
          <w:rFonts w:ascii="Times New Roman" w:cs="Times New Roman" w:eastAsia="Times New Roman" w:hAnsi="Times New Roman"/>
          <w:sz w:val="21"/>
          <w:szCs w:val="21"/>
          <w:color w:val="auto"/>
        </w:rPr>
      </w:pPr>
    </w:p>
    <w:p>
      <w:pPr>
        <w:jc w:val="both"/>
        <w:ind w:firstLine="1296"/>
        <w:spacing w:after="0" w:line="250" w:lineRule="auto"/>
        <w:tabs>
          <w:tab w:leader="none" w:pos="19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“interested stockholder” means any Person (other than the Corporation or any direct or indirect majority-owned subsidiary of the Corporation) that (i) is the owner of fifteen percent (15%) or more of the outstanding voting stock of the Corporation, or (ii) is an affiliate or associate of the Corporation and was the owner of fifteen percent (15%) or more of the outstanding voting stock of the Corporation at any time within the three (3) year period immediately prior to the date on which it is sought to be determined whether such Person is an interested stockholder, and the affiliates and associates of such Person; provided, however, that the term “interested stockholder” shall in no case include or be deemed to include (1) the Investors or their direct and indirect transferees, or (2) any Person whose ownership of share in excess of the fifteen percent (15%) limitation set forth herein is the result of any action taken solely by the Corporation; provided that such Person specified in this clause (2) shall be an interested stockholder if thereafter such Person acquires additional shares of voting stock of the Corporation, except as a result of further corporate action not caused, directly or indirectly,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-3445510</wp:posOffset>
            </wp:positionV>
            <wp:extent cx="425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2" w:name="page53"/>
    <w:bookmarkEnd w:id="52"/>
    <w:p>
      <w:pPr>
        <w:jc w:val="both"/>
        <w:spacing w:after="0" w:line="257" w:lineRule="auto"/>
        <w:rPr>
          <w:sz w:val="20"/>
          <w:szCs w:val="20"/>
          <w:color w:val="auto"/>
        </w:rPr>
      </w:pPr>
      <w:r>
        <w:rPr>
          <w:rFonts w:ascii="Times New Roman" w:cs="Times New Roman" w:eastAsia="Times New Roman" w:hAnsi="Times New Roman"/>
          <w:sz w:val="21"/>
          <w:szCs w:val="21"/>
          <w:color w:val="auto"/>
        </w:rPr>
        <w:t>such Person. For the purpose of determining whether a Person is an interested stockholder, the voting stock of the Corporation deemed to be outstanding shall include voting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4" w:lineRule="exact"/>
        <w:rPr>
          <w:sz w:val="20"/>
          <w:szCs w:val="20"/>
          <w:color w:val="auto"/>
        </w:rPr>
      </w:pPr>
    </w:p>
    <w:p>
      <w:pPr>
        <w:jc w:val="both"/>
        <w:ind w:firstLine="1296"/>
        <w:spacing w:after="0" w:line="252" w:lineRule="auto"/>
        <w:tabs>
          <w:tab w:leader="none" w:pos="192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“Investors” means the Berkshire Sponsor and any of its affiliates or successors or any group, or any member of any such group, to which such persons are a party under Rule 13d-5 of the Exchange Act, for so long as they collectively own, directly or indirectly, 5% or more of the voting power of the Corporation’s then outstanding shares of voting stock and of the Corporation , for so long as they collectively own, directly or indirectly, 5% or more of the voting power of the Corporation’s then outstanding shares of voting stock of the Corporation.</w:t>
      </w:r>
    </w:p>
    <w:p>
      <w:pPr>
        <w:spacing w:after="0" w:line="181" w:lineRule="exact"/>
        <w:rPr>
          <w:rFonts w:ascii="Times New Roman" w:cs="Times New Roman" w:eastAsia="Times New Roman" w:hAnsi="Times New Roman"/>
          <w:sz w:val="21"/>
          <w:szCs w:val="21"/>
          <w:color w:val="auto"/>
        </w:rPr>
      </w:pPr>
    </w:p>
    <w:p>
      <w:pPr>
        <w:ind w:firstLine="1296"/>
        <w:spacing w:after="0" w:line="277" w:lineRule="auto"/>
        <w:tabs>
          <w:tab w:leader="none" w:pos="19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“owner,” including the terms “own” and “owned,” when used with respect to any stock, means a Person that individually or with or through any of its affiliates or associates:</w:t>
      </w:r>
    </w:p>
    <w:p>
      <w:pPr>
        <w:spacing w:after="0" w:line="140" w:lineRule="exact"/>
        <w:rPr>
          <w:rFonts w:ascii="Times New Roman" w:cs="Times New Roman" w:eastAsia="Times New Roman" w:hAnsi="Times New Roman"/>
          <w:sz w:val="21"/>
          <w:szCs w:val="21"/>
          <w:color w:val="auto"/>
        </w:rPr>
      </w:pPr>
    </w:p>
    <w:p>
      <w:pPr>
        <w:ind w:left="2580" w:hanging="640"/>
        <w:spacing w:after="0"/>
        <w:tabs>
          <w:tab w:leader="none" w:pos="258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beneficially owns such stock, directly or indirectly; or</w:t>
      </w:r>
    </w:p>
    <w:p>
      <w:pPr>
        <w:spacing w:after="0" w:line="228" w:lineRule="exact"/>
        <w:rPr>
          <w:rFonts w:ascii="Times New Roman" w:cs="Times New Roman" w:eastAsia="Times New Roman" w:hAnsi="Times New Roman"/>
          <w:sz w:val="21"/>
          <w:szCs w:val="21"/>
          <w:color w:val="auto"/>
        </w:rPr>
      </w:pPr>
    </w:p>
    <w:p>
      <w:pPr>
        <w:jc w:val="both"/>
        <w:ind w:firstLine="1940"/>
        <w:spacing w:after="0" w:line="249" w:lineRule="auto"/>
        <w:tabs>
          <w:tab w:leader="none" w:pos="2572"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(a) the right to acquire such stock (whether such right is exercisable immediately or only after the passage of time) pursuant to any agreement, arrangement or understanding, or upon the exercise of conversion rights, exchange rights, warrants,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83" w:lineRule="exact"/>
        <w:rPr>
          <w:rFonts w:ascii="Times New Roman" w:cs="Times New Roman" w:eastAsia="Times New Roman" w:hAnsi="Times New Roman"/>
          <w:sz w:val="21"/>
          <w:szCs w:val="21"/>
          <w:color w:val="auto"/>
        </w:rPr>
      </w:pPr>
    </w:p>
    <w:p>
      <w:pPr>
        <w:jc w:val="both"/>
        <w:ind w:firstLine="1940"/>
        <w:spacing w:after="0" w:line="259" w:lineRule="auto"/>
        <w:tabs>
          <w:tab w:leader="none" w:pos="2572"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has any agreement, arrangement or understanding for the purpose of acquiring, holding, voting (except voting pursuant to a revocable proxy or consent as described in clause (b) of Section 10.4(vi)(2)), or disposing of such stock with any other Person that beneficially owns, or whose affiliates or associates beneficially own, directly or indirectly, such stock.</w:t>
      </w:r>
    </w:p>
    <w:p>
      <w:pPr>
        <w:spacing w:after="0" w:line="200" w:lineRule="exact"/>
        <w:rPr>
          <w:rFonts w:ascii="Times New Roman" w:cs="Times New Roman" w:eastAsia="Times New Roman" w:hAnsi="Times New Roman"/>
          <w:sz w:val="21"/>
          <w:szCs w:val="21"/>
          <w:color w:val="auto"/>
        </w:rPr>
      </w:pPr>
    </w:p>
    <w:p>
      <w:pPr>
        <w:spacing w:after="0" w:line="212"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means, with respect to any corporation, capital stock and, with respect to any other entity, any</w:t>
      </w:r>
    </w:p>
    <w:p>
      <w:pPr>
        <w:spacing w:after="0" w:line="3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equity interest.</w:t>
      </w:r>
    </w:p>
    <w:p>
      <w:pPr>
        <w:spacing w:after="0" w:line="190" w:lineRule="exact"/>
        <w:rPr>
          <w:rFonts w:ascii="Times New Roman" w:cs="Times New Roman" w:eastAsia="Times New Roman" w:hAnsi="Times New Roman"/>
          <w:sz w:val="21"/>
          <w:szCs w:val="21"/>
          <w:color w:val="auto"/>
        </w:rPr>
      </w:pPr>
    </w:p>
    <w:p>
      <w:pPr>
        <w:jc w:val="both"/>
        <w:ind w:firstLine="1296"/>
        <w:spacing w:after="0" w:line="257" w:lineRule="auto"/>
        <w:tabs>
          <w:tab w:leader="none" w:pos="193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“voting stock”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in this Section 10 shall refer to such percentage of the votes of such voting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3" w:name="page54"/>
    <w:bookmarkEnd w:id="53"/>
    <w:p>
      <w:pPr>
        <w:jc w:val="both"/>
        <w:ind w:firstLine="7"/>
        <w:spacing w:after="0" w:line="250" w:lineRule="auto"/>
        <w:tabs>
          <w:tab w:leader="none" w:pos="63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of Liability of Directors</w:t>
      </w:r>
      <w:r>
        <w:rPr>
          <w:rFonts w:ascii="Times New Roman" w:cs="Times New Roman" w:eastAsia="Times New Roman" w:hAnsi="Times New Roman"/>
          <w:sz w:val="21"/>
          <w:szCs w:val="21"/>
          <w:color w:val="auto"/>
        </w:rPr>
        <w:t>.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without further action by the Corporation. Any alteration, amendment, addition to or repeal of this Section 11, or adoption of any provision of this Certificate of Incorporation (including any certificate of designations relating to any series or class of Preferred Stock) inconsistent with this Section 11, shall not reduce, eliminate or adversely affect any right or protection of a director of the Corporation existing at the time of such alteration, amendment, addition to, repeal or adoption with respect to acts or omissions occurring prior to such alteration, amendment, addition to, repeal or adoption.</w:t>
      </w:r>
    </w:p>
    <w:p>
      <w:pPr>
        <w:spacing w:after="0" w:line="200" w:lineRule="exact"/>
        <w:rPr>
          <w:rFonts w:ascii="Times New Roman" w:cs="Times New Roman" w:eastAsia="Times New Roman" w:hAnsi="Times New Roman"/>
          <w:sz w:val="21"/>
          <w:szCs w:val="21"/>
          <w:color w:val="auto"/>
        </w:rPr>
      </w:pPr>
    </w:p>
    <w:p>
      <w:pPr>
        <w:spacing w:after="0" w:line="220" w:lineRule="exact"/>
        <w:rPr>
          <w:rFonts w:ascii="Times New Roman" w:cs="Times New Roman" w:eastAsia="Times New Roman" w:hAnsi="Times New Roman"/>
          <w:sz w:val="21"/>
          <w:szCs w:val="21"/>
          <w:color w:val="auto"/>
        </w:rPr>
      </w:pPr>
    </w:p>
    <w:p>
      <w:pPr>
        <w:jc w:val="both"/>
        <w:ind w:firstLine="7"/>
        <w:spacing w:after="0" w:line="246" w:lineRule="auto"/>
        <w:tabs>
          <w:tab w:leader="none" w:pos="64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and Advancement</w:t>
      </w:r>
      <w:r>
        <w:rPr>
          <w:rFonts w:ascii="Times New Roman" w:cs="Times New Roman" w:eastAsia="Times New Roman" w:hAnsi="Times New Roman"/>
          <w:sz w:val="21"/>
          <w:szCs w:val="21"/>
          <w:color w:val="auto"/>
        </w:rPr>
        <w:t>. The Corporation shall indemnify, advance expenses to and hold harmless, to the fullest extent permitted by applicable law as it presently exists or may hereafter be amended, any current or former director or officer of the Corporation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who was or is made or is threatened to be made a party or is otherwise involved in any “Proceeding,” which shall include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or officer of the Corporation, by reason of any action (or failure to act) taken by him or her of any action (or failure to act) on his or her part while acting as a director or officer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Section 12. If the Indemnitee believes in good faith that a given situation may lead to or culminate in the institution of a Proceeding, this shall be considered a Proceeding under this Section 12. Neither any amendment nor repeal of this Section 12, nor the adoption of any provision of this Certificate of Incorporation inconsistent with this Section 12, shall eliminate or reduce the effect of this Section</w:t>
      </w:r>
    </w:p>
    <w:p>
      <w:pPr>
        <w:spacing w:after="0" w:line="9" w:lineRule="exact"/>
        <w:rPr>
          <w:rFonts w:ascii="Times New Roman" w:cs="Times New Roman" w:eastAsia="Times New Roman" w:hAnsi="Times New Roman"/>
          <w:sz w:val="21"/>
          <w:szCs w:val="21"/>
          <w:color w:val="auto"/>
        </w:rPr>
      </w:pPr>
    </w:p>
    <w:p>
      <w:pPr>
        <w:ind w:firstLine="7"/>
        <w:spacing w:after="0" w:line="267" w:lineRule="auto"/>
        <w:tabs>
          <w:tab w:leader="none" w:pos="31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any acts or omissions occurring prior to such alteration, amendment, addition to, repeal or adoption. This provision should be read in conjunction with Article VI of the Bylaws.</w:t>
      </w:r>
    </w:p>
    <w:p>
      <w:pPr>
        <w:spacing w:after="0" w:line="150" w:lineRule="exact"/>
        <w:rPr>
          <w:rFonts w:ascii="Times New Roman" w:cs="Times New Roman" w:eastAsia="Times New Roman" w:hAnsi="Times New Roman"/>
          <w:sz w:val="21"/>
          <w:szCs w:val="21"/>
          <w:color w:val="auto"/>
        </w:rPr>
      </w:pPr>
    </w:p>
    <w:p>
      <w:pPr>
        <w:jc w:val="both"/>
        <w:ind w:firstLine="7"/>
        <w:spacing w:after="0" w:line="252" w:lineRule="auto"/>
        <w:tabs>
          <w:tab w:leader="none" w:pos="64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to the By-Laws</w:t>
      </w:r>
      <w:r>
        <w:rPr>
          <w:rFonts w:ascii="Times New Roman" w:cs="Times New Roman" w:eastAsia="Times New Roman" w:hAnsi="Times New Roman"/>
          <w:sz w:val="21"/>
          <w:szCs w:val="21"/>
          <w:color w:val="auto"/>
        </w:rPr>
        <w:t>. In furtherance and not in limitation of the powers conferred upon it by the laws of the State of Delaware, the Board is expressly authorized and empowered to make, alter, amend, add to or repeal any and all By-laws by resolution of the Board of Directors. In addition to any vote required by this Certificate of Incorporation (including any certificate of designations relating to any series or class of Preferred Stock) or applicable law, the affirmative vote of the holders of at least a majority of the voting power of the Corporation’s then outstanding shares entitled to vote generally in the election of directors, voting together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4" w:name="page55"/>
    <w:bookmarkEnd w:id="54"/>
    <w:p>
      <w:pPr>
        <w:spacing w:after="0" w:line="277" w:lineRule="auto"/>
        <w:rPr>
          <w:sz w:val="20"/>
          <w:szCs w:val="20"/>
          <w:color w:val="auto"/>
        </w:rPr>
      </w:pPr>
      <w:r>
        <w:rPr>
          <w:rFonts w:ascii="Times New Roman" w:cs="Times New Roman" w:eastAsia="Times New Roman" w:hAnsi="Times New Roman"/>
          <w:sz w:val="21"/>
          <w:szCs w:val="21"/>
          <w:color w:val="auto"/>
        </w:rPr>
        <w:t>single class, shall be required for the stockholders to make, alter, amend, add to or repeal any or all By-laws of the Corporation or to adopt any provision inconsistent therewith.</w:t>
      </w:r>
    </w:p>
    <w:p>
      <w:pPr>
        <w:spacing w:after="0" w:line="154" w:lineRule="exact"/>
        <w:rPr>
          <w:sz w:val="20"/>
          <w:szCs w:val="20"/>
          <w:color w:val="auto"/>
        </w:rPr>
      </w:pPr>
    </w:p>
    <w:p>
      <w:pPr>
        <w:jc w:val="both"/>
        <w:ind w:firstLine="7"/>
        <w:spacing w:after="0" w:line="252" w:lineRule="auto"/>
        <w:tabs>
          <w:tab w:leader="none" w:pos="6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Corporation reserves the right, at any time and from time to time, to alter, amend, add to or repeal any provision contained in this Certificate of Incorporation (including any certificate of designations relating to any series or class of Preferred Stock) in any manner now or hereafter prescribed by the laws of the State of Delaware, and all rights, preferences, privileges and powers of any nature conferred upon stockholders, directors or any other Persons herein are granted subject to this reservation.</w:t>
      </w:r>
    </w:p>
    <w:p>
      <w:pPr>
        <w:spacing w:after="0" w:line="181" w:lineRule="exact"/>
        <w:rPr>
          <w:rFonts w:ascii="Times New Roman" w:cs="Times New Roman" w:eastAsia="Times New Roman" w:hAnsi="Times New Roman"/>
          <w:sz w:val="21"/>
          <w:szCs w:val="21"/>
          <w:color w:val="auto"/>
        </w:rPr>
      </w:pPr>
    </w:p>
    <w:p>
      <w:pPr>
        <w:ind w:left="660" w:hanging="653"/>
        <w:spacing w:after="0"/>
        <w:tabs>
          <w:tab w:leader="none" w:pos="6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Exclusive Forum</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firstLine="644"/>
        <w:spacing w:after="0" w:line="248" w:lineRule="auto"/>
        <w:rPr>
          <w:sz w:val="20"/>
          <w:szCs w:val="20"/>
          <w:color w:val="auto"/>
        </w:rPr>
      </w:pPr>
      <w:r>
        <w:rPr>
          <w:rFonts w:ascii="Times New Roman" w:cs="Times New Roman" w:eastAsia="Times New Roman" w:hAnsi="Times New Roman"/>
          <w:sz w:val="21"/>
          <w:szCs w:val="21"/>
          <w:color w:val="auto"/>
        </w:rPr>
        <w:t>15.1 Unless the Corporation consents in writing to the selection of an alternative forum, the Court of Chancery of the State of Delaware (or, if the Court of Chancery lacks jurisdiction, a state court located within the State of Delaware or the federal district court for the District of Delaware) shall, to the fullest extent permitted by law, be the sole and exclusive forum for: any (a) derivative action or proceeding brought on behalf of the Corporation; (b) action asserting a claim of breach of a fiduciary duty owed by or other wrongdoing by any current or former director, officer, employee, agent or stockholder of the Corporation to the Corporation or the Corporation’s stockholders; (c) action asserting a claim arising under any provision of the DGCL or this Certificate of Incorporation or the By-laws (as either may be amended from time to time), or as to which the DGCL confers jurisdiction on the Court of Chancery of the State of Delaware; or (d) action asserting a claim governed by the internal affairs doctrine. This Section 15.1 shall not apply in any respect to claims or causes of action brought to enforce a duty or liability created by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or the Securities Exchange Act of 1934, as amended, or the rules and regulations promulgated thereunder or any other claim or cause of action for which the federal courts have exclusive jurisdiction.</w:t>
      </w:r>
    </w:p>
    <w:p>
      <w:pPr>
        <w:spacing w:after="0" w:line="200" w:lineRule="exact"/>
        <w:rPr>
          <w:sz w:val="20"/>
          <w:szCs w:val="20"/>
          <w:color w:val="auto"/>
        </w:rPr>
      </w:pPr>
    </w:p>
    <w:p>
      <w:pPr>
        <w:spacing w:after="0" w:line="236"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15.2 Unless the Corporation consents in writing to the selection of an alternative forum, the federal district courts of the United States of America shall be the sole and exclusive forum for the resolution of any action asserting a claim arising under the Securities Act or the rules and regulations promulgated thereunder.</w:t>
      </w:r>
    </w:p>
    <w:p>
      <w:pPr>
        <w:spacing w:after="0" w:line="153" w:lineRule="exact"/>
        <w:rPr>
          <w:sz w:val="20"/>
          <w:szCs w:val="20"/>
          <w:color w:val="auto"/>
        </w:rPr>
      </w:pPr>
    </w:p>
    <w:p>
      <w:pPr>
        <w:jc w:val="both"/>
        <w:ind w:firstLine="7"/>
        <w:spacing w:after="0" w:line="249" w:lineRule="auto"/>
        <w:tabs>
          <w:tab w:leader="none" w:pos="64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1" w:right="339" w:bottom="1440" w:gutter="0" w:footer="0" w:header="0"/>
        </w:sectPr>
      </w:pPr>
    </w:p>
    <w:bookmarkStart w:id="55" w:name="page56"/>
    <w:bookmarkEnd w:id="55"/>
    <w:p>
      <w:pPr>
        <w:jc w:val="both"/>
        <w:ind w:firstLine="7"/>
        <w:spacing w:after="0" w:line="247" w:lineRule="auto"/>
        <w:tabs>
          <w:tab w:leader="none" w:pos="644"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Corporate Opportunity</w:t>
      </w:r>
      <w:r>
        <w:rPr>
          <w:rFonts w:ascii="Times New Roman" w:cs="Times New Roman" w:eastAsia="Times New Roman" w:hAnsi="Times New Roman"/>
          <w:sz w:val="21"/>
          <w:szCs w:val="21"/>
          <w:color w:val="auto"/>
        </w:rPr>
        <w:t>. To the fullest extent permitted by Section 122(17) of the DGCL and except as may be otherwise expressly agreed in writing by the Corporation, the Corporation, on behalf of itself and its subsidiaries, renounces any interest or expectancy of the Corporation and its subsidiaries in, or in being offered an opportunity to participate in, business opportunities, which are from time to time presented to the Berkshire Sponsor or any of their respective managers, officers, directors, agents, stockholders, members, partners, affiliates and subsidiaries (other than the Corporation and its subsidiaries), even if the opportunity is one that the Corporation or its subsidiaries might reasonably be deemed to have pursued or had the ability or desire to pursue if granted the opportunity to do so, and, to the fullest extent permitted by law, no such person or entity shall be liable to the Corporation or any of its subsidiaries for breach of any fiduciary or other duty, as a director or officer or otherwise, by reason of the fact that such person or entity pursues or acquires such business opportunity, directs such business opportunity to another person or entity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 Neither the alteration, amendment, addition to or repeal of this Section 17, nor the adoption of any provision of this Certificate of Incorporation (including any certificate of designations relating to any series or class of Preferred Stock) inconsistent with this Section 17, shall eliminate or reduce the effect of this Section 17 in respect of any business opportunity first identified or any other matter occurring, or any cause of action, suit or claim that, but for this Section 17, would accrue or arise, prior to such alteration, amendment, addition, repeal or adoption.</w:t>
      </w:r>
    </w:p>
    <w:p>
      <w:pPr>
        <w:spacing w:after="0" w:line="190" w:lineRule="exact"/>
        <w:rPr>
          <w:rFonts w:ascii="Times New Roman" w:cs="Times New Roman" w:eastAsia="Times New Roman" w:hAnsi="Times New Roman"/>
          <w:sz w:val="21"/>
          <w:szCs w:val="21"/>
          <w:color w:val="auto"/>
        </w:rPr>
      </w:pPr>
    </w:p>
    <w:p>
      <w:pPr>
        <w:ind w:firstLine="7"/>
        <w:spacing w:after="0" w:line="277" w:lineRule="auto"/>
        <w:tabs>
          <w:tab w:leader="none" w:pos="644"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Certificate of Incorporation, unless the context otherwise requires or as set forth in another Section of this Certificate of Incorporation, the term:</w:t>
      </w:r>
    </w:p>
    <w:p>
      <w:pPr>
        <w:spacing w:after="0" w:line="140" w:lineRule="exact"/>
        <w:rPr>
          <w:rFonts w:ascii="Times New Roman" w:cs="Times New Roman" w:eastAsia="Times New Roman" w:hAnsi="Times New Roman"/>
          <w:sz w:val="21"/>
          <w:szCs w:val="21"/>
          <w:color w:val="auto"/>
        </w:rPr>
      </w:pPr>
    </w:p>
    <w:p>
      <w:pPr>
        <w:ind w:left="2000" w:hanging="704"/>
        <w:spacing w:after="0"/>
        <w:tabs>
          <w:tab w:leader="none" w:pos="200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PHD Group Holdings LLC</w:t>
      </w:r>
      <w:r>
        <w:rPr>
          <w:rFonts w:ascii="Times New Roman" w:cs="Times New Roman" w:eastAsia="Times New Roman" w:hAnsi="Times New Roman"/>
          <w:sz w:val="21"/>
          <w:szCs w:val="21"/>
          <w:color w:val="auto"/>
        </w:rPr>
        <w:t>” means PHD Group Holdings LLC, a Delaware limited liability company or</w:t>
      </w:r>
    </w:p>
    <w:p>
      <w:pPr>
        <w:spacing w:after="0" w:line="3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successor thereto.</w:t>
      </w:r>
    </w:p>
    <w:p>
      <w:pPr>
        <w:spacing w:after="0" w:line="190" w:lineRule="exact"/>
        <w:rPr>
          <w:rFonts w:ascii="Times New Roman" w:cs="Times New Roman" w:eastAsia="Times New Roman" w:hAnsi="Times New Roman"/>
          <w:sz w:val="21"/>
          <w:szCs w:val="21"/>
          <w:color w:val="auto"/>
        </w:rPr>
      </w:pPr>
    </w:p>
    <w:p>
      <w:pPr>
        <w:jc w:val="both"/>
        <w:ind w:firstLine="1296"/>
        <w:spacing w:after="0" w:line="256" w:lineRule="auto"/>
        <w:tabs>
          <w:tab w:leader="none" w:pos="1928"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means, with respect to any Person, any other Person directly or indirectly controlling, controlled by or under common control with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w:t>
      </w:r>
    </w:p>
    <w:p>
      <w:pPr>
        <w:spacing w:after="0" w:line="161"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Berkshire Sponsor</w:t>
      </w:r>
      <w:r>
        <w:rPr>
          <w:rFonts w:ascii="Times New Roman" w:cs="Times New Roman" w:eastAsia="Times New Roman" w:hAnsi="Times New Roman"/>
          <w:sz w:val="21"/>
          <w:szCs w:val="21"/>
          <w:color w:val="auto"/>
        </w:rPr>
        <w:t>” means Berkshire Partners LLC.</w:t>
      </w:r>
    </w:p>
    <w:p>
      <w:pPr>
        <w:spacing w:after="0" w:line="228" w:lineRule="exact"/>
        <w:rPr>
          <w:rFonts w:ascii="Times New Roman" w:cs="Times New Roman" w:eastAsia="Times New Roman" w:hAnsi="Times New Roman"/>
          <w:sz w:val="21"/>
          <w:szCs w:val="21"/>
          <w:color w:val="auto"/>
        </w:rPr>
      </w:pPr>
    </w:p>
    <w:p>
      <w:pPr>
        <w:jc w:val="both"/>
        <w:ind w:firstLine="1296"/>
        <w:spacing w:after="0" w:line="257" w:lineRule="auto"/>
        <w:tabs>
          <w:tab w:leader="none" w:pos="1928"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the terms “</w:t>
      </w:r>
      <w:r>
        <w:rPr>
          <w:rFonts w:ascii="Times New Roman" w:cs="Times New Roman" w:eastAsia="Times New Roman" w:hAnsi="Times New Roman"/>
          <w:sz w:val="21"/>
          <w:szCs w:val="21"/>
          <w:u w:val="single" w:color="auto"/>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controlled</w:t>
      </w:r>
      <w:r>
        <w:rPr>
          <w:rFonts w:ascii="Times New Roman" w:cs="Times New Roman" w:eastAsia="Times New Roman" w:hAnsi="Times New Roman"/>
          <w:sz w:val="21"/>
          <w:szCs w:val="21"/>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60" w:lineRule="exact"/>
        <w:rPr>
          <w:rFonts w:ascii="Times New Roman" w:cs="Times New Roman" w:eastAsia="Times New Roman" w:hAnsi="Times New Roman"/>
          <w:sz w:val="21"/>
          <w:szCs w:val="21"/>
          <w:color w:val="auto"/>
        </w:rPr>
      </w:pPr>
    </w:p>
    <w:p>
      <w:pPr>
        <w:ind w:left="2000" w:hanging="704"/>
        <w:spacing w:after="0"/>
        <w:tabs>
          <w:tab w:leader="none" w:pos="200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is defined in Section 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1" w:right="339" w:bottom="1440" w:gutter="0" w:footer="0" w:header="0"/>
        </w:sectPr>
      </w:pPr>
    </w:p>
    <w:bookmarkStart w:id="56" w:name="page57"/>
    <w:bookmarkEnd w:id="56"/>
    <w:p>
      <w:pPr>
        <w:jc w:val="both"/>
        <w:ind w:firstLine="1296"/>
        <w:spacing w:after="0" w:line="251" w:lineRule="auto"/>
        <w:tabs>
          <w:tab w:leader="none" w:pos="1932"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 Event</w:t>
      </w:r>
      <w:r>
        <w:rPr>
          <w:rFonts w:ascii="Times New Roman" w:cs="Times New Roman" w:eastAsia="Times New Roman" w:hAnsi="Times New Roman"/>
          <w:sz w:val="21"/>
          <w:szCs w:val="21"/>
          <w:color w:val="auto"/>
        </w:rPr>
        <w:t>” means any merger, consolidation or other business combination of the Corporation, whether effectuated through one transaction or series of related transactions (including a tender offer followed by a merger in which holders of Class A Common Stock receive the same consideration per share paid in the tender offer), unless, following such transaction, all or substantially all of the holders of the voting power of all outstanding classes of Common Stock and series of Preferred Stock that are generally entitled to vote in the election of Directors prior to such transaction or series of transactions, continue to hold a majority of the voting power of the surviving entity (or its direct or indirect parent) resulting from such transaction or series of transactions in substantially the same proportions as immediately prior to such transaction or series of transactions.</w:t>
      </w:r>
    </w:p>
    <w:p>
      <w:pPr>
        <w:spacing w:after="0" w:line="200" w:lineRule="exact"/>
        <w:rPr>
          <w:rFonts w:ascii="Times New Roman" w:cs="Times New Roman" w:eastAsia="Times New Roman" w:hAnsi="Times New Roman"/>
          <w:sz w:val="21"/>
          <w:szCs w:val="21"/>
          <w:color w:val="auto"/>
        </w:rPr>
      </w:pPr>
    </w:p>
    <w:p>
      <w:pPr>
        <w:spacing w:after="0" w:line="219" w:lineRule="exact"/>
        <w:rPr>
          <w:rFonts w:ascii="Times New Roman" w:cs="Times New Roman" w:eastAsia="Times New Roman" w:hAnsi="Times New Roman"/>
          <w:sz w:val="21"/>
          <w:szCs w:val="21"/>
          <w:color w:val="auto"/>
        </w:rPr>
      </w:pPr>
    </w:p>
    <w:p>
      <w:pPr>
        <w:jc w:val="both"/>
        <w:ind w:firstLine="1296"/>
        <w:spacing w:after="0" w:line="256" w:lineRule="auto"/>
        <w:tabs>
          <w:tab w:leader="none" w:pos="1928"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Enterprise</w:t>
      </w:r>
      <w:r>
        <w:rPr>
          <w:rFonts w:ascii="Times New Roman" w:cs="Times New Roman" w:eastAsia="Times New Roman" w:hAnsi="Times New Roman"/>
          <w:sz w:val="21"/>
          <w:szCs w:val="21"/>
          <w:color w:val="auto"/>
        </w:rPr>
        <w:t>” means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or employee.</w:t>
      </w:r>
    </w:p>
    <w:p>
      <w:pPr>
        <w:spacing w:after="0" w:line="161" w:lineRule="exact"/>
        <w:rPr>
          <w:rFonts w:ascii="Times New Roman" w:cs="Times New Roman" w:eastAsia="Times New Roman" w:hAnsi="Times New Roman"/>
          <w:sz w:val="21"/>
          <w:szCs w:val="21"/>
          <w:color w:val="auto"/>
        </w:rPr>
      </w:pPr>
    </w:p>
    <w:p>
      <w:pPr>
        <w:ind w:firstLine="1296"/>
        <w:spacing w:after="0" w:line="277" w:lineRule="auto"/>
        <w:tabs>
          <w:tab w:leader="none" w:pos="1928"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 and any successor law or statute, together with the rules and regulations promulgated thereunder.</w:t>
      </w:r>
    </w:p>
    <w:p>
      <w:pPr>
        <w:spacing w:after="0" w:line="153" w:lineRule="exact"/>
        <w:rPr>
          <w:rFonts w:ascii="Times New Roman" w:cs="Times New Roman" w:eastAsia="Times New Roman" w:hAnsi="Times New Roman"/>
          <w:sz w:val="21"/>
          <w:szCs w:val="21"/>
          <w:color w:val="auto"/>
        </w:rPr>
      </w:pPr>
    </w:p>
    <w:p>
      <w:pPr>
        <w:ind w:left="1920" w:hanging="624"/>
        <w:spacing w:after="0"/>
        <w:tabs>
          <w:tab w:leader="none" w:pos="192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LLC Unit</w:t>
      </w:r>
      <w:r>
        <w:rPr>
          <w:rFonts w:ascii="Times New Roman" w:cs="Times New Roman" w:eastAsia="Times New Roman" w:hAnsi="Times New Roman"/>
          <w:sz w:val="21"/>
          <w:szCs w:val="21"/>
          <w:color w:val="auto"/>
        </w:rPr>
        <w:t>” means a nonvoting interest unit of PHD Group Holdings LLC.</w:t>
      </w:r>
    </w:p>
    <w:p>
      <w:pPr>
        <w:spacing w:after="0" w:line="214" w:lineRule="exact"/>
        <w:rPr>
          <w:rFonts w:ascii="Times New Roman" w:cs="Times New Roman" w:eastAsia="Times New Roman" w:hAnsi="Times New Roman"/>
          <w:sz w:val="21"/>
          <w:szCs w:val="21"/>
          <w:color w:val="auto"/>
        </w:rPr>
      </w:pPr>
    </w:p>
    <w:p>
      <w:pPr>
        <w:ind w:firstLine="1296"/>
        <w:spacing w:after="0" w:line="291" w:lineRule="auto"/>
        <w:tabs>
          <w:tab w:leader="none" w:pos="192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Paired Interest</w:t>
      </w:r>
      <w:r>
        <w:rPr>
          <w:rFonts w:ascii="Times New Roman" w:cs="Times New Roman" w:eastAsia="Times New Roman" w:hAnsi="Times New Roman"/>
          <w:sz w:val="21"/>
          <w:szCs w:val="21"/>
          <w:color w:val="auto"/>
        </w:rPr>
        <w:t>” means one LLC Unit together with one share of Class B Common Stock, subject to adjustment pursuant to Article 10 of the Second Amended and Restated LLC Agreement of PHD Group Holdings LLC.</w:t>
      </w:r>
    </w:p>
    <w:p>
      <w:pPr>
        <w:spacing w:after="0" w:line="125" w:lineRule="exact"/>
        <w:rPr>
          <w:rFonts w:ascii="Times New Roman" w:cs="Times New Roman" w:eastAsia="Times New Roman" w:hAnsi="Times New Roman"/>
          <w:sz w:val="21"/>
          <w:szCs w:val="21"/>
          <w:color w:val="auto"/>
        </w:rPr>
      </w:pPr>
    </w:p>
    <w:p>
      <w:pPr>
        <w:jc w:val="both"/>
        <w:ind w:firstLine="1296"/>
        <w:spacing w:after="0" w:line="248" w:lineRule="auto"/>
        <w:tabs>
          <w:tab w:leader="none" w:pos="1928"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Transferee</w:t>
      </w:r>
      <w:r>
        <w:rPr>
          <w:rFonts w:ascii="Times New Roman" w:cs="Times New Roman" w:eastAsia="Times New Roman" w:hAnsi="Times New Roman"/>
          <w:sz w:val="21"/>
          <w:szCs w:val="21"/>
          <w:color w:val="auto"/>
        </w:rPr>
        <w:t xml:space="preserve">” means (i) in the case of any transferor that is not a natural person, any Person that is an Affiliate of such transferor and (ii) in the case of any transferor that is a natural person, (A) any Person to whom Common Stock is transferred from such transferor (1) by will or the laws of descent and distribution or (2) by gift without consideration of any kind;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clause (2), such transferee is the spouse, the lineal descendant, sibling, parent, heir, executor, administrator, testamentary trustee, legatee or beneficiary of such transferor, (B) a trust that is for the exclusive benefit of such transferor or its Permitted Transferees under (A) above or (C) any institution qualified as tax-exempt under Section 501(c)</w:t>
      </w:r>
    </w:p>
    <w:p>
      <w:pPr>
        <w:spacing w:after="0" w:line="3"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w:t>
      </w:r>
    </w:p>
    <w:p>
      <w:pPr>
        <w:spacing w:after="0" w:line="204" w:lineRule="exact"/>
        <w:rPr>
          <w:rFonts w:ascii="Times New Roman" w:cs="Times New Roman" w:eastAsia="Times New Roman" w:hAnsi="Times New Roman"/>
          <w:sz w:val="21"/>
          <w:szCs w:val="21"/>
          <w:color w:val="auto"/>
        </w:rPr>
      </w:pPr>
    </w:p>
    <w:p>
      <w:pPr>
        <w:ind w:firstLine="1296"/>
        <w:spacing w:after="0" w:line="277" w:lineRule="auto"/>
        <w:tabs>
          <w:tab w:leader="none" w:pos="192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individual, partnership, firm, corporation, limited liability company, association, trust, unincorporated organization or other entity.</w:t>
      </w:r>
    </w:p>
    <w:p>
      <w:pPr>
        <w:spacing w:after="0" w:line="153" w:lineRule="exact"/>
        <w:rPr>
          <w:rFonts w:ascii="Times New Roman" w:cs="Times New Roman" w:eastAsia="Times New Roman" w:hAnsi="Times New Roman"/>
          <w:sz w:val="21"/>
          <w:szCs w:val="21"/>
          <w:color w:val="auto"/>
        </w:rPr>
      </w:pPr>
    </w:p>
    <w:p>
      <w:pPr>
        <w:jc w:val="both"/>
        <w:ind w:firstLine="1296"/>
        <w:spacing w:after="0" w:line="257" w:lineRule="auto"/>
        <w:tabs>
          <w:tab w:leader="none" w:pos="192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Second Amended and Restated LLC Agreement of PHD Group Holdings LLC</w:t>
      </w:r>
      <w:r>
        <w:rPr>
          <w:rFonts w:ascii="Times New Roman" w:cs="Times New Roman" w:eastAsia="Times New Roman" w:hAnsi="Times New Roman"/>
          <w:sz w:val="21"/>
          <w:szCs w:val="21"/>
          <w:color w:val="auto"/>
        </w:rPr>
        <w:t>” means the Second Amended and Restated Limited Liability Company Agreement, dated as of October 20, 2021, by and among the Corporation, the other members of PHD Group Holdings LLC and the other Persons that may become parties thereto from time to time, as the same may be amended, restated, supplemented and/or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1" w:right="339" w:bottom="1440" w:gutter="0" w:footer="0" w:header="0"/>
        </w:sectPr>
      </w:pPr>
    </w:p>
    <w:bookmarkStart w:id="57" w:name="page58"/>
    <w:bookmarkEnd w:id="57"/>
    <w:p>
      <w:pPr>
        <w:jc w:val="both"/>
        <w:ind w:firstLine="1296"/>
        <w:spacing w:after="0" w:line="247" w:lineRule="auto"/>
        <w:tabs>
          <w:tab w:leader="none" w:pos="192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xml:space="preserve">” of a share of Class B Common Stock means, directly or indirectly, any sale, assignment, transfer, exchange, gift, bequest, pledge, hypothecation or other disposition or encumbrance of such share or any legal or beneficial interest in such share, in whole or in part, whether or not for value and whether voluntary or involuntary or by operation of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following shall not be considered a “Transfer”: (i) entering into a voting trust, agreement or arrangement (with or without granting a proxy) solely with the Corporation and/or its stockholders that (x) is disclosed either in a Schedule 13D filed with the Securities and Exchange Commission or in writing to the Secretary of the Corporation, (y) either has a term not exceeding one (1) year or is terminable by the holder of the shares subject thereto at any time and (z) does not involve any payment of cash, securities, property or other consideration to the holder of the shares subject thereto other than the mutual promise to vote shares in a designated manner; (ii) entering into a customary voting or support agreement (with or without granting a proxy) in connection with any merger, consolidation or other combination transaction of the Corporation, whether effectuated through one transaction or series of related transactions (including a tender offer followed by a merger in which holders of Class A Common Stock receive the same consideration per share paid in the tender offer); (iii) the pledge of shares of capital stock of the Corporation by a stockholder that creates a mere security interest in such shares pursuant to a bona fide loan or indebtedness transaction so long as such stockholder continues to exercise sole voting control over such pledged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foreclosure on such shares or other similar action by the pledgee shall constitute a “Transfer”; or (iv) the fact that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00" w:right="339" w:bottom="1440" w:gutter="0" w:footer="0" w:header="0"/>
        </w:sectPr>
      </w:pPr>
    </w:p>
    <w:bookmarkStart w:id="58" w:name="page59"/>
    <w:bookmarkEnd w:id="58"/>
    <w:p>
      <w:pPr>
        <w:ind w:firstLine="644"/>
        <w:spacing w:after="0" w:line="277" w:lineRule="auto"/>
        <w:rPr>
          <w:sz w:val="20"/>
          <w:szCs w:val="20"/>
          <w:color w:val="auto"/>
        </w:rPr>
      </w:pPr>
      <w:r>
        <w:rPr>
          <w:rFonts w:ascii="Times New Roman" w:cs="Times New Roman" w:eastAsia="Times New Roman" w:hAnsi="Times New Roman"/>
          <w:sz w:val="21"/>
          <w:szCs w:val="21"/>
          <w:color w:val="auto"/>
        </w:rPr>
        <w:t>IN WITNESS WHEREOF, this Amended and Restated Certificate of Incorporation of Portillo’s Inc. has been duly executed by the officer below this 20th day of October,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color w:val="auto"/>
        </w:rPr>
        <w:t>By:</w:t>
        <w:tab/>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-7620</wp:posOffset>
            </wp:positionV>
            <wp:extent cx="12344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1"/>
          <w:szCs w:val="21"/>
          <w:color w:val="auto"/>
        </w:rPr>
        <w:t>Name:</w:t>
        <w:tab/>
        <w:t>Michael Osanloo</w:t>
      </w:r>
    </w:p>
    <w:p>
      <w:pPr>
        <w:spacing w:after="0" w:line="1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Amended and Restated Certificate of Incorporation</w:t>
      </w:r>
      <w:r>
        <w:rPr>
          <w:rFonts w:ascii="Times New Roman" w:cs="Times New Roman" w:eastAsia="Times New Roman" w:hAnsi="Times New Roman"/>
          <w:sz w:val="21"/>
          <w:szCs w:val="21"/>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20"/>
          </w:cols>
          <w:pgMar w:left="320" w:top="1400" w:right="3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1"/>
          <w:szCs w:val="21"/>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BYLAWS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2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b w:val="1"/>
          <w:bCs w:val="1"/>
          <w:color w:val="auto"/>
        </w:rPr>
        <w:t>PORTILLO’S, INC.</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(a Delaware corporation)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Effective October 20, 2021</w:t>
      </w: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STOCKHOLDERS</w:t>
      </w:r>
    </w:p>
    <w:p>
      <w:pPr>
        <w:spacing w:after="0" w:line="219"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I.01. </w:t>
      </w:r>
      <w:r>
        <w:rPr>
          <w:rFonts w:ascii="Times New Roman" w:cs="Times New Roman" w:eastAsia="Times New Roman" w:hAnsi="Times New Roman"/>
          <w:sz w:val="21"/>
          <w:szCs w:val="21"/>
          <w:u w:val="single" w:color="auto"/>
          <w:color w:val="auto"/>
        </w:rPr>
        <w:t>Annual Meetings</w:t>
      </w:r>
      <w:r>
        <w:rPr>
          <w:rFonts w:ascii="Times New Roman" w:cs="Times New Roman" w:eastAsia="Times New Roman" w:hAnsi="Times New Roman"/>
          <w:sz w:val="21"/>
          <w:szCs w:val="21"/>
          <w:color w:val="auto"/>
        </w:rPr>
        <w:t>. The annual meeting of the stockholders of Portillo’s, Inc. (the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for the election of directors and for the transaction of such other business as properly may come before such meeting shall be held at such place, either within or without the State of Delaware, or, within the sole discretion of the Board of Directors of the Corporation (the “</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subject to such guidelines and procedures as the Board of Directors may adopt, by means of remote communication as authorized by the General Corporation Law of the State of Delaware (the “</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 and at such date and at such time as may be fixed from time to time by resolution of the Board of Directors and set forth in the notice of the meeting.</w:t>
      </w:r>
    </w:p>
    <w:p>
      <w:pPr>
        <w:spacing w:after="0" w:line="200" w:lineRule="exact"/>
        <w:rPr>
          <w:sz w:val="20"/>
          <w:szCs w:val="20"/>
          <w:color w:val="auto"/>
        </w:rPr>
      </w:pPr>
    </w:p>
    <w:p>
      <w:pPr>
        <w:spacing w:after="0" w:line="231" w:lineRule="exact"/>
        <w:rPr>
          <w:sz w:val="20"/>
          <w:szCs w:val="20"/>
          <w:color w:val="auto"/>
        </w:rPr>
      </w:pPr>
    </w:p>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I.02. </w:t>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 Special meetings of the stockholders of the Corporation may be called as set forth in the Certificate of Incorporation of the Corporation. Any such special meetings of the stockholders shall be held at such places, within or without the State of Delaware, or, within the sole discretion of the Board of Directors, and subject to such guidelines and procedures as the Board of Directors may adopt, by means of remote communication as authorized by the DGCL, as shall be specified in the respective notice thereof.</w:t>
      </w:r>
    </w:p>
    <w:p>
      <w:pPr>
        <w:spacing w:after="0" w:line="182"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I.03. </w:t>
      </w:r>
      <w:r>
        <w:rPr>
          <w:rFonts w:ascii="Times New Roman" w:cs="Times New Roman" w:eastAsia="Times New Roman" w:hAnsi="Times New Roman"/>
          <w:sz w:val="21"/>
          <w:szCs w:val="21"/>
          <w:u w:val="single" w:color="auto"/>
          <w:color w:val="auto"/>
        </w:rPr>
        <w:t>Stockholder Action by Consent</w:t>
      </w:r>
      <w:r>
        <w:rPr>
          <w:rFonts w:ascii="Times New Roman" w:cs="Times New Roman" w:eastAsia="Times New Roman" w:hAnsi="Times New Roman"/>
          <w:sz w:val="21"/>
          <w:szCs w:val="21"/>
          <w:color w:val="auto"/>
        </w:rPr>
        <w:t>. Any action required or permitted to be taken at any annual or special meeting of stockholders of the Corporation may be taken without a meeting, without prior notice and without a vote only to the extent permitted by and in the manner provided in the Certificate of Incorporation of the Corporation (as it may be amended from time to time, the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and in accordance with applicable law.</w:t>
      </w:r>
    </w:p>
    <w:p>
      <w:pPr>
        <w:spacing w:after="0" w:line="160"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I.04.</w:t>
      </w:r>
      <w:r>
        <w:rPr>
          <w:sz w:val="20"/>
          <w:szCs w:val="20"/>
          <w:color w:val="auto"/>
        </w:rPr>
        <w:tab/>
      </w:r>
      <w:r>
        <w:rPr>
          <w:rFonts w:ascii="Times New Roman" w:cs="Times New Roman" w:eastAsia="Times New Roman" w:hAnsi="Times New Roman"/>
          <w:sz w:val="21"/>
          <w:szCs w:val="21"/>
          <w:u w:val="single" w:color="auto"/>
          <w:color w:val="auto"/>
        </w:rPr>
        <w:t>Notice of Meetings; Waiver</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ind w:firstLine="1296"/>
        <w:spacing w:after="0" w:line="250" w:lineRule="auto"/>
        <w:tabs>
          <w:tab w:leader="none" w:pos="192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prescribed by statute or the Certificate of Incorporation of the Corporation , the Secretary of the Corporation or any Assistant Secretary shall cause notice of the place, if any, date and hour of each meeting of the stockholders, and, in the case of a special meeting, the purpose or purposes for which such meeting is called, and the means of remote communication, if any, by which stockholders and proxyholders may be deemed to be present in person and vote at such meeting, to be given personally by mail or by electronic transmission, or as otherwise provided in these Bylaws, not fewer than ten (10) nor more than sixty (60) days prior to the meeting, except as otherwise required by applicable law,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RLF1 25822840V.2</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08" w:right="339" w:bottom="1440" w:gutter="0" w:footer="0" w:header="0"/>
        </w:sectPr>
      </w:pPr>
    </w:p>
    <w:bookmarkStart w:id="60" w:name="page61"/>
    <w:bookmarkEnd w:id="60"/>
    <w:p>
      <w:pPr>
        <w:jc w:val="both"/>
        <w:ind w:firstLine="1296"/>
        <w:spacing w:after="0" w:line="248" w:lineRule="auto"/>
        <w:tabs>
          <w:tab w:leader="none" w:pos="192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such notices shall be delivered in writing or in any other manner permitted by the DGCL. If mailed, such notice shall be deemed given when deposited in the United States mail, postage prepaid, addressed to the stockholder at his, her or its address as the same appears on the records of the Corporation. If delivered by courier service, notice shall be deemed given at the earlier of when the notice is received or left at such stockholder’s address as the same appears on the records of the Corporation. If given by electronic mail, notice shall be deemed given when directed to such stockholder’s electronic mail address unless the stockholder has notified the Corporation in writing or by electronic transmission of an objection to receiving notice by electronic mail or such notice is prohibited by the DGCL. Notice to stockholders may also be given by other forms of electronic transmission consented to by the stockholder. If given by facsimile telecommunication, such notice shall be deemed given when directed to a number at which the stockholder has consented to receive notice by facsimile. If given by a posting on an electronic network together with separate notice to the stockholder of such specific posting, such notice shall be deemed given upon the later of (x) such posting and (y) the giving of such separate notice. If notice is given by any other form of electronic transmission, such notice shall be deemed given when directed to the stockholder.</w:t>
      </w:r>
    </w:p>
    <w:p>
      <w:pPr>
        <w:spacing w:after="0" w:line="186" w:lineRule="exact"/>
        <w:rPr>
          <w:rFonts w:ascii="Times New Roman" w:cs="Times New Roman" w:eastAsia="Times New Roman" w:hAnsi="Times New Roman"/>
          <w:sz w:val="21"/>
          <w:szCs w:val="21"/>
          <w:color w:val="auto"/>
        </w:rPr>
      </w:pPr>
    </w:p>
    <w:p>
      <w:pPr>
        <w:jc w:val="both"/>
        <w:ind w:firstLine="1296"/>
        <w:spacing w:after="0" w:line="247" w:lineRule="auto"/>
        <w:tabs>
          <w:tab w:leader="none" w:pos="192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1.04(b) of this Article I, a notice may not be given by electronic transmission (including email) from and after the time: (i) the Corporation is unable to deliver by electronic transmission two (2) consecutive notices given by the Corporation; and (ii) such inability becomes known to the secretary or an assistant secretary of the Corporation or to the transfer agent or other person responsible for the giving of notice. However, the inadvertent failure to treat such inability as a revocation shall not invalidate any meeting or other action. For purposes of these Bylaws, except as otherwise limited by applicable law, the term “</w:t>
      </w:r>
      <w:r>
        <w:rPr>
          <w:rFonts w:ascii="Times New Roman" w:cs="Times New Roman" w:eastAsia="Times New Roman" w:hAnsi="Times New Roman"/>
          <w:sz w:val="21"/>
          <w:szCs w:val="21"/>
          <w:u w:val="single" w:color="auto"/>
          <w:color w:val="auto"/>
        </w:rPr>
        <w:t>electronic transmission</w:t>
      </w:r>
      <w:r>
        <w:rPr>
          <w:rFonts w:ascii="Times New Roman" w:cs="Times New Roman" w:eastAsia="Times New Roman" w:hAnsi="Times New Roman"/>
          <w:sz w:val="21"/>
          <w:szCs w:val="21"/>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recipient through an automated process.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w:t>
      </w:r>
    </w:p>
    <w:p>
      <w:pPr>
        <w:spacing w:after="0" w:line="200" w:lineRule="exact"/>
        <w:rPr>
          <w:rFonts w:ascii="Times New Roman" w:cs="Times New Roman" w:eastAsia="Times New Roman" w:hAnsi="Times New Roman"/>
          <w:sz w:val="21"/>
          <w:szCs w:val="21"/>
          <w:color w:val="auto"/>
        </w:rPr>
      </w:pPr>
    </w:p>
    <w:p>
      <w:pPr>
        <w:spacing w:after="0" w:line="240" w:lineRule="exact"/>
        <w:rPr>
          <w:rFonts w:ascii="Times New Roman" w:cs="Times New Roman" w:eastAsia="Times New Roman" w:hAnsi="Times New Roman"/>
          <w:sz w:val="21"/>
          <w:szCs w:val="21"/>
          <w:color w:val="auto"/>
        </w:rPr>
      </w:pPr>
    </w:p>
    <w:p>
      <w:pPr>
        <w:jc w:val="both"/>
        <w:ind w:firstLine="1296"/>
        <w:spacing w:after="0" w:line="252" w:lineRule="auto"/>
        <w:tabs>
          <w:tab w:leader="none" w:pos="192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waiver of any notice of any annual or special meeting signed by the person entitled thereto, or a waiver by electronic transmission by the person entitled to notice, shall be deemed equivalent to notice. Neither the business to be transacted at, nor the purpose of, any annual or special meeting of the stockholders need be specified in a written waiver of notice. Attendance of a stockholder at a meeting of stockholders shall constitute a waiver of notice of such meeting, except when the stockholder attends a meeting for the express purpose of objecting, at the beginning of the meeting, to the transaction of any business on the ground that the meeting is not lawfully called or convened.</w:t>
      </w:r>
    </w:p>
    <w:p>
      <w:pPr>
        <w:spacing w:after="0" w:line="169" w:lineRule="exact"/>
        <w:rPr>
          <w:rFonts w:ascii="Times New Roman" w:cs="Times New Roman" w:eastAsia="Times New Roman" w:hAnsi="Times New Roman"/>
          <w:sz w:val="21"/>
          <w:szCs w:val="21"/>
          <w:color w:val="auto"/>
        </w:rPr>
      </w:pPr>
    </w:p>
    <w:p>
      <w:pPr>
        <w:jc w:val="both"/>
        <w:ind w:firstLine="1296"/>
        <w:spacing w:after="0" w:line="265" w:lineRule="auto"/>
        <w:tabs>
          <w:tab w:leader="none" w:pos="192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stockholder meeting is to be held by means of remote communication and stockholders will take action at such meeting, the notice of such meeting must: (i) specify the means of remote communication, if any, by which stockholders and proxyholders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1" w:name="page62"/>
    <w:bookmarkEnd w:id="61"/>
    <w:p>
      <w:pPr>
        <w:jc w:val="both"/>
        <w:spacing w:after="0" w:line="277" w:lineRule="auto"/>
        <w:rPr>
          <w:sz w:val="20"/>
          <w:szCs w:val="20"/>
          <w:color w:val="auto"/>
        </w:rPr>
      </w:pPr>
      <w:r>
        <w:rPr>
          <w:rFonts w:ascii="Times New Roman" w:cs="Times New Roman" w:eastAsia="Times New Roman" w:hAnsi="Times New Roman"/>
          <w:sz w:val="21"/>
          <w:szCs w:val="21"/>
          <w:color w:val="auto"/>
        </w:rPr>
        <w:t>deemed to be present and vote at such meeting; and (ii) provide, or be accompanied by, the information required to access the stockholder list. A waiver of notice may be given by electronic transmission.</w:t>
      </w:r>
    </w:p>
    <w:p>
      <w:pPr>
        <w:spacing w:after="0" w:line="154"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I.05.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Except as otherwise required by law or by the Certificate of Incorporation or these Bylaws, at each meeting of stockholders the presence in person or by proxy of the holders of record of a majority in voting power of the shares entitled to vote at a meeting of stockholders shall constitute a quorum for the transaction of business at such meeting. Where a separate vote by one or more classes or series is required, the presence in person or by proxy of the holders of record of a majority in voting power of the shares entitled to vote shall constitute a quorum entitled to take action with respect to that vote on that matter. Shares of the Corporation’s capital stock shall neither be entitled to vote nor counted for quorum purposes if such shares belong to (i) the Corporation, (ii) another corporation, if a majority of the shares entitled to vote in the election of directors of such other corporation is held, directly or indirectly, by the Corporation or (iii) any other entity, if a majority of the voting power of such other entity is otherwise controlled, directly or indirectly, by the Corporation; provided, however, that the foregoing shall not limit the right of the Corporation to vote stock, including but not limited to its own stock, held by it in a fiduciary capacity.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4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I.06.</w:t>
      </w:r>
      <w:r>
        <w:rPr>
          <w:sz w:val="20"/>
          <w:szCs w:val="20"/>
          <w:color w:val="auto"/>
        </w:rPr>
        <w:tab/>
      </w: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296"/>
        <w:spacing w:after="0" w:line="265" w:lineRule="auto"/>
        <w:tabs>
          <w:tab w:leader="none" w:pos="192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w:t>
      </w:r>
    </w:p>
    <w:p>
      <w:pPr>
        <w:spacing w:after="0" w:line="166" w:lineRule="exact"/>
        <w:rPr>
          <w:rFonts w:ascii="Times New Roman" w:cs="Times New Roman" w:eastAsia="Times New Roman" w:hAnsi="Times New Roman"/>
          <w:sz w:val="21"/>
          <w:szCs w:val="21"/>
          <w:color w:val="auto"/>
        </w:rPr>
      </w:pPr>
    </w:p>
    <w:p>
      <w:pPr>
        <w:ind w:right="60" w:firstLine="1296"/>
        <w:spacing w:after="0" w:line="250" w:lineRule="auto"/>
        <w:tabs>
          <w:tab w:leader="none" w:pos="192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by law, the Certificate of Incorporation or these Bylaws, directors shall be elected as set forth in Section 2.02 of these Bylaws. All other matters presented to the stockholders at a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shares of stock of the Corporation which are present in person or by proxy and entitled to vote thereon.</w:t>
      </w:r>
    </w:p>
    <w:p>
      <w:pPr>
        <w:spacing w:after="0" w:line="172" w:lineRule="exact"/>
        <w:rPr>
          <w:sz w:val="20"/>
          <w:szCs w:val="20"/>
          <w:color w:val="auto"/>
        </w:rPr>
      </w:pPr>
    </w:p>
    <w:p>
      <w:pPr>
        <w:ind w:right="60" w:firstLine="1127"/>
        <w:spacing w:after="0" w:line="274" w:lineRule="auto"/>
        <w:rPr>
          <w:sz w:val="20"/>
          <w:szCs w:val="20"/>
          <w:color w:val="auto"/>
        </w:rPr>
      </w:pPr>
      <w:r>
        <w:rPr>
          <w:rFonts w:ascii="Times New Roman" w:cs="Times New Roman" w:eastAsia="Times New Roman" w:hAnsi="Times New Roman"/>
          <w:sz w:val="21"/>
          <w:szCs w:val="21"/>
          <w:color w:val="auto"/>
        </w:rPr>
        <w:t xml:space="preserve">Section I.07. </w:t>
      </w:r>
      <w:r>
        <w:rPr>
          <w:rFonts w:ascii="Times New Roman" w:cs="Times New Roman" w:eastAsia="Times New Roman" w:hAnsi="Times New Roman"/>
          <w:sz w:val="21"/>
          <w:szCs w:val="21"/>
          <w:u w:val="single" w:color="auto"/>
          <w:color w:val="auto"/>
        </w:rPr>
        <w:t>Voting by Ballot</w:t>
      </w:r>
      <w:r>
        <w:rPr>
          <w:rFonts w:ascii="Times New Roman" w:cs="Times New Roman" w:eastAsia="Times New Roman" w:hAnsi="Times New Roman"/>
          <w:sz w:val="21"/>
          <w:szCs w:val="21"/>
          <w:color w:val="auto"/>
        </w:rPr>
        <w:t>. No vote of the stockholders on an election of directors or any other matter need be taken by written ballot or by electronic transmission unless otherwise provided in the Certificate of Incorporation or required by law.</w:t>
      </w:r>
    </w:p>
    <w:p>
      <w:pPr>
        <w:spacing w:after="0" w:line="200" w:lineRule="exact"/>
        <w:rPr>
          <w:sz w:val="20"/>
          <w:szCs w:val="20"/>
          <w:color w:val="auto"/>
        </w:rPr>
      </w:pPr>
    </w:p>
    <w:p>
      <w:pPr>
        <w:spacing w:after="0" w:line="215" w:lineRule="exact"/>
        <w:rPr>
          <w:sz w:val="20"/>
          <w:szCs w:val="20"/>
          <w:color w:val="auto"/>
        </w:rPr>
      </w:pPr>
    </w:p>
    <w:p>
      <w:pPr>
        <w:ind w:right="80"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I.08. </w:t>
      </w:r>
      <w:r>
        <w:rPr>
          <w:rFonts w:ascii="Times New Roman" w:cs="Times New Roman" w:eastAsia="Times New Roman" w:hAnsi="Times New Roman"/>
          <w:sz w:val="21"/>
          <w:szCs w:val="21"/>
          <w:u w:val="single" w:color="auto"/>
          <w:color w:val="auto"/>
        </w:rPr>
        <w:t>Postponement and Adjournment</w:t>
      </w:r>
      <w:r>
        <w:rPr>
          <w:rFonts w:ascii="Times New Roman" w:cs="Times New Roman" w:eastAsia="Times New Roman" w:hAnsi="Times New Roman"/>
          <w:sz w:val="21"/>
          <w:szCs w:val="21"/>
          <w:color w:val="auto"/>
        </w:rPr>
        <w:t>. Any meeting of stockholders may be postponed, rescheduled or cancelled by action of the Board of Directors at any time in advance of such meeting. If a quorum is not present at any meeting of the stockholders, the Chairperson of such meeting shall have the power to adjourn the meeting without a vote of the stockholders. In the absence of a quorum, the stockholders so present may, by the affirmative vote of the holders of a majority in voting power of the shares of the Corporation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3</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2" w:name="page63"/>
    <w:bookmarkEnd w:id="62"/>
    <w:p>
      <w:pPr>
        <w:ind w:right="160"/>
        <w:spacing w:after="0" w:line="249" w:lineRule="auto"/>
        <w:rPr>
          <w:sz w:val="20"/>
          <w:szCs w:val="20"/>
          <w:color w:val="auto"/>
        </w:rPr>
      </w:pPr>
      <w:r>
        <w:rPr>
          <w:rFonts w:ascii="Times New Roman" w:cs="Times New Roman" w:eastAsia="Times New Roman" w:hAnsi="Times New Roman"/>
          <w:sz w:val="21"/>
          <w:szCs w:val="21"/>
          <w:color w:val="auto"/>
        </w:rPr>
        <w:t>present in person or by proxy and entitled to vote thereon, adjourn the meeting from time to time until a quorum shall attend. Notice of any adjourned meeting of the stockholders of the Corporation need not be given if the place, if any, date and hour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8" w:lineRule="exact"/>
        <w:rPr>
          <w:sz w:val="20"/>
          <w:szCs w:val="20"/>
          <w:color w:val="auto"/>
        </w:rPr>
      </w:pPr>
    </w:p>
    <w:p>
      <w:pPr>
        <w:jc w:val="both"/>
        <w:ind w:firstLine="1127"/>
        <w:spacing w:after="0" w:line="247" w:lineRule="auto"/>
        <w:rPr>
          <w:sz w:val="20"/>
          <w:szCs w:val="20"/>
          <w:color w:val="auto"/>
        </w:rPr>
      </w:pPr>
      <w:r>
        <w:rPr>
          <w:rFonts w:ascii="Times New Roman" w:cs="Times New Roman" w:eastAsia="Times New Roman" w:hAnsi="Times New Roman"/>
          <w:sz w:val="21"/>
          <w:szCs w:val="21"/>
          <w:color w:val="auto"/>
        </w:rPr>
        <w:t xml:space="preserve">Section I.09. </w:t>
      </w:r>
      <w:r>
        <w:rPr>
          <w:rFonts w:ascii="Times New Roman" w:cs="Times New Roman" w:eastAsia="Times New Roman" w:hAnsi="Times New Roman"/>
          <w:sz w:val="21"/>
          <w:szCs w:val="21"/>
          <w:u w:val="single" w:color="auto"/>
          <w:color w:val="auto"/>
        </w:rPr>
        <w:t>Proxies</w:t>
      </w:r>
      <w:r>
        <w:rPr>
          <w:rFonts w:ascii="Times New Roman" w:cs="Times New Roman" w:eastAsia="Times New Roman" w:hAnsi="Times New Roman"/>
          <w:sz w:val="21"/>
          <w:szCs w:val="21"/>
          <w:color w:val="auto"/>
        </w:rPr>
        <w:t xml:space="preserve">. Any stockholder entitled to vote at any meeting of the stockholders may authorize another person or persons to vote at any such meeting and express such vote on behalf of such stockholder by proxy. A stockholder may authorize a valid proxy by executing a written instrument signed by such stockholder, or by causing such stockholder’s signature to be affixed to such writing by any reasonable means including, but not limited to, by transmitting or authorizing the transmission of a telegram, cablegram or other means of electronic transmission to the person designated as the holder of the proxy, a proxy solicitation firm or a like authorized agent. Such proxy must be filed with the Secretary of the Corporation before or at the time of the meeting at which such proxy will be voted. No such proxy shall be voted or acted upon after the expiration of three (3) years from the date of such proxy, unless such proxy provides for a longer period. A proxy shall be irrevocable if it states that it is irrevocable and if, and only as long as, it is coupled with an interest.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filing with the Secretary of the Corporation either an instrument in writing revoking the proxy or another duly executed proxy bearing a later date. Proxies by telegram, cablegram, or other electronic transmission must either set forth or be submitted with information from which it can be determined that the telegram, cablegram, or other electronic transmission was authorized by the stockholder. Any copy or other reliable reproduction of a writing or transmission created pursuant to this section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copy or other reproduction shall be a complete reproduction of the entire original writing or transmission.</w:t>
      </w:r>
    </w:p>
    <w:p>
      <w:pPr>
        <w:spacing w:after="0" w:line="177" w:lineRule="exact"/>
        <w:rPr>
          <w:sz w:val="20"/>
          <w:szCs w:val="20"/>
          <w:color w:val="auto"/>
        </w:rPr>
      </w:pPr>
    </w:p>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I.10. </w:t>
      </w:r>
      <w:r>
        <w:rPr>
          <w:rFonts w:ascii="Times New Roman" w:cs="Times New Roman" w:eastAsia="Times New Roman" w:hAnsi="Times New Roman"/>
          <w:sz w:val="21"/>
          <w:szCs w:val="21"/>
          <w:u w:val="single" w:color="auto"/>
          <w:color w:val="auto"/>
        </w:rPr>
        <w:t>Organization; Procedure</w:t>
      </w:r>
      <w:r>
        <w:rPr>
          <w:rFonts w:ascii="Times New Roman" w:cs="Times New Roman" w:eastAsia="Times New Roman" w:hAnsi="Times New Roman"/>
          <w:sz w:val="21"/>
          <w:szCs w:val="21"/>
          <w:color w:val="auto"/>
        </w:rPr>
        <w:t>. At every meeting of stockholders, the Chairperson of such meeting shall be the Chairperson of the Board or, if no Chairperson of the Board has been elected or in the event of his or her absence or disability, a Chairperson chosen by the Board of Directors. The Secretary of the Corporation, or in the event of his or her absence or disability, an Assistant Secretary, if any, or if there be no Assistant Secretary, in the absence of the Secretary of the Corporation, an appointee of the Chairperson of the meeting, shall act as Secretary of the meeting. The order of business and all other matters of procedure at every meeting of stockholders may be determined by the Chairperson of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3" w:name="page64"/>
    <w:bookmarkEnd w:id="63"/>
    <w:p>
      <w:pPr>
        <w:ind w:firstLine="1127"/>
        <w:spacing w:after="0" w:line="277" w:lineRule="auto"/>
        <w:rPr>
          <w:sz w:val="20"/>
          <w:szCs w:val="20"/>
          <w:color w:val="auto"/>
        </w:rPr>
      </w:pPr>
      <w:r>
        <w:rPr>
          <w:rFonts w:ascii="Times New Roman" w:cs="Times New Roman" w:eastAsia="Times New Roman" w:hAnsi="Times New Roman"/>
          <w:sz w:val="21"/>
          <w:szCs w:val="21"/>
          <w:color w:val="auto"/>
        </w:rPr>
        <w:t xml:space="preserve">Section I.11. </w:t>
      </w:r>
      <w:r>
        <w:rPr>
          <w:rFonts w:ascii="Times New Roman" w:cs="Times New Roman" w:eastAsia="Times New Roman" w:hAnsi="Times New Roman"/>
          <w:sz w:val="21"/>
          <w:szCs w:val="21"/>
          <w:u w:val="single" w:color="auto"/>
          <w:color w:val="auto"/>
        </w:rPr>
        <w:t>Business at Annual and Special Meetings</w:t>
      </w:r>
      <w:r>
        <w:rPr>
          <w:rFonts w:ascii="Times New Roman" w:cs="Times New Roman" w:eastAsia="Times New Roman" w:hAnsi="Times New Roman"/>
          <w:sz w:val="21"/>
          <w:szCs w:val="21"/>
          <w:color w:val="auto"/>
        </w:rPr>
        <w:t>. No business may be transacted at an annual or special meeting of stockholders other than business that is:</w:t>
      </w:r>
    </w:p>
    <w:p>
      <w:pPr>
        <w:spacing w:after="0" w:line="154" w:lineRule="exact"/>
        <w:rPr>
          <w:sz w:val="20"/>
          <w:szCs w:val="20"/>
          <w:color w:val="auto"/>
        </w:rPr>
      </w:pPr>
    </w:p>
    <w:p>
      <w:pPr>
        <w:ind w:firstLine="1296"/>
        <w:spacing w:after="0" w:line="277" w:lineRule="auto"/>
        <w:tabs>
          <w:tab w:leader="none" w:pos="192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specified in a notice of meeting (or any supplement thereto) given by or at the direction of the Board of Directors or a duly authorized committee thereof,</w:t>
      </w:r>
    </w:p>
    <w:p>
      <w:pPr>
        <w:spacing w:after="0" w:line="153" w:lineRule="exact"/>
        <w:rPr>
          <w:rFonts w:ascii="Times New Roman" w:cs="Times New Roman" w:eastAsia="Times New Roman" w:hAnsi="Times New Roman"/>
          <w:sz w:val="21"/>
          <w:szCs w:val="21"/>
          <w:color w:val="auto"/>
        </w:rPr>
      </w:pPr>
    </w:p>
    <w:p>
      <w:pPr>
        <w:jc w:val="both"/>
        <w:ind w:firstLine="1296"/>
        <w:spacing w:after="0" w:line="258" w:lineRule="auto"/>
        <w:tabs>
          <w:tab w:leader="none" w:pos="192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brought before the meeting by or at the direction of the Board of Directors or a duly authorized committee thereof or any authorized officer of the Corporation to whom the Board of Directors or such committee shall have delegated such authority, or</w:t>
      </w:r>
    </w:p>
    <w:p>
      <w:pPr>
        <w:spacing w:after="0" w:line="174" w:lineRule="exact"/>
        <w:rPr>
          <w:rFonts w:ascii="Times New Roman" w:cs="Times New Roman" w:eastAsia="Times New Roman" w:hAnsi="Times New Roman"/>
          <w:sz w:val="21"/>
          <w:szCs w:val="21"/>
          <w:color w:val="auto"/>
        </w:rPr>
      </w:pPr>
    </w:p>
    <w:p>
      <w:pPr>
        <w:ind w:firstLine="1296"/>
        <w:spacing w:after="0" w:line="277" w:lineRule="auto"/>
        <w:tabs>
          <w:tab w:leader="none" w:pos="192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brought before the meeting by a “Record Holder” who complies with the notice procedures set forth in Section 1.12 of these Bylaws.</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Record Holder</w:t>
      </w:r>
      <w:r>
        <w:rPr>
          <w:rFonts w:ascii="Times New Roman" w:cs="Times New Roman" w:eastAsia="Times New Roman" w:hAnsi="Times New Roman"/>
          <w:sz w:val="21"/>
          <w:szCs w:val="21"/>
          <w:color w:val="auto"/>
        </w:rPr>
        <w:t>” is a stockholder that holds of record stock of the Corporation entitled to vote at the meeting on the business (including any election of a director) to be appropriately conducted at the meeting. Clause (c) of this Section 1.11 shall be the exclusive means for a Record Holder to make director nominations or submit other business before a meeting of stockholders (other than proposals brought under Rule 14a-8 under the Securities Exchange Act of 1934, as amended (the “Exchange Act”) and included in the Corporation’s notice of meeting, which proposals are not governed by these Bylaws). Notwithstanding anything in these Bylaws to the contrary, no business shall be conducted at a stockholders’ meeting except in accordance with the procedures set forth in Section 1.11 and Section 1.12 of these Bylaws.</w:t>
      </w:r>
    </w:p>
    <w:p>
      <w:pPr>
        <w:spacing w:after="0" w:line="172"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I.12. </w:t>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 In order for a Record Holder to properly bring any item of business before a meeting of stockholders, the Record Holder must give timely notice thereof in writing to the Secretary of the Corporation in compliance with the requirements of this Section 1.12. This Section 1.12 shall constitute an “advance notice provision” for annual meetings for purposes of Rule 14a-4(c)(1) under the Exchange Act.</w:t>
      </w:r>
    </w:p>
    <w:p>
      <w:pPr>
        <w:spacing w:after="0" w:line="174" w:lineRule="exact"/>
        <w:rPr>
          <w:sz w:val="20"/>
          <w:szCs w:val="20"/>
          <w:color w:val="auto"/>
        </w:rPr>
      </w:pPr>
    </w:p>
    <w:p>
      <w:pPr>
        <w:ind w:left="1940" w:hanging="644"/>
        <w:spacing w:after="0"/>
        <w:tabs>
          <w:tab w:leader="none" w:pos="19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timely, a Record Holder’s notice shall be delivered to the Secretary at the principal executive offices</w:t>
      </w:r>
    </w:p>
    <w:p>
      <w:pPr>
        <w:spacing w:after="0" w:line="2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Corporation:</w:t>
      </w:r>
    </w:p>
    <w:p>
      <w:pPr>
        <w:spacing w:after="0" w:line="204" w:lineRule="exact"/>
        <w:rPr>
          <w:rFonts w:ascii="Times New Roman" w:cs="Times New Roman" w:eastAsia="Times New Roman" w:hAnsi="Times New Roman"/>
          <w:sz w:val="21"/>
          <w:szCs w:val="21"/>
          <w:color w:val="auto"/>
        </w:rPr>
      </w:pPr>
    </w:p>
    <w:p>
      <w:pPr>
        <w:ind w:left="660" w:right="20" w:firstLine="1280"/>
        <w:spacing w:after="0" w:line="249" w:lineRule="auto"/>
        <w:tabs>
          <w:tab w:leader="none" w:pos="258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annual meeting of stockholders, not earlier than the open of business on the one-hundred twentieth (120th) day and not later than the close of business on the ninetieth (90th) day prior to the first anniversary of the preceding year’s annual meeting; provided, however, that in the event the date of the annual meeting is more than thirty (30) days before or more than sixty (60) days after such anniversary date, notice by the stockholder to be timely must be so delivered not earlier than the open of business on the one-hundred twentieth (120th) day prior to the date of such annual meeting and not later than the close of business on the later of the ninetieth (90th) day prior to the date of such annual meeting or, if the first public announcement by the Corporation of the date of such annual meeting is less than one hundred (100) days prior to the date of such annual meeting, the tenth (10th) day following the day on which public announcement of the date of such meeting is first made by the Corporation;</w:t>
      </w:r>
    </w:p>
    <w:p>
      <w:pPr>
        <w:spacing w:after="0" w:line="174" w:lineRule="exact"/>
        <w:rPr>
          <w:rFonts w:ascii="Times New Roman" w:cs="Times New Roman" w:eastAsia="Times New Roman" w:hAnsi="Times New Roman"/>
          <w:sz w:val="21"/>
          <w:szCs w:val="21"/>
          <w:color w:val="auto"/>
        </w:rPr>
      </w:pPr>
    </w:p>
    <w:p>
      <w:pPr>
        <w:ind w:left="660" w:right="20" w:firstLine="1280"/>
        <w:spacing w:after="0" w:line="291" w:lineRule="auto"/>
        <w:tabs>
          <w:tab w:leader="none" w:pos="258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special meeting of stockholders called for the purpose of electing directors, not earlier than the open of business on the one-hundred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4" w:name="page65"/>
    <w:bookmarkEnd w:id="64"/>
    <w:p>
      <w:pPr>
        <w:jc w:val="both"/>
        <w:ind w:left="660"/>
        <w:spacing w:after="0" w:line="257" w:lineRule="auto"/>
        <w:rPr>
          <w:sz w:val="20"/>
          <w:szCs w:val="20"/>
          <w:color w:val="auto"/>
        </w:rPr>
      </w:pPr>
      <w:r>
        <w:rPr>
          <w:rFonts w:ascii="Times New Roman" w:cs="Times New Roman" w:eastAsia="Times New Roman" w:hAnsi="Times New Roman"/>
          <w:sz w:val="21"/>
          <w:szCs w:val="21"/>
          <w:color w:val="auto"/>
        </w:rPr>
        <w:t>twentieth (120th) day prior to such special meeting and not later than the close of business on the later of the ninetieth (90th) day prior to such special meeting or the tenth (10th) day following the date on which notice of the date of the special meeting was made by the Corporation, mailed or public disclosure of the date of the special meeting was made, whichever first occurs; and</w:t>
      </w:r>
    </w:p>
    <w:p>
      <w:pPr>
        <w:spacing w:after="0" w:line="174" w:lineRule="exact"/>
        <w:rPr>
          <w:sz w:val="20"/>
          <w:szCs w:val="20"/>
          <w:color w:val="auto"/>
        </w:rPr>
      </w:pPr>
    </w:p>
    <w:p>
      <w:pPr>
        <w:jc w:val="both"/>
        <w:ind w:left="660" w:firstLine="1280"/>
        <w:spacing w:after="0" w:line="258" w:lineRule="auto"/>
        <w:tabs>
          <w:tab w:leader="none" w:pos="2592"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any adjournment or postponement of an annual or special meeting, or the announcement thereof, commence a new time period (or extend the time period) for the giving of a stockholder’s notice as described above.</w:t>
      </w:r>
    </w:p>
    <w:p>
      <w:pPr>
        <w:spacing w:after="0" w:line="174" w:lineRule="exact"/>
        <w:rPr>
          <w:rFonts w:ascii="Times New Roman" w:cs="Times New Roman" w:eastAsia="Times New Roman" w:hAnsi="Times New Roman"/>
          <w:sz w:val="21"/>
          <w:szCs w:val="21"/>
          <w:color w:val="auto"/>
        </w:rPr>
      </w:pPr>
    </w:p>
    <w:p>
      <w:pPr>
        <w:ind w:firstLine="1296"/>
        <w:spacing w:after="0" w:line="277" w:lineRule="auto"/>
        <w:tabs>
          <w:tab w:leader="none" w:pos="192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in proper form, whether in regard to a nominee for election to the Board of Directors or other business, a Record Holder’s notice to the Secretary must:</w:t>
      </w:r>
    </w:p>
    <w:p>
      <w:pPr>
        <w:spacing w:after="0" w:line="153" w:lineRule="exact"/>
        <w:rPr>
          <w:rFonts w:ascii="Times New Roman" w:cs="Times New Roman" w:eastAsia="Times New Roman" w:hAnsi="Times New Roman"/>
          <w:sz w:val="21"/>
          <w:szCs w:val="21"/>
          <w:color w:val="auto"/>
        </w:rPr>
      </w:pPr>
    </w:p>
    <w:p>
      <w:pPr>
        <w:ind w:left="660" w:firstLine="1280"/>
        <w:spacing w:after="0" w:line="277" w:lineRule="auto"/>
        <w:tabs>
          <w:tab w:leader="none" w:pos="258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 forth, as to the Record Holder, the following information together with a representation as to the accuracy of the information:</w:t>
      </w:r>
    </w:p>
    <w:p>
      <w:pPr>
        <w:spacing w:after="0" w:line="140" w:lineRule="exact"/>
        <w:rPr>
          <w:rFonts w:ascii="Times New Roman" w:cs="Times New Roman" w:eastAsia="Times New Roman" w:hAnsi="Times New Roman"/>
          <w:sz w:val="21"/>
          <w:szCs w:val="21"/>
          <w:color w:val="auto"/>
        </w:rPr>
      </w:pPr>
    </w:p>
    <w:p>
      <w:pPr>
        <w:ind w:left="3220" w:hanging="636"/>
        <w:spacing w:after="0"/>
        <w:tabs>
          <w:tab w:leader="none" w:pos="3220"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and address of the Record Holder as they appear on the Corporation’s books (the</w:t>
      </w:r>
    </w:p>
    <w:p>
      <w:pPr>
        <w:spacing w:after="0" w:line="37"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w:t>
      </w:r>
    </w:p>
    <w:p>
      <w:pPr>
        <w:spacing w:after="0" w:line="190" w:lineRule="exact"/>
        <w:rPr>
          <w:rFonts w:ascii="Times New Roman" w:cs="Times New Roman" w:eastAsia="Times New Roman" w:hAnsi="Times New Roman"/>
          <w:sz w:val="21"/>
          <w:szCs w:val="21"/>
          <w:color w:val="auto"/>
        </w:rPr>
      </w:pPr>
    </w:p>
    <w:p>
      <w:pPr>
        <w:jc w:val="both"/>
        <w:ind w:left="660" w:firstLine="1924"/>
        <w:spacing w:after="0" w:line="252" w:lineRule="auto"/>
        <w:tabs>
          <w:tab w:leader="none" w:pos="3228"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class or series and number of shares of the Corporation that are, directly or indirectly, owned of record or beneficially owned (within the meaning of Rule 13d-3 under the Exchange Act) by the Holder or any Stockholder Associated Person of the Record Holder (except that such Holder or Stockholder Associated Person of the Record Holder shall in all events be deemed to beneficially own any shares of any class or series of the Corporation as to which such Holder or Stockholder Associated Person of the Record Holder has a right to acquire beneficial ownership at any time in the future) and the date such ownership was acquired;</w:t>
      </w:r>
    </w:p>
    <w:p>
      <w:pPr>
        <w:spacing w:after="0" w:line="169" w:lineRule="exact"/>
        <w:rPr>
          <w:rFonts w:ascii="Times New Roman" w:cs="Times New Roman" w:eastAsia="Times New Roman" w:hAnsi="Times New Roman"/>
          <w:sz w:val="21"/>
          <w:szCs w:val="21"/>
          <w:color w:val="auto"/>
        </w:rPr>
      </w:pPr>
    </w:p>
    <w:p>
      <w:pPr>
        <w:jc w:val="both"/>
        <w:ind w:left="660" w:firstLine="1924"/>
        <w:spacing w:after="0" w:line="251" w:lineRule="auto"/>
        <w:tabs>
          <w:tab w:leader="none" w:pos="3228"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price, value or volatility of any class or series of shares of the Corporation, whether or not the instrument or right shall be subject to settlement in the underlying class or series of capital stock of the Corporation or otherwise (a “</w:t>
      </w:r>
      <w:r>
        <w:rPr>
          <w:rFonts w:ascii="Times New Roman" w:cs="Times New Roman" w:eastAsia="Times New Roman" w:hAnsi="Times New Roman"/>
          <w:sz w:val="21"/>
          <w:szCs w:val="21"/>
          <w:u w:val="single" w:color="auto"/>
          <w:color w:val="auto"/>
        </w:rPr>
        <w:t>Derivative Instrument</w:t>
      </w:r>
      <w:r>
        <w:rPr>
          <w:rFonts w:ascii="Times New Roman" w:cs="Times New Roman" w:eastAsia="Times New Roman" w:hAnsi="Times New Roman"/>
          <w:sz w:val="21"/>
          <w:szCs w:val="21"/>
          <w:color w:val="auto"/>
        </w:rPr>
        <w:t>”) that is directly or indirectly owned beneficially by the Holder or any Stockholder Associated Person of the Record Holder and any other direct or indirect opportunity to profit or share in any profit derived from any increase or decrease in the price, value or volatility of shares of the Corporation;</w:t>
      </w: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jc w:val="both"/>
        <w:ind w:left="660" w:firstLine="1924"/>
        <w:spacing w:after="0" w:line="258" w:lineRule="auto"/>
        <w:tabs>
          <w:tab w:leader="none" w:pos="3226"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proxy, contract, arrangement, understanding or relationship pursuant to which the Holder or Stockholder Associated Person of the Record Holder has a right to vote or has granted a right to vote any shares of any security of the Corporation;</w:t>
      </w:r>
    </w:p>
    <w:p>
      <w:pPr>
        <w:spacing w:after="0" w:line="174" w:lineRule="exact"/>
        <w:rPr>
          <w:rFonts w:ascii="Times New Roman" w:cs="Times New Roman" w:eastAsia="Times New Roman" w:hAnsi="Times New Roman"/>
          <w:sz w:val="21"/>
          <w:szCs w:val="21"/>
          <w:color w:val="auto"/>
        </w:rPr>
      </w:pPr>
    </w:p>
    <w:p>
      <w:pPr>
        <w:jc w:val="both"/>
        <w:ind w:left="660" w:firstLine="1924"/>
        <w:spacing w:after="0" w:line="265" w:lineRule="auto"/>
        <w:tabs>
          <w:tab w:leader="none" w:pos="3229"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short interest in any security of the Corporation (for purposes of these Bylaws a person shall be deemed to have a short interest in a security if the Holder or any Stockholder Associated Person of the Record Holder directly or indirectly, through any contract, arrangement, understanding, relationship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21"/>
          <w:szCs w:val="21"/>
          <w:color w:val="auto"/>
        </w:rPr>
        <w:t>has the opportunity to profit or share in any profit derived from any decrease in the value of the subject security);</w:t>
      </w:r>
    </w:p>
    <w:p>
      <w:pPr>
        <w:spacing w:after="0" w:line="215" w:lineRule="exact"/>
        <w:rPr>
          <w:sz w:val="20"/>
          <w:szCs w:val="20"/>
          <w:color w:val="auto"/>
        </w:rPr>
      </w:pPr>
    </w:p>
    <w:p>
      <w:pPr>
        <w:jc w:val="both"/>
        <w:ind w:left="660" w:firstLine="1924"/>
        <w:spacing w:after="0" w:line="265" w:lineRule="auto"/>
        <w:tabs>
          <w:tab w:leader="none" w:pos="323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rights to dividends on the shares of any security of the Corporation owned beneficially by the Holder or any Stockholder Associated Person of the Record Holder that are separated or separable from the underlying shares of the Corporation;</w:t>
      </w:r>
    </w:p>
    <w:p>
      <w:pPr>
        <w:spacing w:after="0" w:line="166" w:lineRule="exact"/>
        <w:rPr>
          <w:rFonts w:ascii="Times New Roman" w:cs="Times New Roman" w:eastAsia="Times New Roman" w:hAnsi="Times New Roman"/>
          <w:sz w:val="21"/>
          <w:szCs w:val="21"/>
          <w:color w:val="auto"/>
        </w:rPr>
      </w:pPr>
    </w:p>
    <w:p>
      <w:pPr>
        <w:jc w:val="both"/>
        <w:ind w:left="660" w:firstLine="1924"/>
        <w:spacing w:after="0" w:line="252" w:lineRule="auto"/>
        <w:tabs>
          <w:tab w:leader="none" w:pos="322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proportionate interest in shares of the Corporation or Derivative Instruments held, directly or indirectly, by a general or limited partnership or limited liability company or similar entity in which the Holder or any Stockholder Associated Person of the Record Holder is a general partner or, directly or indirectly, beneficially owns an interest in a general partner, is the manager, managing member or directly or indirectly beneficially owns an interest in the manager or managing member of a limited liability company or similar entity;</w:t>
      </w:r>
    </w:p>
    <w:p>
      <w:pPr>
        <w:spacing w:after="0" w:line="181" w:lineRule="exact"/>
        <w:rPr>
          <w:rFonts w:ascii="Times New Roman" w:cs="Times New Roman" w:eastAsia="Times New Roman" w:hAnsi="Times New Roman"/>
          <w:sz w:val="21"/>
          <w:szCs w:val="21"/>
          <w:color w:val="auto"/>
        </w:rPr>
      </w:pPr>
    </w:p>
    <w:p>
      <w:pPr>
        <w:jc w:val="both"/>
        <w:ind w:left="660" w:firstLine="1924"/>
        <w:spacing w:after="0" w:line="258" w:lineRule="auto"/>
        <w:tabs>
          <w:tab w:leader="none" w:pos="322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performance-related fees (other than an asset-based fee) that the Holder or any Stockholder Associated Person of the Record Holder is entitled to based on any increase or decrease in the value of shares of the Corporation or Derivative Instruments or short interests, if any;</w:t>
      </w:r>
    </w:p>
    <w:p>
      <w:pPr>
        <w:spacing w:after="0" w:line="174" w:lineRule="exact"/>
        <w:rPr>
          <w:rFonts w:ascii="Times New Roman" w:cs="Times New Roman" w:eastAsia="Times New Roman" w:hAnsi="Times New Roman"/>
          <w:sz w:val="21"/>
          <w:szCs w:val="21"/>
          <w:color w:val="auto"/>
        </w:rPr>
      </w:pPr>
    </w:p>
    <w:p>
      <w:pPr>
        <w:ind w:left="660" w:firstLine="1924"/>
        <w:spacing w:after="0" w:line="277" w:lineRule="auto"/>
        <w:tabs>
          <w:tab w:leader="none" w:pos="323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arrangements, rights, or other interests described in Sections 1.12(b)(i)(C)-(H) held by members of such Holder’s immediate family sharing the same household;</w:t>
      </w:r>
    </w:p>
    <w:p>
      <w:pPr>
        <w:spacing w:after="0" w:line="140" w:lineRule="exact"/>
        <w:rPr>
          <w:rFonts w:ascii="Times New Roman" w:cs="Times New Roman" w:eastAsia="Times New Roman" w:hAnsi="Times New Roman"/>
          <w:sz w:val="21"/>
          <w:szCs w:val="21"/>
          <w:color w:val="auto"/>
        </w:rPr>
      </w:pPr>
    </w:p>
    <w:p>
      <w:pPr>
        <w:jc w:val="both"/>
        <w:ind w:left="660" w:firstLine="1924"/>
        <w:spacing w:after="0" w:line="256" w:lineRule="auto"/>
        <w:tabs>
          <w:tab w:leader="none" w:pos="323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that the Record Holder intends to appear in person or by proxy at the meeting to nominate the person(s) named or propose the business specified in the notice and whether or not such stockholder intends to deliver a proxy statement and/or form of proxy to holders of at least the percentage of the Corporation’s outstanding shares required to approve the nomination(s) or the business proposed and/or otherwise to solicit proxies from stockholders in support of the nomination(s) or the business proposed;</w:t>
      </w:r>
    </w:p>
    <w:p>
      <w:pPr>
        <w:spacing w:after="0" w:line="161" w:lineRule="exact"/>
        <w:rPr>
          <w:rFonts w:ascii="Times New Roman" w:cs="Times New Roman" w:eastAsia="Times New Roman" w:hAnsi="Times New Roman"/>
          <w:sz w:val="21"/>
          <w:szCs w:val="21"/>
          <w:color w:val="auto"/>
        </w:rPr>
      </w:pPr>
    </w:p>
    <w:p>
      <w:pPr>
        <w:jc w:val="both"/>
        <w:ind w:left="660" w:firstLine="1924"/>
        <w:spacing w:after="0" w:line="261" w:lineRule="auto"/>
        <w:tabs>
          <w:tab w:leader="none" w:pos="322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certification regarding whether or not such Holder and any Stockholder Associated Person of the Record Holder have complied with all applicable federal, state and other legal requirements in connection with such Holder’s and/or Stockholder Associated Persons’ acquisition of shares or other securities of the Corporation and/or such Holder’s and/or Stockholder Associated Persons’ acts or omissions as a stockholder of the Corporation;</w:t>
      </w:r>
    </w:p>
    <w:p>
      <w:pPr>
        <w:spacing w:after="0" w:line="157" w:lineRule="exact"/>
        <w:rPr>
          <w:rFonts w:ascii="Times New Roman" w:cs="Times New Roman" w:eastAsia="Times New Roman" w:hAnsi="Times New Roman"/>
          <w:sz w:val="21"/>
          <w:szCs w:val="21"/>
          <w:color w:val="auto"/>
        </w:rPr>
      </w:pPr>
    </w:p>
    <w:p>
      <w:pPr>
        <w:jc w:val="both"/>
        <w:ind w:left="660" w:firstLine="1924"/>
        <w:spacing w:after="0" w:line="257" w:lineRule="auto"/>
        <w:tabs>
          <w:tab w:leader="none" w:pos="322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information relating to the Holder and/or Stockholder Associated Person of the Record Holder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thereunder;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6" w:name="page67"/>
    <w:bookmarkEnd w:id="66"/>
    <w:p>
      <w:pPr>
        <w:ind w:left="3220" w:hanging="636"/>
        <w:spacing w:after="0"/>
        <w:tabs>
          <w:tab w:leader="none" w:pos="322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information as reasonably requested by the Corporation.</w:t>
      </w:r>
    </w:p>
    <w:p>
      <w:pPr>
        <w:spacing w:after="0" w:line="21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1"/>
          <w:szCs w:val="21"/>
          <w:color w:val="auto"/>
        </w:rPr>
        <w:t>Such information shall be provided as of the date of the notice and shall be supplemented by the Holder not later than ten (10) days after the record date for the meeting to disclose such ownership as of the record date.</w:t>
      </w:r>
    </w:p>
    <w:p>
      <w:pPr>
        <w:spacing w:after="0" w:line="126" w:lineRule="exact"/>
        <w:rPr>
          <w:sz w:val="20"/>
          <w:szCs w:val="20"/>
          <w:color w:val="auto"/>
        </w:rPr>
      </w:pPr>
    </w:p>
    <w:p>
      <w:pPr>
        <w:ind w:left="660" w:firstLine="1280"/>
        <w:spacing w:after="0" w:line="291" w:lineRule="auto"/>
        <w:tabs>
          <w:tab w:leader="none" w:pos="258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notice relates to any business other than a nomination of a director or directors that the stockholder proposes to bring before the meeting, the notice must set forth:</w:t>
      </w:r>
    </w:p>
    <w:p>
      <w:pPr>
        <w:spacing w:after="0" w:line="125" w:lineRule="exact"/>
        <w:rPr>
          <w:rFonts w:ascii="Times New Roman" w:cs="Times New Roman" w:eastAsia="Times New Roman" w:hAnsi="Times New Roman"/>
          <w:sz w:val="21"/>
          <w:szCs w:val="21"/>
          <w:color w:val="auto"/>
        </w:rPr>
      </w:pPr>
    </w:p>
    <w:p>
      <w:pPr>
        <w:jc w:val="both"/>
        <w:ind w:left="660" w:firstLine="1924"/>
        <w:spacing w:after="0" w:line="265" w:lineRule="auto"/>
        <w:tabs>
          <w:tab w:leader="none" w:pos="3226"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reasonably detailed description of the business desired to be brought before the meeting (including the text of any resolutions proposed for consideration), the reasons for conducting such business at the meeting, and any material direct or indirect interest of the Holder or any Stockholder Associated Persons in such business; and</w:t>
      </w:r>
    </w:p>
    <w:p>
      <w:pPr>
        <w:spacing w:after="0" w:line="152" w:lineRule="exact"/>
        <w:rPr>
          <w:rFonts w:ascii="Times New Roman" w:cs="Times New Roman" w:eastAsia="Times New Roman" w:hAnsi="Times New Roman"/>
          <w:sz w:val="21"/>
          <w:szCs w:val="21"/>
          <w:color w:val="auto"/>
        </w:rPr>
      </w:pPr>
    </w:p>
    <w:p>
      <w:pPr>
        <w:jc w:val="both"/>
        <w:ind w:left="660" w:firstLine="1924"/>
        <w:spacing w:after="0" w:line="265" w:lineRule="auto"/>
        <w:tabs>
          <w:tab w:leader="none" w:pos="322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reasonably detailed description of all agreements, arrangements and understandings, direct and indirect, between the Holder, and any other person or persons (including their names) in connection with the proposal of such business by the Holder.</w:t>
      </w:r>
    </w:p>
    <w:p>
      <w:pPr>
        <w:spacing w:after="0" w:line="152" w:lineRule="exact"/>
        <w:rPr>
          <w:rFonts w:ascii="Times New Roman" w:cs="Times New Roman" w:eastAsia="Times New Roman" w:hAnsi="Times New Roman"/>
          <w:sz w:val="21"/>
          <w:szCs w:val="21"/>
          <w:color w:val="auto"/>
        </w:rPr>
      </w:pPr>
    </w:p>
    <w:p>
      <w:pPr>
        <w:ind w:left="660" w:firstLine="1280"/>
        <w:spacing w:after="0" w:line="291" w:lineRule="auto"/>
        <w:tabs>
          <w:tab w:leader="none" w:pos="259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 forth, as to each person, if any, whom the Holder proposes to nominate for election or reelection to the Board of Directors:</w:t>
      </w:r>
    </w:p>
    <w:p>
      <w:pPr>
        <w:spacing w:after="0" w:line="125" w:lineRule="exact"/>
        <w:rPr>
          <w:rFonts w:ascii="Times New Roman" w:cs="Times New Roman" w:eastAsia="Times New Roman" w:hAnsi="Times New Roman"/>
          <w:sz w:val="21"/>
          <w:szCs w:val="21"/>
          <w:color w:val="auto"/>
        </w:rPr>
      </w:pPr>
    </w:p>
    <w:p>
      <w:pPr>
        <w:ind w:left="660" w:firstLine="1924"/>
        <w:spacing w:after="0" w:line="277" w:lineRule="auto"/>
        <w:tabs>
          <w:tab w:leader="none" w:pos="3226"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with respect to such proposed nominee that would be required to be set forth in a Record Holder’s notice pursuant to this Section 1.12 if such proposed nominee were a Record Holder;</w:t>
      </w:r>
    </w:p>
    <w:p>
      <w:pPr>
        <w:spacing w:after="0" w:line="153" w:lineRule="exact"/>
        <w:rPr>
          <w:rFonts w:ascii="Times New Roman" w:cs="Times New Roman" w:eastAsia="Times New Roman" w:hAnsi="Times New Roman"/>
          <w:sz w:val="21"/>
          <w:szCs w:val="21"/>
          <w:color w:val="auto"/>
        </w:rPr>
      </w:pPr>
    </w:p>
    <w:p>
      <w:pPr>
        <w:jc w:val="both"/>
        <w:ind w:left="660" w:firstLine="1924"/>
        <w:spacing w:after="0" w:line="250" w:lineRule="auto"/>
        <w:tabs>
          <w:tab w:leader="none" w:pos="322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relating to the nominee (including, without limitation, the nominee’s name, age, business and residence address and principal occupation or employment and the class or series and number of shares of capital stock of the Corporation that are owned beneficially or of record by the nominee) that would be required to be disclosed in a proxy statement or other filings required to be made in connection with solicitations of proxies for election of directors in a contested election pursuant to Section 14 of the Exchange Act and the rules and regulations thereunder (including such person’s written consent to being named in the proxy statement as a nominee and to serving as a director if elected);</w:t>
      </w:r>
    </w:p>
    <w:p>
      <w:pPr>
        <w:spacing w:after="0" w:line="185" w:lineRule="exact"/>
        <w:rPr>
          <w:rFonts w:ascii="Times New Roman" w:cs="Times New Roman" w:eastAsia="Times New Roman" w:hAnsi="Times New Roman"/>
          <w:sz w:val="21"/>
          <w:szCs w:val="21"/>
          <w:color w:val="auto"/>
        </w:rPr>
      </w:pPr>
    </w:p>
    <w:p>
      <w:pPr>
        <w:jc w:val="both"/>
        <w:ind w:left="660" w:firstLine="1924"/>
        <w:spacing w:after="0" w:line="258" w:lineRule="auto"/>
        <w:tabs>
          <w:tab w:leader="none" w:pos="322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agreements, arrangements and understandings between or among such stockholder or any Stockholder Associated Person, on the one hand, and any other persons (including any Stockholder Associated Person), on the other hand, in connection with the nomination of such person for election as a director; and</w:t>
      </w:r>
    </w:p>
    <w:p>
      <w:pPr>
        <w:spacing w:after="0" w:line="174" w:lineRule="exact"/>
        <w:rPr>
          <w:rFonts w:ascii="Times New Roman" w:cs="Times New Roman" w:eastAsia="Times New Roman" w:hAnsi="Times New Roman"/>
          <w:sz w:val="21"/>
          <w:szCs w:val="21"/>
          <w:color w:val="auto"/>
        </w:rPr>
      </w:pPr>
    </w:p>
    <w:p>
      <w:pPr>
        <w:jc w:val="both"/>
        <w:ind w:left="660" w:firstLine="1924"/>
        <w:spacing w:after="0" w:line="265" w:lineRule="auto"/>
        <w:tabs>
          <w:tab w:leader="none" w:pos="3226"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all direct and indirect compensation and other material monetary agreements, arrangements, and understandings during the past three years, and any other material relationships, between or among the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8</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67" w:name="page68"/>
    <w:bookmarkEnd w:id="67"/>
    <w:p>
      <w:pPr>
        <w:jc w:val="both"/>
        <w:ind w:left="660"/>
        <w:spacing w:after="0" w:line="256" w:lineRule="auto"/>
        <w:rPr>
          <w:sz w:val="20"/>
          <w:szCs w:val="20"/>
          <w:color w:val="auto"/>
        </w:rPr>
      </w:pPr>
      <w:r>
        <w:rPr>
          <w:rFonts w:ascii="Times New Roman" w:cs="Times New Roman" w:eastAsia="Times New Roman" w:hAnsi="Times New Roman"/>
          <w:sz w:val="21"/>
          <w:szCs w:val="21"/>
          <w:color w:val="auto"/>
        </w:rPr>
        <w:t>respective affiliates and associates,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Holder making the nomination or on whose behalf the nomination is made, if any, or any affiliate or associate thereof or person acting in concert therewith, were the “registrant” for purposes of Item 404 and the nominee were a director or executive officer of such registrant.</w:t>
      </w:r>
    </w:p>
    <w:p>
      <w:pPr>
        <w:spacing w:after="0" w:line="162" w:lineRule="exact"/>
        <w:rPr>
          <w:sz w:val="20"/>
          <w:szCs w:val="20"/>
          <w:color w:val="auto"/>
        </w:rPr>
      </w:pPr>
    </w:p>
    <w:p>
      <w:pPr>
        <w:jc w:val="both"/>
        <w:ind w:left="660" w:firstLine="1280"/>
        <w:spacing w:after="0" w:line="249" w:lineRule="auto"/>
        <w:tabs>
          <w:tab w:leader="none" w:pos="258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nominee for election or reelection to the Board of Directors, the Record Holder shall include a completed and signed questionnaire, representation, and agreement required by Section 1.13 of these Bylaws. The Corporation may require any proposed nominee to furnish such other information as may reasonably be required by the Corporation to determine the eligibility of the proposed nominee to serve as an independent director of the Corporation or that could be material to a reasonable stockholder’s understanding of the independence, or lack thereof, of the nominee. The number of nominees a Record Holder may nominate for election at an annual or special meeting (or in the case of Record Holder giving the notice on behalf of a beneficial owner, the number of nominees a Record Holder may nominate for election at the annual or special meeting on behalf of such beneficial owner) shall not exceed the number of directors to be elected at such annual or special meeting.</w:t>
      </w:r>
    </w:p>
    <w:p>
      <w:pPr>
        <w:spacing w:after="0" w:line="174"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these Bylaws:</w:t>
      </w:r>
    </w:p>
    <w:p>
      <w:pPr>
        <w:spacing w:after="0" w:line="228" w:lineRule="exact"/>
        <w:rPr>
          <w:rFonts w:ascii="Times New Roman" w:cs="Times New Roman" w:eastAsia="Times New Roman" w:hAnsi="Times New Roman"/>
          <w:sz w:val="21"/>
          <w:szCs w:val="21"/>
          <w:color w:val="auto"/>
        </w:rPr>
      </w:pPr>
    </w:p>
    <w:p>
      <w:pPr>
        <w:jc w:val="both"/>
        <w:ind w:left="660" w:firstLine="1280"/>
        <w:spacing w:after="0" w:line="265" w:lineRule="auto"/>
        <w:tabs>
          <w:tab w:leader="none" w:pos="258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 announcement</w:t>
      </w:r>
      <w:r>
        <w:rPr>
          <w:rFonts w:ascii="Times New Roman" w:cs="Times New Roman" w:eastAsia="Times New Roman" w:hAnsi="Times New Roman"/>
          <w:sz w:val="21"/>
          <w:szCs w:val="21"/>
          <w:color w:val="auto"/>
        </w:rPr>
        <w:t>” shall mean disclosure in a press release reported by a national news service or in a document publicly filed by the Corporation with the Securities and Exchange Commission pursuant to Section 13, 14, or 15(d) of the Exchange Act and the rules and regulations thereunder;</w:t>
      </w:r>
    </w:p>
    <w:p>
      <w:pPr>
        <w:spacing w:after="0" w:line="152" w:lineRule="exact"/>
        <w:rPr>
          <w:rFonts w:ascii="Times New Roman" w:cs="Times New Roman" w:eastAsia="Times New Roman" w:hAnsi="Times New Roman"/>
          <w:sz w:val="21"/>
          <w:szCs w:val="21"/>
          <w:color w:val="auto"/>
        </w:rPr>
      </w:pPr>
    </w:p>
    <w:p>
      <w:pPr>
        <w:jc w:val="both"/>
        <w:ind w:left="660" w:firstLine="1280"/>
        <w:spacing w:after="0" w:line="257" w:lineRule="auto"/>
        <w:tabs>
          <w:tab w:leader="none" w:pos="2586"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Stockholder Associated Person</w:t>
      </w:r>
      <w:r>
        <w:rPr>
          <w:rFonts w:ascii="Times New Roman" w:cs="Times New Roman" w:eastAsia="Times New Roman" w:hAnsi="Times New Roman"/>
          <w:sz w:val="21"/>
          <w:szCs w:val="21"/>
          <w:color w:val="auto"/>
        </w:rPr>
        <w:t>” means, with respect to any stockholder, (A) any beneficial owner of shares of stock of the Corporation owned of record or beneficially by such stockholder (other than a stockholder that is a depositary) and (B) any person controlling, controlled by or under common control with any stockholder, or any Stockholder Associated Person identified in clause (A) above; and</w:t>
      </w:r>
    </w:p>
    <w:p>
      <w:pPr>
        <w:spacing w:after="0" w:line="173" w:lineRule="exact"/>
        <w:rPr>
          <w:rFonts w:ascii="Times New Roman" w:cs="Times New Roman" w:eastAsia="Times New Roman" w:hAnsi="Times New Roman"/>
          <w:sz w:val="21"/>
          <w:szCs w:val="21"/>
          <w:color w:val="auto"/>
        </w:rPr>
      </w:pPr>
    </w:p>
    <w:p>
      <w:pPr>
        <w:jc w:val="both"/>
        <w:ind w:left="660" w:firstLine="1280"/>
        <w:spacing w:after="0" w:line="249" w:lineRule="auto"/>
        <w:tabs>
          <w:tab w:leader="none" w:pos="259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Associate</w:t>
      </w:r>
      <w:r>
        <w:rPr>
          <w:rFonts w:ascii="Times New Roman" w:cs="Times New Roman" w:eastAsia="Times New Roman" w:hAnsi="Times New Roman"/>
          <w:sz w:val="21"/>
          <w:szCs w:val="21"/>
          <w:color w:val="auto"/>
        </w:rPr>
        <w:t>” are defined by reference to Rule 12b-2 under the Exchange Act. An “affiliate” is any “person that directly, or indirectly through one or more intermediaries, controls, or is controlled by, or is under common control with, the person specified.”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is defined as the “possession, direct or indirect, of the power to direct or cause the direction of the management policies of a person, whether through the ownership of voting securities, by contract, or otherwise.” The term “</w:t>
      </w:r>
      <w:r>
        <w:rPr>
          <w:rFonts w:ascii="Times New Roman" w:cs="Times New Roman" w:eastAsia="Times New Roman" w:hAnsi="Times New Roman"/>
          <w:sz w:val="21"/>
          <w:szCs w:val="21"/>
          <w:u w:val="single" w:color="auto"/>
          <w:color w:val="auto"/>
        </w:rPr>
        <w:t>associate</w:t>
      </w:r>
      <w:r>
        <w:rPr>
          <w:rFonts w:ascii="Times New Roman" w:cs="Times New Roman" w:eastAsia="Times New Roman" w:hAnsi="Times New Roman"/>
          <w:sz w:val="21"/>
          <w:szCs w:val="21"/>
          <w:color w:val="auto"/>
        </w:rPr>
        <w:t>” of a person means: (i) any corporation or organization (other than the registrant or a majority-owned subsidiary of the registrant) of which such person is an officer or partner or is, directly or indirectly, the beneficial owner of ten (10) percent or more of any class of equity securities, (ii) any trust or other estate in which such person has a substantial beneficial interest or as to which such person serves as trustee or in a similar fiduciary capacity, and (iii) any relative or spouse of such person, or any relative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9</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1" w:right="339" w:bottom="1440" w:gutter="0" w:footer="0" w:header="0"/>
        </w:sectPr>
      </w:pPr>
    </w:p>
    <w:bookmarkStart w:id="68" w:name="page69"/>
    <w:bookmarkEnd w:id="68"/>
    <w:p>
      <w:pPr>
        <w:ind w:left="660"/>
        <w:spacing w:after="0" w:line="277" w:lineRule="auto"/>
        <w:rPr>
          <w:sz w:val="20"/>
          <w:szCs w:val="20"/>
          <w:color w:val="auto"/>
        </w:rPr>
      </w:pPr>
      <w:r>
        <w:rPr>
          <w:rFonts w:ascii="Times New Roman" w:cs="Times New Roman" w:eastAsia="Times New Roman" w:hAnsi="Times New Roman"/>
          <w:sz w:val="21"/>
          <w:szCs w:val="21"/>
          <w:color w:val="auto"/>
        </w:rPr>
        <w:t>of such spouse, who has the same home as such person or who is a director or officer of the registrant or any of its parents or subsidiaries.</w:t>
      </w:r>
    </w:p>
    <w:p>
      <w:pPr>
        <w:spacing w:after="0" w:line="154" w:lineRule="exact"/>
        <w:rPr>
          <w:sz w:val="20"/>
          <w:szCs w:val="20"/>
          <w:color w:val="auto"/>
        </w:rPr>
      </w:pPr>
    </w:p>
    <w:p>
      <w:pPr>
        <w:jc w:val="both"/>
        <w:ind w:firstLine="1296"/>
        <w:spacing w:after="0" w:line="248" w:lineRule="auto"/>
        <w:tabs>
          <w:tab w:leader="none" w:pos="192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those persons who are nominated in accordance with the procedures set forth in these Bylaws shall be eligible to serve as directors. Only such business shall be conducted at a meeting of stockholders as shall have been brought before the meeting in accordance with the procedures set forth in these Bylaws, provided, however, that, once business has been properly brought before the meeting in accordance with Section 1.12, nothing in this Section 1.12(d) shall be deemed to preclude discussion by any stockholder of such business. If any information submitted pursuant to this Section 1.12 by any stockholder proposing a nominee(s) for election as a director at a meeting of stockholders is inaccurate in any material respect, such information shall be deemed not to have been provided in accordance with Section 1.12. Except as otherwise provided by law, the Certificate of Incorporation, or these Bylaws, the Chairperson of the meeting shall have the power and duty to determine whether a nomination or any business proposed to be brought before the meeting was made or proposed, as the case may be, in compliance with the procedures set forth in these Bylaws and, if he or she should determine that any proposed nomination or business is not in compliance with these Bylaws, he or she shall so declare to the meeting and any such nomination or business not properly brought before the meeting shall be disregarded or not be transacted.</w:t>
      </w:r>
    </w:p>
    <w:p>
      <w:pPr>
        <w:spacing w:after="0" w:line="172" w:lineRule="exact"/>
        <w:rPr>
          <w:rFonts w:ascii="Times New Roman" w:cs="Times New Roman" w:eastAsia="Times New Roman" w:hAnsi="Times New Roman"/>
          <w:sz w:val="21"/>
          <w:szCs w:val="21"/>
          <w:color w:val="auto"/>
        </w:rPr>
      </w:pPr>
    </w:p>
    <w:p>
      <w:pPr>
        <w:jc w:val="both"/>
        <w:ind w:firstLine="1296"/>
        <w:spacing w:after="0" w:line="256" w:lineRule="auto"/>
        <w:tabs>
          <w:tab w:leader="none" w:pos="192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these Bylaws, a Record Holder also shall comply with all applicable requirements of the Exchange Act and the rules and regulations thereunder with respect to the matters set forth in these Bylaws; provided, however, that any references in these Bylaws to the Exchange Act or the rules thereunder are not intended to and shall not limit the requirements applicable to nominations or proposals as to any other business to be considered pursuant to Section 1.11 or Section 1.12 of these Bylaws.</w:t>
      </w:r>
    </w:p>
    <w:p>
      <w:pPr>
        <w:spacing w:after="0" w:line="161" w:lineRule="exact"/>
        <w:rPr>
          <w:rFonts w:ascii="Times New Roman" w:cs="Times New Roman" w:eastAsia="Times New Roman" w:hAnsi="Times New Roman"/>
          <w:sz w:val="21"/>
          <w:szCs w:val="21"/>
          <w:color w:val="auto"/>
        </w:rPr>
      </w:pPr>
    </w:p>
    <w:p>
      <w:pPr>
        <w:jc w:val="both"/>
        <w:ind w:firstLine="1296"/>
        <w:spacing w:after="0" w:line="252" w:lineRule="auto"/>
        <w:tabs>
          <w:tab w:leader="none" w:pos="193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these Bylaws shall be deemed to (i) affect any rights of (A) stockholders to request inclusion of proposals in the Corporation’s proxy statement pursuant to Rule 14a-8 under the Exchange Act or (B) the holders of any series of preferred stock, if any, if so provided under any applicable certificate of designation for such preferred stock or in the Certificate or Incorporation, or (ii) affect any rights of any holders of common stock pursuant to a stockholders’ agreement with the Corporation existing on the date on which these Bylaws were adopted or impose any requirements, restrictions or limitations under Sections 1.11, 1.12 or 1.13 of these Bylaws unless expressly imposed by any such stockholders’ agreement.</w:t>
      </w:r>
    </w:p>
    <w:p>
      <w:pPr>
        <w:spacing w:after="0" w:line="183" w:lineRule="exact"/>
        <w:rPr>
          <w:sz w:val="20"/>
          <w:szCs w:val="20"/>
          <w:color w:val="auto"/>
        </w:rPr>
      </w:pPr>
    </w:p>
    <w:p>
      <w:pPr>
        <w:jc w:val="both"/>
        <w:ind w:firstLine="1127"/>
        <w:spacing w:after="0" w:line="250" w:lineRule="auto"/>
        <w:rPr>
          <w:sz w:val="20"/>
          <w:szCs w:val="20"/>
          <w:color w:val="auto"/>
        </w:rPr>
      </w:pPr>
      <w:r>
        <w:rPr>
          <w:rFonts w:ascii="Times New Roman" w:cs="Times New Roman" w:eastAsia="Times New Roman" w:hAnsi="Times New Roman"/>
          <w:sz w:val="21"/>
          <w:szCs w:val="21"/>
          <w:color w:val="auto"/>
        </w:rPr>
        <w:t xml:space="preserve">Section I.13. </w:t>
      </w:r>
      <w:r>
        <w:rPr>
          <w:rFonts w:ascii="Times New Roman" w:cs="Times New Roman" w:eastAsia="Times New Roman" w:hAnsi="Times New Roman"/>
          <w:sz w:val="21"/>
          <w:szCs w:val="21"/>
          <w:u w:val="single" w:color="auto"/>
          <w:color w:val="auto"/>
        </w:rPr>
        <w:t>Submission of Questionnaire, Representation and Agreement</w:t>
      </w:r>
      <w:r>
        <w:rPr>
          <w:rFonts w:ascii="Times New Roman" w:cs="Times New Roman" w:eastAsia="Times New Roman" w:hAnsi="Times New Roman"/>
          <w:sz w:val="21"/>
          <w:szCs w:val="21"/>
          <w:color w:val="auto"/>
        </w:rPr>
        <w:t>. To be eligible to be a nominee for election or reelection as a director of the Corporation by a Holder, a person must complete and deliver (in accordance with the time periods prescribed for delivery of notice under Section 1.12 of these Bylaws) to the Secretary at the principal executive offices of the Corporation a written questionnaire providing the information requested about the background and qualifications of such person and the background of any other person or entity on whose behalf the nomination is being made and a written representation and agreement (the questionnaire, representation, and agreement to be in the form provided by the Secretary upon written request) that such person:</w:t>
      </w:r>
    </w:p>
    <w:p>
      <w:pPr>
        <w:spacing w:after="0" w:line="185" w:lineRule="exact"/>
        <w:rPr>
          <w:sz w:val="20"/>
          <w:szCs w:val="20"/>
          <w:color w:val="auto"/>
        </w:rPr>
      </w:pPr>
    </w:p>
    <w:p>
      <w:pPr>
        <w:ind w:left="1940" w:hanging="644"/>
        <w:spacing w:after="0"/>
        <w:tabs>
          <w:tab w:leader="none" w:pos="19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and will not become a party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10</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1" w:right="339" w:bottom="1440" w:gutter="0" w:footer="0" w:header="0"/>
        </w:sectPr>
      </w:pPr>
    </w:p>
    <w:bookmarkStart w:id="69" w:name="page70"/>
    <w:bookmarkEnd w:id="69"/>
    <w:p>
      <w:pPr>
        <w:jc w:val="both"/>
        <w:ind w:left="660" w:firstLine="1280"/>
        <w:spacing w:after="0" w:line="265" w:lineRule="auto"/>
        <w:tabs>
          <w:tab w:leader="none" w:pos="258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agreement, arrangement or understanding with, and has not given any commitment or assurance to, any person or entity as to how the person, if elected as a director of the Corporation, will act or vote on any issue or question (a “</w:t>
      </w:r>
      <w:r>
        <w:rPr>
          <w:rFonts w:ascii="Times New Roman" w:cs="Times New Roman" w:eastAsia="Times New Roman" w:hAnsi="Times New Roman"/>
          <w:sz w:val="21"/>
          <w:szCs w:val="21"/>
          <w:u w:val="single" w:color="auto"/>
          <w:color w:val="auto"/>
        </w:rPr>
        <w:t>Voting Commitment</w:t>
      </w:r>
      <w:r>
        <w:rPr>
          <w:rFonts w:ascii="Times New Roman" w:cs="Times New Roman" w:eastAsia="Times New Roman" w:hAnsi="Times New Roman"/>
          <w:sz w:val="21"/>
          <w:szCs w:val="21"/>
          <w:color w:val="auto"/>
        </w:rPr>
        <w:t>”) that has not been disclosed to the Corporation, or</w:t>
      </w:r>
    </w:p>
    <w:p>
      <w:pPr>
        <w:spacing w:after="0" w:line="152" w:lineRule="exact"/>
        <w:rPr>
          <w:rFonts w:ascii="Times New Roman" w:cs="Times New Roman" w:eastAsia="Times New Roman" w:hAnsi="Times New Roman"/>
          <w:sz w:val="21"/>
          <w:szCs w:val="21"/>
          <w:color w:val="auto"/>
        </w:rPr>
      </w:pPr>
    </w:p>
    <w:p>
      <w:pPr>
        <w:ind w:left="660" w:firstLine="1280"/>
        <w:spacing w:after="0" w:line="291" w:lineRule="auto"/>
        <w:tabs>
          <w:tab w:leader="none" w:pos="258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Voting Commitment that could limit or interfere with the person’s ability to comply, if elected as a director of the Corporation, with the person’s fiduciary duties under applicable law,</w:t>
      </w:r>
    </w:p>
    <w:p>
      <w:pPr>
        <w:spacing w:after="0" w:line="125" w:lineRule="exact"/>
        <w:rPr>
          <w:rFonts w:ascii="Times New Roman" w:cs="Times New Roman" w:eastAsia="Times New Roman" w:hAnsi="Times New Roman"/>
          <w:sz w:val="21"/>
          <w:szCs w:val="21"/>
          <w:color w:val="auto"/>
        </w:rPr>
      </w:pPr>
    </w:p>
    <w:p>
      <w:pPr>
        <w:jc w:val="both"/>
        <w:ind w:firstLine="1296"/>
        <w:spacing w:after="0" w:line="265" w:lineRule="auto"/>
        <w:tabs>
          <w:tab w:leader="none" w:pos="192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w:t>
      </w:r>
    </w:p>
    <w:p>
      <w:pPr>
        <w:spacing w:after="0" w:line="152" w:lineRule="exact"/>
        <w:rPr>
          <w:rFonts w:ascii="Times New Roman" w:cs="Times New Roman" w:eastAsia="Times New Roman" w:hAnsi="Times New Roman"/>
          <w:sz w:val="21"/>
          <w:szCs w:val="21"/>
          <w:color w:val="auto"/>
        </w:rPr>
      </w:pPr>
    </w:p>
    <w:p>
      <w:pPr>
        <w:jc w:val="both"/>
        <w:ind w:firstLine="1296"/>
        <w:spacing w:after="0" w:line="257" w:lineRule="auto"/>
        <w:tabs>
          <w:tab w:leader="none" w:pos="192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74" w:lineRule="exact"/>
        <w:rPr>
          <w:sz w:val="20"/>
          <w:szCs w:val="20"/>
          <w:color w:val="auto"/>
        </w:rPr>
      </w:pPr>
    </w:p>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I.14. </w:t>
      </w:r>
      <w:r>
        <w:rPr>
          <w:rFonts w:ascii="Times New Roman" w:cs="Times New Roman" w:eastAsia="Times New Roman" w:hAnsi="Times New Roman"/>
          <w:sz w:val="21"/>
          <w:szCs w:val="21"/>
          <w:u w:val="single" w:color="auto"/>
          <w:color w:val="auto"/>
        </w:rPr>
        <w:t>Inspectors of Elections</w:t>
      </w:r>
      <w:r>
        <w:rPr>
          <w:rFonts w:ascii="Times New Roman" w:cs="Times New Roman" w:eastAsia="Times New Roman" w:hAnsi="Times New Roman"/>
          <w:sz w:val="21"/>
          <w:szCs w:val="21"/>
          <w:color w:val="auto"/>
        </w:rPr>
        <w:t>. Preceding any meeting of the stockholders, if required by law, the Board of Directors shall appoint one (1) or more persons to act as “inspectors” of elections, and may designate one (1) or more alternate inspectors. In the event no inspector or alternate is able to act, the Chairperson of such meeting shall appoint one (1) or more inspectors to act at the meeting. Each inspector, before entering upon the discharge of the duties of an inspector, shall take and sign an oath faithfully to execute the duties of inspector with strict impartiality and according to the best of his or her ability. The inspector shall:</w:t>
      </w:r>
    </w:p>
    <w:p>
      <w:pPr>
        <w:spacing w:after="0" w:line="170" w:lineRule="exact"/>
        <w:rPr>
          <w:sz w:val="20"/>
          <w:szCs w:val="20"/>
          <w:color w:val="auto"/>
        </w:rPr>
      </w:pPr>
    </w:p>
    <w:p>
      <w:pPr>
        <w:ind w:left="1940" w:hanging="644"/>
        <w:spacing w:after="0"/>
        <w:tabs>
          <w:tab w:leader="none" w:pos="19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ascertain the number of shares outstanding and the voting power of each;</w:t>
      </w:r>
    </w:p>
    <w:p>
      <w:pPr>
        <w:spacing w:after="0" w:line="214" w:lineRule="exact"/>
        <w:rPr>
          <w:rFonts w:ascii="Times New Roman" w:cs="Times New Roman" w:eastAsia="Times New Roman" w:hAnsi="Times New Roman"/>
          <w:sz w:val="21"/>
          <w:szCs w:val="21"/>
          <w:color w:val="auto"/>
        </w:rPr>
      </w:pPr>
    </w:p>
    <w:p>
      <w:pPr>
        <w:ind w:firstLine="1296"/>
        <w:spacing w:after="0" w:line="291" w:lineRule="auto"/>
        <w:tabs>
          <w:tab w:leader="none" w:pos="192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shares represented at a meeting, the authenticity, validity, and effect of proxies and ballots, and the existence of a quorum;</w:t>
      </w:r>
    </w:p>
    <w:p>
      <w:pPr>
        <w:spacing w:after="0" w:line="125" w:lineRule="exact"/>
        <w:rPr>
          <w:rFonts w:ascii="Times New Roman" w:cs="Times New Roman" w:eastAsia="Times New Roman" w:hAnsi="Times New Roman"/>
          <w:sz w:val="21"/>
          <w:szCs w:val="21"/>
          <w:color w:val="auto"/>
        </w:rPr>
      </w:pPr>
    </w:p>
    <w:p>
      <w:pPr>
        <w:ind w:firstLine="1296"/>
        <w:spacing w:after="0" w:line="291" w:lineRule="auto"/>
        <w:tabs>
          <w:tab w:leader="none" w:pos="192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specify the information relied upon to determine the validity of electronic transmissions in accordance with Section 1.09 of these Bylaws;</w:t>
      </w:r>
    </w:p>
    <w:p>
      <w:pPr>
        <w:spacing w:after="0" w:line="125"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count all votes and ballots;</w:t>
      </w:r>
    </w:p>
    <w:p>
      <w:pPr>
        <w:spacing w:after="0" w:line="214" w:lineRule="exact"/>
        <w:rPr>
          <w:rFonts w:ascii="Times New Roman" w:cs="Times New Roman" w:eastAsia="Times New Roman" w:hAnsi="Times New Roman"/>
          <w:sz w:val="21"/>
          <w:szCs w:val="21"/>
          <w:color w:val="auto"/>
        </w:rPr>
      </w:pPr>
    </w:p>
    <w:p>
      <w:pPr>
        <w:ind w:firstLine="1296"/>
        <w:spacing w:after="0" w:line="291" w:lineRule="auto"/>
        <w:tabs>
          <w:tab w:leader="none" w:pos="192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and retain for a reasonable period a record of the disposition of any challenges made to any determination by the inspectors;</w:t>
      </w:r>
    </w:p>
    <w:p>
      <w:pPr>
        <w:spacing w:after="0" w:line="125"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certify his or her determination of the number of shares represented at the meeting, and his or her count of</w:t>
      </w:r>
    </w:p>
    <w:p>
      <w:pPr>
        <w:spacing w:after="0" w:line="37"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votes and ballots;</w:t>
      </w:r>
    </w:p>
    <w:p>
      <w:pPr>
        <w:spacing w:after="0" w:line="190"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 or retain other persons or entities to assist in the performance of the duties of inspector;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11</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1" w:right="339" w:bottom="1440" w:gutter="0" w:footer="0" w:header="0"/>
        </w:sectPr>
      </w:pPr>
    </w:p>
    <w:bookmarkStart w:id="70" w:name="page71"/>
    <w:bookmarkEnd w:id="70"/>
    <w:p>
      <w:pPr>
        <w:jc w:val="both"/>
        <w:ind w:firstLine="1296"/>
        <w:spacing w:after="0" w:line="249" w:lineRule="auto"/>
        <w:tabs>
          <w:tab w:leader="none" w:pos="192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determining the shares represented and the validity of proxies and ballots, be limited to an examination of the proxies, any envelopes submitted with those proxies, any information provided in accordance with Section 1.09 of these Bylaws, ballots and the regular books and records of the Corporation. The inspector may consider other reliable information for the limited purpose of reconciling proxies and ballots submitted by or on behalf of banks, brokers or their nominees or a similar person which represent more votes than the holder of a proxy is authorized by the record owner to cast or more votes than the stockholder holds of record. If the inspector considers other reliable information as outlined in this section, the inspector, at the time of his or her certification pursuant to paragraph (f) of this section, shall specify the precise information considered, the person or persons from whom the information was obtained, when this information was obtained, the means by which the information was obtained, and the basis for the inspector’s belief that such information is accurate and reliable; and</w:t>
      </w:r>
    </w:p>
    <w:p>
      <w:pPr>
        <w:spacing w:after="0" w:line="187" w:lineRule="exact"/>
        <w:rPr>
          <w:rFonts w:ascii="Times New Roman" w:cs="Times New Roman" w:eastAsia="Times New Roman" w:hAnsi="Times New Roman"/>
          <w:sz w:val="21"/>
          <w:szCs w:val="21"/>
          <w:color w:val="auto"/>
        </w:rPr>
      </w:pPr>
    </w:p>
    <w:p>
      <w:pPr>
        <w:ind w:left="1920" w:hanging="624"/>
        <w:spacing w:after="0"/>
        <w:tabs>
          <w:tab w:leader="none" w:pos="19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any other acts that may be proper to conduct the election or vote with fairness to all stockholders.</w:t>
      </w:r>
    </w:p>
    <w:p>
      <w:pPr>
        <w:spacing w:after="0" w:line="215" w:lineRule="exact"/>
        <w:rPr>
          <w:sz w:val="20"/>
          <w:szCs w:val="20"/>
          <w:color w:val="auto"/>
        </w:rPr>
      </w:pPr>
    </w:p>
    <w:p>
      <w:pPr>
        <w:jc w:val="both"/>
        <w:ind w:firstLine="1127"/>
        <w:spacing w:after="0" w:line="253" w:lineRule="auto"/>
        <w:rPr>
          <w:sz w:val="20"/>
          <w:szCs w:val="20"/>
          <w:color w:val="auto"/>
        </w:rPr>
      </w:pPr>
      <w:r>
        <w:rPr>
          <w:rFonts w:ascii="Times New Roman" w:cs="Times New Roman" w:eastAsia="Times New Roman" w:hAnsi="Times New Roman"/>
          <w:sz w:val="21"/>
          <w:szCs w:val="21"/>
          <w:color w:val="auto"/>
        </w:rPr>
        <w:t xml:space="preserve">Section I.15. </w:t>
      </w:r>
      <w:r>
        <w:rPr>
          <w:rFonts w:ascii="Times New Roman" w:cs="Times New Roman" w:eastAsia="Times New Roman" w:hAnsi="Times New Roman"/>
          <w:sz w:val="21"/>
          <w:szCs w:val="21"/>
          <w:u w:val="single" w:color="auto"/>
          <w:color w:val="auto"/>
        </w:rPr>
        <w:t>Opening and Closing of Polls</w:t>
      </w:r>
      <w:r>
        <w:rPr>
          <w:rFonts w:ascii="Times New Roman" w:cs="Times New Roman" w:eastAsia="Times New Roman" w:hAnsi="Times New Roman"/>
          <w:sz w:val="21"/>
          <w:szCs w:val="21"/>
          <w:color w:val="auto"/>
        </w:rPr>
        <w:t>. The date and time for the opening and the closing of the polls for each matter to be voted upon at a stockholder meeting shall be fixed by the Chairperson of the meeting and announced at the meeting. The inspector shall be prohibited from accepting any ballots, proxies or votes or any revocations thereof or changes thereto after the closing of the polls, unless the Delaware Court of Chancery upon application by a stockholder shall determine otherwise.</w:t>
      </w:r>
    </w:p>
    <w:p>
      <w:pPr>
        <w:spacing w:after="0" w:line="200" w:lineRule="exact"/>
        <w:rPr>
          <w:sz w:val="20"/>
          <w:szCs w:val="20"/>
          <w:color w:val="auto"/>
        </w:rPr>
      </w:pPr>
    </w:p>
    <w:p>
      <w:pPr>
        <w:spacing w:after="0" w:line="231" w:lineRule="exact"/>
        <w:rPr>
          <w:sz w:val="20"/>
          <w:szCs w:val="20"/>
          <w:color w:val="auto"/>
        </w:rPr>
      </w:pPr>
    </w:p>
    <w:p>
      <w:pPr>
        <w:jc w:val="both"/>
        <w:ind w:firstLine="1127"/>
        <w:spacing w:after="0" w:line="247" w:lineRule="auto"/>
        <w:rPr>
          <w:sz w:val="20"/>
          <w:szCs w:val="20"/>
          <w:color w:val="auto"/>
        </w:rPr>
      </w:pPr>
      <w:r>
        <w:rPr>
          <w:rFonts w:ascii="Times New Roman" w:cs="Times New Roman" w:eastAsia="Times New Roman" w:hAnsi="Times New Roman"/>
          <w:sz w:val="21"/>
          <w:szCs w:val="21"/>
          <w:color w:val="auto"/>
        </w:rPr>
        <w:t xml:space="preserve">Section I.16. </w:t>
      </w:r>
      <w:r>
        <w:rPr>
          <w:rFonts w:ascii="Times New Roman" w:cs="Times New Roman" w:eastAsia="Times New Roman" w:hAnsi="Times New Roman"/>
          <w:sz w:val="21"/>
          <w:szCs w:val="21"/>
          <w:u w:val="single" w:color="auto"/>
          <w:color w:val="auto"/>
        </w:rPr>
        <w:t>List of Stockholders Entitled to Vote</w:t>
      </w:r>
      <w:r>
        <w:rPr>
          <w:rFonts w:ascii="Times New Roman" w:cs="Times New Roman" w:eastAsia="Times New Roman" w:hAnsi="Times New Roman"/>
          <w:sz w:val="21"/>
          <w:szCs w:val="21"/>
          <w:color w:val="auto"/>
        </w:rPr>
        <w:t>. The Corporation shall prepare, at least ten (10)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1.16 or to vote in person or by proxy at any meeting of the stockholders. The Corporation shall not be required to include electronic mail addresses or other electronic contact information on such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12</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1" w:name="page72"/>
    <w:bookmarkEnd w:id="71"/>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BOARD OF DIRECTORS</w:t>
      </w:r>
    </w:p>
    <w:p>
      <w:pPr>
        <w:spacing w:after="0" w:line="219" w:lineRule="exact"/>
        <w:rPr>
          <w:sz w:val="20"/>
          <w:szCs w:val="20"/>
          <w:color w:val="auto"/>
        </w:rPr>
      </w:pPr>
    </w:p>
    <w:p>
      <w:pPr>
        <w:jc w:val="both"/>
        <w:ind w:firstLine="1127"/>
        <w:spacing w:after="0" w:line="253" w:lineRule="auto"/>
        <w:rPr>
          <w:sz w:val="20"/>
          <w:szCs w:val="20"/>
          <w:color w:val="auto"/>
        </w:rPr>
      </w:pPr>
      <w:r>
        <w:rPr>
          <w:rFonts w:ascii="Times New Roman" w:cs="Times New Roman" w:eastAsia="Times New Roman" w:hAnsi="Times New Roman"/>
          <w:sz w:val="21"/>
          <w:szCs w:val="21"/>
          <w:color w:val="auto"/>
        </w:rPr>
        <w:t xml:space="preserve">Section II.01. </w:t>
      </w:r>
      <w:r>
        <w:rPr>
          <w:rFonts w:ascii="Times New Roman" w:cs="Times New Roman" w:eastAsia="Times New Roman" w:hAnsi="Times New Roman"/>
          <w:sz w:val="21"/>
          <w:szCs w:val="21"/>
          <w:u w:val="single" w:color="auto"/>
          <w:color w:val="auto"/>
        </w:rPr>
        <w:t>General Powers</w:t>
      </w:r>
      <w:r>
        <w:rPr>
          <w:rFonts w:ascii="Times New Roman" w:cs="Times New Roman" w:eastAsia="Times New Roman" w:hAnsi="Times New Roman"/>
          <w:sz w:val="21"/>
          <w:szCs w:val="21"/>
          <w:color w:val="auto"/>
        </w:rPr>
        <w:t>. Except as may otherwise be provided by the DGCL or the Certificate of Incorporation, the business and affairs of the Corporation shall be managed by or under the direction of the Board of Directors. In addition to the powers and authority expressly conferred upon it by applicable law, the Certificate of Incorporation (including any certificate of designations relating to any series of preferred stock) or these Bylaws, the Board of Directors is hereby empowered to exercise all such powers and do all such acts and things as may be exercised or done by the Corporation, except as otherwise specifically required by law or as otherwise provided in the Certificate of Incorporation (including any certificate of designations relating to any series of preferred stock).</w:t>
      </w:r>
    </w:p>
    <w:p>
      <w:pPr>
        <w:spacing w:after="0" w:line="164" w:lineRule="exact"/>
        <w:rPr>
          <w:sz w:val="20"/>
          <w:szCs w:val="20"/>
          <w:color w:val="auto"/>
        </w:rPr>
      </w:pPr>
    </w:p>
    <w:p>
      <w:pPr>
        <w:ind w:right="40"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II.02. </w:t>
      </w:r>
      <w:r>
        <w:rPr>
          <w:rFonts w:ascii="Times New Roman" w:cs="Times New Roman" w:eastAsia="Times New Roman" w:hAnsi="Times New Roman"/>
          <w:sz w:val="21"/>
          <w:szCs w:val="21"/>
          <w:u w:val="single" w:color="auto"/>
          <w:color w:val="auto"/>
        </w:rPr>
        <w:t>Number, Election and Qualification</w:t>
      </w:r>
      <w:r>
        <w:rPr>
          <w:rFonts w:ascii="Times New Roman" w:cs="Times New Roman" w:eastAsia="Times New Roman" w:hAnsi="Times New Roman"/>
          <w:sz w:val="21"/>
          <w:szCs w:val="21"/>
          <w:color w:val="auto"/>
        </w:rPr>
        <w:t>. Subject to the terms of any one or more series of preferred stock, the total number of directors constituting the Board of Directors shall be at least one, or such larger number as may be fixed from time to time exclusively by resolution adopted by the Board of Directors. No reduction of the authorized number of directors shall have the effect of removing any director before that director’s term of office expires. At any meeting of stockholders at which directors are to be elected, directors shall be elected by the plurality of the votes cast by the holders of shares present in person or represented by proxy at the meeting and entitled to vote thereon. Directors need not be stockholders of the Corporation. To the extent set forth in the Certificate of Incorporation, the directors of the Corporation shall be divided into classes with terms set forth therein.</w:t>
      </w:r>
    </w:p>
    <w:p>
      <w:pPr>
        <w:spacing w:after="0" w:line="200" w:lineRule="exact"/>
        <w:rPr>
          <w:sz w:val="20"/>
          <w:szCs w:val="20"/>
          <w:color w:val="auto"/>
        </w:rPr>
      </w:pPr>
    </w:p>
    <w:p>
      <w:pPr>
        <w:spacing w:after="0" w:line="220" w:lineRule="exact"/>
        <w:rPr>
          <w:sz w:val="20"/>
          <w:szCs w:val="20"/>
          <w:color w:val="auto"/>
        </w:rPr>
      </w:pPr>
    </w:p>
    <w:p>
      <w:pPr>
        <w:ind w:right="100"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II.03. </w:t>
      </w:r>
      <w:r>
        <w:rPr>
          <w:rFonts w:ascii="Times New Roman" w:cs="Times New Roman" w:eastAsia="Times New Roman" w:hAnsi="Times New Roman"/>
          <w:sz w:val="21"/>
          <w:szCs w:val="21"/>
          <w:u w:val="single" w:color="auto"/>
          <w:color w:val="auto"/>
        </w:rPr>
        <w:t>The Chairperson of the Board</w:t>
      </w:r>
      <w:r>
        <w:rPr>
          <w:rFonts w:ascii="Times New Roman" w:cs="Times New Roman" w:eastAsia="Times New Roman" w:hAnsi="Times New Roman"/>
          <w:sz w:val="21"/>
          <w:szCs w:val="21"/>
          <w:color w:val="auto"/>
        </w:rPr>
        <w:t>. The Board of Directors may elect a Chairperson of the Board from among its members. If elected, the Board of Directors shall designate the Chairperson of the Board as either a non-executive Chairperson of the Board or an executive Chairperson of the Board. The Chairperson of the Board shall not be deemed an officer of the Corporation, unless the Board shall determine otherwise. Subject to the control vested in the Board by statute, by the Certificate of Incorporation, or by these Bylaws, the Chairperson of the Board shall, if present, preside over all meetings of the stockholders and of the Board and shall have such other duties and powers as from time to time may be assigned to him or her by the Board, the Certificate of Incorporation or these Bylaws. References in these Bylaws to the “Chairperson of the Board” shall mean the non-executive Chairperson of the Board or executive Chairperson of the Board, as designated by the Board of Directors from time to time. In the absence (or inability or refusal to act) of the Chairperson of the Board, the Chief Executive Officer (if such person shall be a director) or such other director or officer of the Corporation designated by the Chairperson of the Board shall preside when present at all meetings of the stockholders and the Board.</w:t>
      </w:r>
    </w:p>
    <w:p>
      <w:pPr>
        <w:spacing w:after="0" w:line="170" w:lineRule="exact"/>
        <w:rPr>
          <w:sz w:val="20"/>
          <w:szCs w:val="20"/>
          <w:color w:val="auto"/>
        </w:rPr>
      </w:pPr>
    </w:p>
    <w:p>
      <w:pPr>
        <w:jc w:val="both"/>
        <w:ind w:firstLine="1127"/>
        <w:spacing w:after="0" w:line="256" w:lineRule="auto"/>
        <w:rPr>
          <w:sz w:val="20"/>
          <w:szCs w:val="20"/>
          <w:color w:val="auto"/>
        </w:rPr>
      </w:pPr>
      <w:r>
        <w:rPr>
          <w:rFonts w:ascii="Times New Roman" w:cs="Times New Roman" w:eastAsia="Times New Roman" w:hAnsi="Times New Roman"/>
          <w:sz w:val="21"/>
          <w:szCs w:val="21"/>
          <w:color w:val="auto"/>
        </w:rPr>
        <w:t xml:space="preserve">Section II.04. </w:t>
      </w:r>
      <w:r>
        <w:rPr>
          <w:rFonts w:ascii="Times New Roman" w:cs="Times New Roman" w:eastAsia="Times New Roman" w:hAnsi="Times New Roman"/>
          <w:sz w:val="21"/>
          <w:szCs w:val="21"/>
          <w:u w:val="single" w:color="auto"/>
          <w:color w:val="auto"/>
        </w:rPr>
        <w:t>Annual and Regular Meetings</w:t>
      </w:r>
      <w:r>
        <w:rPr>
          <w:rFonts w:ascii="Times New Roman" w:cs="Times New Roman" w:eastAsia="Times New Roman" w:hAnsi="Times New Roman"/>
          <w:sz w:val="21"/>
          <w:szCs w:val="21"/>
          <w:color w:val="auto"/>
        </w:rPr>
        <w:t>. The annual meeting of the Board of Directors for the purpose of electing officers and for the transaction of such other business as may come before the meeting shall be held after the annual meeting of the stockholders and may be held at such places within or without the State of Delaware and at such times as the Board may from time to time determine, and if so determined notice thereof need not be given. Notice of such annual meeting of the Board of Directors need not be given.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13</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396" w:right="339" w:bottom="1440" w:gutter="0" w:footer="0" w:header="0"/>
        </w:sectPr>
      </w:pPr>
    </w:p>
    <w:bookmarkStart w:id="72" w:name="page73"/>
    <w:bookmarkEnd w:id="72"/>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from time to time may by resolution provide for the holding of regular meetings and fix the place (which may be within or without the State of Delaware) and the date and hour of such meetings. Notice of regular meetings need not be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if the Board of Directors shall fix or change the time or place of any regular meeting, notice of such action shall be mailed promptly, or sent by telephone, including a voice messaging system or other system or technology designed to record and communicate messages, telegraph, electronic mail or other electronic means, to each director who shall not have been present at the meeting at which such action was taken, addressed to him or her at his or her usual place of business, or shall be delivered to him or her personally. Notice of such action need not be given to any director who attends the first regular meeting after such action is taken, except when the director attends such meeting for the express purpose of objecting, at the beginning of the meeting, to the transaction of any business because the meeting is not lawfully called or convened.</w:t>
      </w:r>
    </w:p>
    <w:p>
      <w:pPr>
        <w:spacing w:after="0" w:line="188" w:lineRule="exact"/>
        <w:rPr>
          <w:sz w:val="20"/>
          <w:szCs w:val="20"/>
          <w:color w:val="auto"/>
        </w:rPr>
      </w:pPr>
    </w:p>
    <w:p>
      <w:pPr>
        <w:jc w:val="both"/>
        <w:ind w:firstLine="1127"/>
        <w:spacing w:after="0" w:line="248" w:lineRule="auto"/>
        <w:rPr>
          <w:sz w:val="20"/>
          <w:szCs w:val="20"/>
          <w:color w:val="auto"/>
        </w:rPr>
      </w:pPr>
      <w:r>
        <w:rPr>
          <w:rFonts w:ascii="Times New Roman" w:cs="Times New Roman" w:eastAsia="Times New Roman" w:hAnsi="Times New Roman"/>
          <w:sz w:val="21"/>
          <w:szCs w:val="21"/>
          <w:color w:val="auto"/>
        </w:rPr>
        <w:t xml:space="preserve">Section II.05. </w:t>
      </w:r>
      <w:r>
        <w:rPr>
          <w:rFonts w:ascii="Times New Roman" w:cs="Times New Roman" w:eastAsia="Times New Roman" w:hAnsi="Times New Roman"/>
          <w:sz w:val="21"/>
          <w:szCs w:val="21"/>
          <w:u w:val="single" w:color="auto"/>
          <w:color w:val="auto"/>
        </w:rPr>
        <w:t>Special Meetings; Notice</w:t>
      </w:r>
      <w:r>
        <w:rPr>
          <w:rFonts w:ascii="Times New Roman" w:cs="Times New Roman" w:eastAsia="Times New Roman" w:hAnsi="Times New Roman"/>
          <w:sz w:val="21"/>
          <w:szCs w:val="21"/>
          <w:color w:val="auto"/>
        </w:rPr>
        <w:t>. Special meetings of the Board of Directors for any purpose or purposes shall be held whenever called by the Chairperson of the Board, Chief Executive Officer or by the Board of Directors pursuant to the following sentence, at such place (within or without the State of Delaware), date and hour as may be specified in the notices of such meetings. Special meetings of the Board of Directors also may be held whenever called pursuant to a resolution approved by the Board of Directors. Notice shall be duly given to each director (a) in person or by telephone at least twenty-four (24) hours in advance of the meeting, (b) by sending written notice by reputable overnight courier, telecopy, or other means of electronic transmission, or delivering written notice by hand, to such director’s last known business, home or means of electronic transmission address at least twenty-four (24) hours in advance of the meeting, or (c) by sending written notice by first-class mail to such director’s last known business or to such other address as any director may request by notice to the Secretary at least seventy-two (72) hours in advance of the meeting. Notice of any special meeting need not be given to any director who attends such meeting except when the director attends such meeting for the express purpose of objecting, at the beginning of the meeting, to the transaction of any business because the meeting is not lawfully called or convened.</w:t>
      </w:r>
    </w:p>
    <w:p>
      <w:pPr>
        <w:spacing w:after="0" w:line="173"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II.06. </w:t>
      </w:r>
      <w:r>
        <w:rPr>
          <w:rFonts w:ascii="Times New Roman" w:cs="Times New Roman" w:eastAsia="Times New Roman" w:hAnsi="Times New Roman"/>
          <w:sz w:val="21"/>
          <w:szCs w:val="21"/>
          <w:u w:val="single" w:color="auto"/>
          <w:color w:val="auto"/>
        </w:rPr>
        <w:t>Quorum; Voting</w:t>
      </w:r>
      <w:r>
        <w:rPr>
          <w:rFonts w:ascii="Times New Roman" w:cs="Times New Roman" w:eastAsia="Times New Roman" w:hAnsi="Times New Roman"/>
          <w:sz w:val="21"/>
          <w:szCs w:val="21"/>
          <w:color w:val="auto"/>
        </w:rPr>
        <w:t>. At all meetings of the Board of Directors, the presence of at least a majority of the total number of directors shall constitute a quorum for the transaction of business. Except as otherwise required by law, the Certificate of Incorporation or these Bylaws, the vote of at least a majority of the directors present at any meeting at which a quorum is present shall be the act of the Board of Directors.</w:t>
      </w:r>
    </w:p>
    <w:p>
      <w:pPr>
        <w:spacing w:after="0" w:line="174" w:lineRule="exact"/>
        <w:rPr>
          <w:sz w:val="20"/>
          <w:szCs w:val="20"/>
          <w:color w:val="auto"/>
        </w:rPr>
      </w:pPr>
    </w:p>
    <w:p>
      <w:pPr>
        <w:jc w:val="both"/>
        <w:ind w:firstLine="1127"/>
        <w:spacing w:after="0" w:line="277" w:lineRule="auto"/>
        <w:rPr>
          <w:sz w:val="20"/>
          <w:szCs w:val="20"/>
          <w:color w:val="auto"/>
        </w:rPr>
      </w:pPr>
      <w:r>
        <w:rPr>
          <w:rFonts w:ascii="Times New Roman" w:cs="Times New Roman" w:eastAsia="Times New Roman" w:hAnsi="Times New Roman"/>
          <w:sz w:val="21"/>
          <w:szCs w:val="21"/>
          <w:color w:val="auto"/>
        </w:rPr>
        <w:t xml:space="preserve">Section II.07. </w:t>
      </w:r>
      <w:r>
        <w:rPr>
          <w:rFonts w:ascii="Times New Roman" w:cs="Times New Roman" w:eastAsia="Times New Roman" w:hAnsi="Times New Roman"/>
          <w:sz w:val="21"/>
          <w:szCs w:val="21"/>
          <w:u w:val="single" w:color="auto"/>
          <w:color w:val="auto"/>
        </w:rPr>
        <w:t>Adjournment</w:t>
      </w:r>
      <w:r>
        <w:rPr>
          <w:rFonts w:ascii="Times New Roman" w:cs="Times New Roman" w:eastAsia="Times New Roman" w:hAnsi="Times New Roman"/>
          <w:sz w:val="21"/>
          <w:szCs w:val="21"/>
          <w:color w:val="auto"/>
        </w:rPr>
        <w:t>. A majority of the directors present, whether or not a quorum is present, may adjourn any meeting of the Board of Directors to another time or place.</w:t>
      </w:r>
    </w:p>
    <w:p>
      <w:pPr>
        <w:spacing w:after="0" w:line="154"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II.08. </w:t>
      </w:r>
      <w:r>
        <w:rPr>
          <w:rFonts w:ascii="Times New Roman" w:cs="Times New Roman" w:eastAsia="Times New Roman" w:hAnsi="Times New Roman"/>
          <w:sz w:val="21"/>
          <w:szCs w:val="21"/>
          <w:u w:val="single" w:color="auto"/>
          <w:color w:val="auto"/>
        </w:rPr>
        <w:t>Action Without a Meeting</w:t>
      </w:r>
      <w:r>
        <w:rPr>
          <w:rFonts w:ascii="Times New Roman" w:cs="Times New Roman" w:eastAsia="Times New Roman" w:hAnsi="Times New Roman"/>
          <w:sz w:val="21"/>
          <w:szCs w:val="21"/>
          <w:color w:val="auto"/>
        </w:rPr>
        <w:t>. Any action required or permitted to be taken at any meeting of the Board of Directors, or any committee thereof, may be taken without a meeting if all members of the Board of Directors or committee, as the case may be, consent thereto in writing or by electronic transmission. After the action is taken, the consent or consents relating thereto shall be filed with the minutes of proceedings of the Board of Directors or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14</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3" w:name="page74"/>
    <w:bookmarkEnd w:id="73"/>
    <w:p>
      <w:pPr>
        <w:jc w:val="both"/>
        <w:ind w:firstLine="1127"/>
        <w:spacing w:after="0" w:line="256" w:lineRule="auto"/>
        <w:rPr>
          <w:sz w:val="20"/>
          <w:szCs w:val="20"/>
          <w:color w:val="auto"/>
        </w:rPr>
      </w:pPr>
      <w:r>
        <w:rPr>
          <w:rFonts w:ascii="Times New Roman" w:cs="Times New Roman" w:eastAsia="Times New Roman" w:hAnsi="Times New Roman"/>
          <w:sz w:val="21"/>
          <w:szCs w:val="21"/>
          <w:color w:val="auto"/>
        </w:rPr>
        <w:t xml:space="preserve">Section II.09. </w:t>
      </w:r>
      <w:r>
        <w:rPr>
          <w:rFonts w:ascii="Times New Roman" w:cs="Times New Roman" w:eastAsia="Times New Roman" w:hAnsi="Times New Roman"/>
          <w:sz w:val="21"/>
          <w:szCs w:val="21"/>
          <w:u w:val="single" w:color="auto"/>
          <w:color w:val="auto"/>
        </w:rPr>
        <w:t>Regulations; Manner of Acting</w:t>
      </w:r>
      <w:r>
        <w:rPr>
          <w:rFonts w:ascii="Times New Roman" w:cs="Times New Roman" w:eastAsia="Times New Roman" w:hAnsi="Times New Roman"/>
          <w:sz w:val="21"/>
          <w:szCs w:val="21"/>
          <w:color w:val="auto"/>
        </w:rPr>
        <w:t>. To the extent consistent with applicable law, the Certificate of Incorporation and these Bylaws, the Board of Directors may adopt by resolution such rules and regulations for the conduct of meetings of the Board of Directors and for the management of the property, affairs and business of the Corporation as the Board of Directors may deem appropriate. The directors shall act only as a Board of Directors and the individual directors shall have no power in their individual capacities unless expressly authorized by the Board of Directors.</w:t>
      </w:r>
    </w:p>
    <w:p>
      <w:pPr>
        <w:spacing w:after="0" w:line="162"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II.10. </w:t>
      </w:r>
      <w:r>
        <w:rPr>
          <w:rFonts w:ascii="Times New Roman" w:cs="Times New Roman" w:eastAsia="Times New Roman" w:hAnsi="Times New Roman"/>
          <w:sz w:val="21"/>
          <w:szCs w:val="21"/>
          <w:u w:val="single" w:color="auto"/>
          <w:color w:val="auto"/>
        </w:rPr>
        <w:t>Action by Telephonic Communications</w:t>
      </w:r>
      <w:r>
        <w:rPr>
          <w:rFonts w:ascii="Times New Roman" w:cs="Times New Roman" w:eastAsia="Times New Roman" w:hAnsi="Times New Roman"/>
          <w:sz w:val="21"/>
          <w:szCs w:val="21"/>
          <w:color w:val="auto"/>
        </w:rPr>
        <w:t>. Members of the Board of Directors, or any committee thereof, may participate in a meeting of the Board or committee by means of conference telephone or other communications equipment by means of which all persons participating in the meeting can hear and communicate with each other, and participation in a meeting pursuant to this provision shall constitute presence in person at such meeting.</w:t>
      </w:r>
    </w:p>
    <w:p>
      <w:pPr>
        <w:spacing w:after="0" w:line="174" w:lineRule="exact"/>
        <w:rPr>
          <w:sz w:val="20"/>
          <w:szCs w:val="20"/>
          <w:color w:val="auto"/>
        </w:rPr>
      </w:pPr>
    </w:p>
    <w:p>
      <w:pPr>
        <w:jc w:val="both"/>
        <w:ind w:firstLine="1127"/>
        <w:spacing w:after="0" w:line="258" w:lineRule="auto"/>
        <w:rPr>
          <w:sz w:val="20"/>
          <w:szCs w:val="20"/>
          <w:color w:val="auto"/>
        </w:rPr>
      </w:pPr>
      <w:r>
        <w:rPr>
          <w:rFonts w:ascii="Times New Roman" w:cs="Times New Roman" w:eastAsia="Times New Roman" w:hAnsi="Times New Roman"/>
          <w:sz w:val="21"/>
          <w:szCs w:val="21"/>
          <w:color w:val="auto"/>
        </w:rPr>
        <w:t xml:space="preserve">Section II.11. </w:t>
      </w:r>
      <w:r>
        <w:rPr>
          <w:rFonts w:ascii="Times New Roman" w:cs="Times New Roman" w:eastAsia="Times New Roman" w:hAnsi="Times New Roman"/>
          <w:sz w:val="21"/>
          <w:szCs w:val="21"/>
          <w:u w:val="single" w:color="auto"/>
          <w:color w:val="auto"/>
        </w:rPr>
        <w:t>Resignations</w:t>
      </w:r>
      <w:r>
        <w:rPr>
          <w:rFonts w:ascii="Times New Roman" w:cs="Times New Roman" w:eastAsia="Times New Roman" w:hAnsi="Times New Roman"/>
          <w:sz w:val="21"/>
          <w:szCs w:val="21"/>
          <w:color w:val="auto"/>
        </w:rPr>
        <w:t>. Any director may resign at any time by submitting an electronic transmission or by delivering a written notice of resignation, signed by such director, to the Corporation. Unless otherwise specified therein, such resignation shall take effect upon delivery.</w:t>
      </w:r>
    </w:p>
    <w:p>
      <w:pPr>
        <w:spacing w:after="0" w:line="174" w:lineRule="exact"/>
        <w:rPr>
          <w:sz w:val="20"/>
          <w:szCs w:val="20"/>
          <w:color w:val="auto"/>
        </w:rPr>
      </w:pPr>
    </w:p>
    <w:p>
      <w:pPr>
        <w:jc w:val="both"/>
        <w:ind w:firstLine="1127"/>
        <w:spacing w:after="0" w:line="277" w:lineRule="auto"/>
        <w:rPr>
          <w:sz w:val="20"/>
          <w:szCs w:val="20"/>
          <w:color w:val="auto"/>
        </w:rPr>
      </w:pPr>
      <w:r>
        <w:rPr>
          <w:rFonts w:ascii="Times New Roman" w:cs="Times New Roman" w:eastAsia="Times New Roman" w:hAnsi="Times New Roman"/>
          <w:sz w:val="21"/>
          <w:szCs w:val="21"/>
          <w:color w:val="auto"/>
        </w:rPr>
        <w:t xml:space="preserve">Section II.12. </w:t>
      </w:r>
      <w:r>
        <w:rPr>
          <w:rFonts w:ascii="Times New Roman" w:cs="Times New Roman" w:eastAsia="Times New Roman" w:hAnsi="Times New Roman"/>
          <w:sz w:val="21"/>
          <w:szCs w:val="21"/>
          <w:u w:val="single" w:color="auto"/>
          <w:color w:val="auto"/>
        </w:rPr>
        <w:t>Removal of Directors</w:t>
      </w:r>
      <w:r>
        <w:rPr>
          <w:rFonts w:ascii="Times New Roman" w:cs="Times New Roman" w:eastAsia="Times New Roman" w:hAnsi="Times New Roman"/>
          <w:sz w:val="21"/>
          <w:szCs w:val="21"/>
          <w:color w:val="auto"/>
        </w:rPr>
        <w:t>. Directors may be removed from office as provided in the Certificate of Incorporation.</w:t>
      </w:r>
    </w:p>
    <w:p>
      <w:pPr>
        <w:spacing w:after="0" w:line="140" w:lineRule="exact"/>
        <w:rPr>
          <w:sz w:val="20"/>
          <w:szCs w:val="20"/>
          <w:color w:val="auto"/>
        </w:rPr>
      </w:pPr>
    </w:p>
    <w:p>
      <w:pPr>
        <w:ind w:right="80"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II.13. </w:t>
      </w:r>
      <w:r>
        <w:rPr>
          <w:rFonts w:ascii="Times New Roman" w:cs="Times New Roman" w:eastAsia="Times New Roman" w:hAnsi="Times New Roman"/>
          <w:sz w:val="21"/>
          <w:szCs w:val="21"/>
          <w:u w:val="single" w:color="auto"/>
          <w:color w:val="auto"/>
        </w:rPr>
        <w:t>Vacancies and Newly Created Directorships</w:t>
      </w:r>
      <w:r>
        <w:rPr>
          <w:rFonts w:ascii="Times New Roman" w:cs="Times New Roman" w:eastAsia="Times New Roman" w:hAnsi="Times New Roman"/>
          <w:sz w:val="21"/>
          <w:szCs w:val="21"/>
          <w:color w:val="auto"/>
        </w:rPr>
        <w:t>. Subject to the terms of any one or more series of preferred stock, any vacancies in the Board of Directors for any reason and any newly created directorships resulting by reason of any increase in the number of directors shall be filled only by the Board of Directors acting by a majority of the Board of Directors, even if less than a quorum, or by a sole remaining director, and any directors so appointed shall hold office until the next election of the class of directors to which such directors have been appointed and until their successors are duly elected and qualified, except that, for so long as holders of common stock may act by written consent, such vacancies may also be filled by a majority of the voting power of the Corporation’s outstanding shares of common stock entitled to vote generally in the election of directors, voting together as a single class.</w:t>
      </w:r>
    </w:p>
    <w:p>
      <w:pPr>
        <w:spacing w:after="0" w:line="181"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II.14.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The amount, if any, which each director shall be entitled to receive as compensation for such director’s services, shall be fixed from time to time by resolution of the Board of Directors or any committee thereof or as an agreement between the Corporation and any director. The directors may be reimbursed their out-of-pocket expenses, if any, of attendance at each meeting of the Board of Directors in accordance with the Corporation’s policies in effect from time to time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and reimbursement for service as committee members.</w:t>
      </w:r>
    </w:p>
    <w:p>
      <w:pPr>
        <w:spacing w:after="0" w:line="183"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II.15. </w:t>
      </w:r>
      <w:r>
        <w:rPr>
          <w:rFonts w:ascii="Times New Roman" w:cs="Times New Roman" w:eastAsia="Times New Roman" w:hAnsi="Times New Roman"/>
          <w:sz w:val="21"/>
          <w:szCs w:val="21"/>
          <w:u w:val="single" w:color="auto"/>
          <w:color w:val="auto"/>
        </w:rPr>
        <w:t>Reliance on Accounts and Reports, Etc</w:t>
      </w:r>
      <w:r>
        <w:rPr>
          <w:rFonts w:ascii="Times New Roman" w:cs="Times New Roman" w:eastAsia="Times New Roman" w:hAnsi="Times New Roman"/>
          <w:sz w:val="21"/>
          <w:szCs w:val="21"/>
          <w:color w:val="auto"/>
        </w:rPr>
        <w:t>. A director, or a member of any committee designated by the Board of Directors, shall, in the performance of such director’s or member’s duties, be fully protected in relying in good faith upon the records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15</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1" w:right="339" w:bottom="1440" w:gutter="0" w:footer="0" w:header="0"/>
        </w:sectPr>
      </w:pPr>
    </w:p>
    <w:bookmarkStart w:id="74" w:name="page75"/>
    <w:bookmarkEnd w:id="74"/>
    <w:p>
      <w:pPr>
        <w:jc w:val="both"/>
        <w:spacing w:after="0" w:line="257" w:lineRule="auto"/>
        <w:rPr>
          <w:sz w:val="20"/>
          <w:szCs w:val="20"/>
          <w:color w:val="auto"/>
        </w:rPr>
      </w:pPr>
      <w:r>
        <w:rPr>
          <w:rFonts w:ascii="Times New Roman" w:cs="Times New Roman" w:eastAsia="Times New Roman" w:hAnsi="Times New Roman"/>
          <w:sz w:val="21"/>
          <w:szCs w:val="21"/>
          <w:color w:val="auto"/>
        </w:rPr>
        <w:t>Corporation and upon information, opinions, reports or statements presented to the Corporation by any of the Corporation’s officers or employees, or committees designated by the Board of Directors, or by any other person as to the matters the director or the member reasonably believes are within such other person’s professional or expert competence and who the director or member reasonably believes or determines has been selected with reasonable care by or on behalf of the Corporation.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COMMITTEES</w:t>
      </w:r>
    </w:p>
    <w:p>
      <w:pPr>
        <w:spacing w:after="0" w:line="232"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III.01. </w:t>
      </w:r>
      <w:r>
        <w:rPr>
          <w:rFonts w:ascii="Times New Roman" w:cs="Times New Roman" w:eastAsia="Times New Roman" w:hAnsi="Times New Roman"/>
          <w:sz w:val="21"/>
          <w:szCs w:val="21"/>
          <w:u w:val="single" w:color="auto"/>
          <w:color w:val="auto"/>
        </w:rPr>
        <w:t>Committees</w:t>
      </w:r>
      <w:r>
        <w:rPr>
          <w:rFonts w:ascii="Times New Roman" w:cs="Times New Roman" w:eastAsia="Times New Roman" w:hAnsi="Times New Roman"/>
          <w:sz w:val="21"/>
          <w:szCs w:val="21"/>
          <w:color w:val="auto"/>
        </w:rPr>
        <w:t>. The Board of Directors, by resolution, may designate from among its members one (1) or more committees of the Board of Directors, each consisting of one or more directors as from time to time may be fixed by the Board of Directors. Any such committee shall serve at the pleasure of the Board of Directors. The Board of Directors may appoint a Chairperson of any committee, who shall preside at meetings of any such committee. The Board of Directors may elect one (1) or more of its members as alternate members of any such committee who may take the place of any absent or disqualified member or members at any meeting of such committee, upon request of the Chairperson of the Board or the Chairperson of such committee.</w:t>
      </w:r>
    </w:p>
    <w:p>
      <w:pPr>
        <w:spacing w:after="0" w:line="200" w:lineRule="exact"/>
        <w:rPr>
          <w:sz w:val="20"/>
          <w:szCs w:val="20"/>
          <w:color w:val="auto"/>
        </w:rPr>
      </w:pPr>
    </w:p>
    <w:p>
      <w:pPr>
        <w:spacing w:after="0" w:line="217" w:lineRule="exact"/>
        <w:rPr>
          <w:sz w:val="20"/>
          <w:szCs w:val="20"/>
          <w:color w:val="auto"/>
        </w:rPr>
      </w:pPr>
    </w:p>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III.02. </w:t>
      </w:r>
      <w:r>
        <w:rPr>
          <w:rFonts w:ascii="Times New Roman" w:cs="Times New Roman" w:eastAsia="Times New Roman" w:hAnsi="Times New Roman"/>
          <w:sz w:val="21"/>
          <w:szCs w:val="21"/>
          <w:u w:val="single" w:color="auto"/>
          <w:color w:val="auto"/>
        </w:rPr>
        <w:t>Powers</w:t>
      </w:r>
      <w:r>
        <w:rPr>
          <w:rFonts w:ascii="Times New Roman" w:cs="Times New Roman" w:eastAsia="Times New Roman" w:hAnsi="Times New Roman"/>
          <w:sz w:val="21"/>
          <w:szCs w:val="21"/>
          <w:color w:val="auto"/>
        </w:rPr>
        <w:t>. Subject to any limitation imposed by applicable law, each committee shall have and may exercise such powers of the Board of Directors as may be provided by resolution or resolutions of the Board of Directors or provided in charters or other organization documents of such committee approved by the Board of Directors. No committee shall have the power or authority: to approve or adopt, or recommend to the stockholders, any action or matter (other than the election or removal of directors) expressly required by the DGCL to be submitted by the Board of Directors to the stockholders for approval; or to adopt, amend or repeal the Bylaws of the Corporation.</w:t>
      </w:r>
    </w:p>
    <w:p>
      <w:pPr>
        <w:spacing w:after="0" w:line="183"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III.03. </w:t>
      </w:r>
      <w:r>
        <w:rPr>
          <w:rFonts w:ascii="Times New Roman" w:cs="Times New Roman" w:eastAsia="Times New Roman" w:hAnsi="Times New Roman"/>
          <w:sz w:val="21"/>
          <w:szCs w:val="21"/>
          <w:u w:val="single" w:color="auto"/>
          <w:color w:val="auto"/>
        </w:rPr>
        <w:t>Proceedings</w:t>
      </w:r>
      <w:r>
        <w:rPr>
          <w:rFonts w:ascii="Times New Roman" w:cs="Times New Roman" w:eastAsia="Times New Roman" w:hAnsi="Times New Roman"/>
          <w:sz w:val="21"/>
          <w:szCs w:val="21"/>
          <w:color w:val="auto"/>
        </w:rPr>
        <w:t>. Except as otherwise provided herein or required by law, each committee may fix its own rules of procedure and may meet at such place (within or without the State of Delaware), at such time and upon such notice, if any, as it shall determine from time to time. Each committee shall keep minutes of its proceedings and shall report such proceedings to the Board of Directors at the meeting of the Board next following any such proceedings.</w:t>
      </w:r>
    </w:p>
    <w:p>
      <w:pPr>
        <w:spacing w:after="0" w:line="160"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III.04. </w:t>
      </w:r>
      <w:r>
        <w:rPr>
          <w:rFonts w:ascii="Times New Roman" w:cs="Times New Roman" w:eastAsia="Times New Roman" w:hAnsi="Times New Roman"/>
          <w:sz w:val="21"/>
          <w:szCs w:val="21"/>
          <w:u w:val="single" w:color="auto"/>
          <w:color w:val="auto"/>
        </w:rPr>
        <w:t>Quorum and Manner of Acting</w:t>
      </w:r>
      <w:r>
        <w:rPr>
          <w:rFonts w:ascii="Times New Roman" w:cs="Times New Roman" w:eastAsia="Times New Roman" w:hAnsi="Times New Roman"/>
          <w:sz w:val="21"/>
          <w:szCs w:val="21"/>
          <w:color w:val="auto"/>
        </w:rPr>
        <w:t>. Except as may be otherwise provided in the resolution creating such committee or in the rules of such committee, at all meetings of any committee, the presence of members (or alternate members) constituting a majority of the total number of committee members serving shall constitute a quorum for the transaction of business, except that, in the case of one-member committees, the presence of one member shall constitute a quorum and in the case of two-member committees, the presence of two members shall constitute a quorum. The act of the majority of the members present at any meeting at which a quorum is present shall be the act of such committee. Any action required or permitted to be taken at any meeting of any committee may be taken without a meeting, in accordance with Section 2.08 of Article II of these Bylaws. The members of any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16</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5" w:name="page76"/>
    <w:bookmarkEnd w:id="75"/>
    <w:p>
      <w:pPr>
        <w:jc w:val="both"/>
        <w:spacing w:after="0" w:line="277" w:lineRule="auto"/>
        <w:rPr>
          <w:sz w:val="20"/>
          <w:szCs w:val="20"/>
          <w:color w:val="auto"/>
        </w:rPr>
      </w:pPr>
      <w:r>
        <w:rPr>
          <w:rFonts w:ascii="Times New Roman" w:cs="Times New Roman" w:eastAsia="Times New Roman" w:hAnsi="Times New Roman"/>
          <w:sz w:val="21"/>
          <w:szCs w:val="21"/>
          <w:color w:val="auto"/>
        </w:rPr>
        <w:t>shall act only as a committee, and the individual members of such committee shall have no power in their individual capacities unless expressly authorized by the Board of Directors or the committee.</w:t>
      </w:r>
    </w:p>
    <w:p>
      <w:pPr>
        <w:spacing w:after="0" w:line="154"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III.05. </w:t>
      </w:r>
      <w:r>
        <w:rPr>
          <w:rFonts w:ascii="Times New Roman" w:cs="Times New Roman" w:eastAsia="Times New Roman" w:hAnsi="Times New Roman"/>
          <w:sz w:val="21"/>
          <w:szCs w:val="21"/>
          <w:u w:val="single" w:color="auto"/>
          <w:color w:val="auto"/>
        </w:rPr>
        <w:t>Action by Telephonic Communications</w:t>
      </w:r>
      <w:r>
        <w:rPr>
          <w:rFonts w:ascii="Times New Roman" w:cs="Times New Roman" w:eastAsia="Times New Roman" w:hAnsi="Times New Roman"/>
          <w:sz w:val="21"/>
          <w:szCs w:val="21"/>
          <w:color w:val="auto"/>
        </w:rPr>
        <w:t>. Unless otherwise provided by the Board of Directors, members of any committee may participate in a meeting of such committee by means of conference telephone or other communications equipment by means of which all persons participating in the meeting can hear and communicate with each other, and participation in a meeting pursuant to this provision shall constitute presence in person at such meeting.</w:t>
      </w:r>
    </w:p>
    <w:p>
      <w:pPr>
        <w:spacing w:after="0" w:line="160" w:lineRule="exact"/>
        <w:rPr>
          <w:sz w:val="20"/>
          <w:szCs w:val="20"/>
          <w:color w:val="auto"/>
        </w:rPr>
      </w:pPr>
    </w:p>
    <w:p>
      <w:pPr>
        <w:jc w:val="both"/>
        <w:ind w:firstLine="1127"/>
        <w:spacing w:after="0" w:line="261" w:lineRule="auto"/>
        <w:rPr>
          <w:sz w:val="20"/>
          <w:szCs w:val="20"/>
          <w:color w:val="auto"/>
        </w:rPr>
      </w:pPr>
      <w:r>
        <w:rPr>
          <w:rFonts w:ascii="Times New Roman" w:cs="Times New Roman" w:eastAsia="Times New Roman" w:hAnsi="Times New Roman"/>
          <w:sz w:val="21"/>
          <w:szCs w:val="21"/>
          <w:color w:val="auto"/>
        </w:rPr>
        <w:t xml:space="preserve">Section III.06. </w:t>
      </w:r>
      <w:r>
        <w:rPr>
          <w:rFonts w:ascii="Times New Roman" w:cs="Times New Roman" w:eastAsia="Times New Roman" w:hAnsi="Times New Roman"/>
          <w:sz w:val="21"/>
          <w:szCs w:val="21"/>
          <w:u w:val="single" w:color="auto"/>
          <w:color w:val="auto"/>
        </w:rPr>
        <w:t>Absent or Disqualified Members</w:t>
      </w:r>
      <w:r>
        <w:rPr>
          <w:rFonts w:ascii="Times New Roman" w:cs="Times New Roman" w:eastAsia="Times New Roman" w:hAnsi="Times New Roman"/>
          <w:sz w:val="21"/>
          <w:szCs w:val="21"/>
          <w:color w:val="auto"/>
        </w:rPr>
        <w:t>. In the absence or disqualification of a member of any committee, if no alternate member is present to act in his or her stead,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157"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III.07. </w:t>
      </w:r>
      <w:r>
        <w:rPr>
          <w:rFonts w:ascii="Times New Roman" w:cs="Times New Roman" w:eastAsia="Times New Roman" w:hAnsi="Times New Roman"/>
          <w:sz w:val="21"/>
          <w:szCs w:val="21"/>
          <w:u w:val="single" w:color="auto"/>
          <w:color w:val="auto"/>
        </w:rPr>
        <w:t>Resignations</w:t>
      </w:r>
      <w:r>
        <w:rPr>
          <w:rFonts w:ascii="Times New Roman" w:cs="Times New Roman" w:eastAsia="Times New Roman" w:hAnsi="Times New Roman"/>
          <w:sz w:val="21"/>
          <w:szCs w:val="21"/>
          <w:color w:val="auto"/>
        </w:rPr>
        <w:t>. Any member (and any alternate member) of any committee may resign at any time by submitting an electronic transmission or by delivering a written notice of resignation, signed by such member, to the Board of Directors or the Chairperson of the Board. Unless otherwise specified therein, such resignation shall take effect upon delivery.</w:t>
      </w:r>
    </w:p>
    <w:p>
      <w:pPr>
        <w:spacing w:after="0" w:line="153" w:lineRule="exact"/>
        <w:rPr>
          <w:sz w:val="20"/>
          <w:szCs w:val="20"/>
          <w:color w:val="auto"/>
        </w:rPr>
      </w:pPr>
    </w:p>
    <w:p>
      <w:pPr>
        <w:jc w:val="both"/>
        <w:ind w:firstLine="1127"/>
        <w:spacing w:after="0" w:line="277" w:lineRule="auto"/>
        <w:rPr>
          <w:sz w:val="20"/>
          <w:szCs w:val="20"/>
          <w:color w:val="auto"/>
        </w:rPr>
      </w:pPr>
      <w:r>
        <w:rPr>
          <w:rFonts w:ascii="Times New Roman" w:cs="Times New Roman" w:eastAsia="Times New Roman" w:hAnsi="Times New Roman"/>
          <w:sz w:val="21"/>
          <w:szCs w:val="21"/>
          <w:color w:val="auto"/>
        </w:rPr>
        <w:t xml:space="preserve">Section III.08. </w:t>
      </w:r>
      <w:r>
        <w:rPr>
          <w:rFonts w:ascii="Times New Roman" w:cs="Times New Roman" w:eastAsia="Times New Roman" w:hAnsi="Times New Roman"/>
          <w:sz w:val="21"/>
          <w:szCs w:val="21"/>
          <w:u w:val="single" w:color="auto"/>
          <w:color w:val="auto"/>
        </w:rPr>
        <w:t>Removal</w:t>
      </w:r>
      <w:r>
        <w:rPr>
          <w:rFonts w:ascii="Times New Roman" w:cs="Times New Roman" w:eastAsia="Times New Roman" w:hAnsi="Times New Roman"/>
          <w:sz w:val="21"/>
          <w:szCs w:val="21"/>
          <w:color w:val="auto"/>
        </w:rPr>
        <w:t>. Any member (and any alternate member) of any committee may be removed at any time, either for or without cause, by resolution adopted by the Board of Directors.</w:t>
      </w:r>
    </w:p>
    <w:p>
      <w:pPr>
        <w:spacing w:after="0" w:line="154"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III.09. </w:t>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 If any vacancy shall occur in any committee, by reason of disqualification, death, resignation, removal or otherwise, the remaining members (and any alternate members) shall continue to act, and any such vacancy may be filled by the Board of Directors.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OFFICERS</w:t>
      </w:r>
    </w:p>
    <w:p>
      <w:pPr>
        <w:spacing w:after="0" w:line="219"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IV.01. </w:t>
      </w:r>
      <w:r>
        <w:rPr>
          <w:rFonts w:ascii="Times New Roman" w:cs="Times New Roman" w:eastAsia="Times New Roman" w:hAnsi="Times New Roman"/>
          <w:sz w:val="21"/>
          <w:szCs w:val="21"/>
          <w:u w:val="single" w:color="auto"/>
          <w:color w:val="auto"/>
        </w:rPr>
        <w:t>Chief Executive Officer</w:t>
      </w:r>
      <w:r>
        <w:rPr>
          <w:rFonts w:ascii="Times New Roman" w:cs="Times New Roman" w:eastAsia="Times New Roman" w:hAnsi="Times New Roman"/>
          <w:sz w:val="21"/>
          <w:szCs w:val="21"/>
          <w:color w:val="auto"/>
        </w:rPr>
        <w:t>. The Board of Directors may elect a Chief Executive Officer to serve at the pleasure of the Board of Directors. The Chief Executive Officer shall (a) supervise the implementation of policies adopted or approved by the Board of Directors, (b) exercise a general supervision and superintendence over all the business and affairs of the Corporation subject to the authority of the Board of Directors, (c) appoint and remove subordinate officers, agents and employees, except those appointed by the Board of Directors, and (d) possess such other powers and perform such other duties as may be assigned to him or her by these Bylaws, as may from time to time be assigned by the Board of Directors and as may be incident to the office of Chief Executive Officer of the Corporation. The Chief Executive Officer shall have general authority to execute bonds, deeds and contracts in the name of the Corporation, except where required or permitted by law to be otherwise signed and executed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17</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6" w:name="page77"/>
    <w:bookmarkEnd w:id="76"/>
    <w:p>
      <w:pPr>
        <w:spacing w:after="0" w:line="277" w:lineRule="auto"/>
        <w:rPr>
          <w:sz w:val="20"/>
          <w:szCs w:val="20"/>
          <w:color w:val="auto"/>
        </w:rPr>
      </w:pPr>
      <w:r>
        <w:rPr>
          <w:rFonts w:ascii="Times New Roman" w:cs="Times New Roman" w:eastAsia="Times New Roman" w:hAnsi="Times New Roman"/>
          <w:sz w:val="21"/>
          <w:szCs w:val="21"/>
          <w:color w:val="auto"/>
        </w:rPr>
        <w:t>except that the other officers of the Corporation may sign and execute documents when so authorized by these Bylaws, the Board of Directors or the Chief Executive Officer.</w:t>
      </w:r>
    </w:p>
    <w:p>
      <w:pPr>
        <w:spacing w:after="0" w:line="154" w:lineRule="exact"/>
        <w:rPr>
          <w:sz w:val="20"/>
          <w:szCs w:val="20"/>
          <w:color w:val="auto"/>
        </w:rPr>
      </w:pPr>
    </w:p>
    <w:p>
      <w:pPr>
        <w:ind w:firstLine="1127"/>
        <w:spacing w:after="0" w:line="258" w:lineRule="auto"/>
        <w:rPr>
          <w:sz w:val="20"/>
          <w:szCs w:val="20"/>
          <w:color w:val="auto"/>
        </w:rPr>
      </w:pPr>
      <w:r>
        <w:rPr>
          <w:rFonts w:ascii="Times New Roman" w:cs="Times New Roman" w:eastAsia="Times New Roman" w:hAnsi="Times New Roman"/>
          <w:sz w:val="21"/>
          <w:szCs w:val="21"/>
          <w:color w:val="auto"/>
        </w:rPr>
        <w:t xml:space="preserve">Section IV.02. </w:t>
      </w:r>
      <w:r>
        <w:rPr>
          <w:rFonts w:ascii="Times New Roman" w:cs="Times New Roman" w:eastAsia="Times New Roman" w:hAnsi="Times New Roman"/>
          <w:sz w:val="21"/>
          <w:szCs w:val="21"/>
          <w:u w:val="single" w:color="auto"/>
          <w:color w:val="auto"/>
        </w:rPr>
        <w:t>Chief Financial Officer of the Corporation</w:t>
      </w:r>
      <w:r>
        <w:rPr>
          <w:rFonts w:ascii="Times New Roman" w:cs="Times New Roman" w:eastAsia="Times New Roman" w:hAnsi="Times New Roman"/>
          <w:sz w:val="21"/>
          <w:szCs w:val="21"/>
          <w:color w:val="auto"/>
        </w:rPr>
        <w:t>. The Board of Directors may elect a Chief Financial Officer of the Corporation to serve at the pleasure of the Board of Directors. The Chief Financial Officer of the Corporation shall</w:t>
      </w:r>
    </w:p>
    <w:p>
      <w:pPr>
        <w:spacing w:after="0" w:line="1" w:lineRule="exact"/>
        <w:rPr>
          <w:sz w:val="20"/>
          <w:szCs w:val="20"/>
          <w:color w:val="auto"/>
        </w:rPr>
      </w:pPr>
    </w:p>
    <w:p>
      <w:pPr>
        <w:jc w:val="both"/>
        <w:ind w:firstLine="7"/>
        <w:spacing w:after="0" w:line="248" w:lineRule="auto"/>
        <w:tabs>
          <w:tab w:leader="none" w:pos="30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the custody of the corporate funds and securities, except as otherwise provided by the Board of Directors, (b) keep full and accurate accounts of receipts and disbursements in books belonging to the Corporation, (c) deposit all moneys and other valuable effects in the name and to the credit of the Corporation in such depositories as may be designated by the Board of Directors, (d) disburse the funds of the Corporation as may be ordered by the Board of Directors, taking proper vouchers for such disbursements, and (e) render to the Chief Executive Officer and the Board of Directors, whenever they may require it, an account of all his or her transactions as Chief Financial Officer and of the financial condition of the Corporation.</w:t>
      </w:r>
    </w:p>
    <w:p>
      <w:pPr>
        <w:spacing w:after="0" w:line="170"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IV.03. </w:t>
      </w:r>
      <w:r>
        <w:rPr>
          <w:rFonts w:ascii="Times New Roman" w:cs="Times New Roman" w:eastAsia="Times New Roman" w:hAnsi="Times New Roman"/>
          <w:sz w:val="21"/>
          <w:szCs w:val="21"/>
          <w:u w:val="single" w:color="auto"/>
          <w:color w:val="auto"/>
        </w:rPr>
        <w:t>Treasurer and Assistant Treasurers</w:t>
      </w:r>
      <w:r>
        <w:rPr>
          <w:rFonts w:ascii="Times New Roman" w:cs="Times New Roman" w:eastAsia="Times New Roman" w:hAnsi="Times New Roman"/>
          <w:sz w:val="21"/>
          <w:szCs w:val="21"/>
          <w:color w:val="auto"/>
        </w:rPr>
        <w:t>. The Board of Directors may elect a Treasurer of the Corporation and any number of Assistant Treasurers to serve at the pleasure of the Board of Directors. The Treasurer shall perform such duties and shall have such powers as may from time to time be assigned by the Board or the Chief Executive Officer or the Chief Financial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authorized by the Board or the Chief Executive Officer, to make proper accounts of such funds, and to render as required by the Board statements of all such transactions and of the financial condition of the Corporation. The Assistant Treasurers shall perform such duties and possess such powers as the Board, the Chief Executive Officer or the Treasurer may from time to time prescribe. In the event of the absence, inability or refusal to act of the Treasurer, the Assistant Treasurer (or if there shall be more than one, the Assistant Treasurers in the order determined by the Board) shall perform the duties and exercise the powers of the Treasurer.</w:t>
      </w:r>
    </w:p>
    <w:p>
      <w:pPr>
        <w:spacing w:after="0" w:line="170"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IV.04. </w:t>
      </w:r>
      <w:r>
        <w:rPr>
          <w:rFonts w:ascii="Times New Roman" w:cs="Times New Roman" w:eastAsia="Times New Roman" w:hAnsi="Times New Roman"/>
          <w:sz w:val="21"/>
          <w:szCs w:val="21"/>
          <w:u w:val="single" w:color="auto"/>
          <w:color w:val="auto"/>
        </w:rPr>
        <w:t>Secretary of the Corporation</w:t>
      </w:r>
      <w:r>
        <w:rPr>
          <w:rFonts w:ascii="Times New Roman" w:cs="Times New Roman" w:eastAsia="Times New Roman" w:hAnsi="Times New Roman"/>
          <w:sz w:val="21"/>
          <w:szCs w:val="21"/>
          <w:color w:val="auto"/>
        </w:rPr>
        <w:t>. The Board of Directors shall elect a Secretary of the Corporation to serve at the pleasure of the Board of Directors. The Secretary of the Corporation shall (a) keep minutes of all meetings of the stockholders and of the Board of Directors, (b) authenticate records of the Corporation, (c) give, or cause to be given, notice of all meetings of the stockholders and special meetings of the Board of Directors, and (d) in general, have such powers and perform such other duties as may be assigned to him or her by these Bylaws, as may from time to time be assigned to him or her by the Board of Directors or the Chief Executive Officer and as may be incident to the office of Secretary of the Corporation. If the Secretary shall be unable or shall refuse to cause to be given notice of all meetings of the stockholders and special meetings of the Board of Directors, and if there be no Assistant Secretary, then the Board of Directors may choose another officer to cause such notice to be given. The Secretary shall see that all books, reports, statements certificates and other documents and records required by law to be kept or filed are properly kept or filed, as the case may be, which may be kept or filed (subject to any provision contained in the DGCL) outside the State of Delaware at such place or places as may be designated from time to time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18</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7" w:name="page78"/>
    <w:bookmarkEnd w:id="77"/>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IV.05. </w:t>
      </w:r>
      <w:r>
        <w:rPr>
          <w:rFonts w:ascii="Times New Roman" w:cs="Times New Roman" w:eastAsia="Times New Roman" w:hAnsi="Times New Roman"/>
          <w:sz w:val="21"/>
          <w:szCs w:val="21"/>
          <w:u w:val="single" w:color="auto"/>
          <w:color w:val="auto"/>
        </w:rPr>
        <w:t>Other Officers Elected by Board of Directors</w:t>
      </w:r>
      <w:r>
        <w:rPr>
          <w:rFonts w:ascii="Times New Roman" w:cs="Times New Roman" w:eastAsia="Times New Roman" w:hAnsi="Times New Roman"/>
          <w:sz w:val="21"/>
          <w:szCs w:val="21"/>
          <w:color w:val="auto"/>
        </w:rPr>
        <w:t>. At any meeting of the Board of Directors, the Board of Directors may elect a President (who may or may not be the Chief Executive Officer), a Chief Operations Officer, Vice Presidents, Assistant Secretaries or such other officers of the Corporation as the Board of Directors may deem necessary, to serve at the pleasure of the Board of Directors. Other officers elected by the Board of Directors shall have such powers and perform such duties as may be assigned to such officers by or pursuant to authorization of the Board of Directors or by the Chief Executive Officer. Any number of offices may be held by the same person.</w:t>
      </w:r>
    </w:p>
    <w:p>
      <w:pPr>
        <w:spacing w:after="0" w:line="170"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IV.06. </w:t>
      </w:r>
      <w:r>
        <w:rPr>
          <w:rFonts w:ascii="Times New Roman" w:cs="Times New Roman" w:eastAsia="Times New Roman" w:hAnsi="Times New Roman"/>
          <w:sz w:val="21"/>
          <w:szCs w:val="21"/>
          <w:u w:val="single" w:color="auto"/>
          <w:color w:val="auto"/>
        </w:rPr>
        <w:t>Term of Office</w:t>
      </w:r>
      <w:r>
        <w:rPr>
          <w:rFonts w:ascii="Times New Roman" w:cs="Times New Roman" w:eastAsia="Times New Roman" w:hAnsi="Times New Roman"/>
          <w:sz w:val="21"/>
          <w:szCs w:val="21"/>
          <w:color w:val="auto"/>
        </w:rPr>
        <w:t>. Each officer shall hold office until his or her successor shall have been duly elected and shall have qualified or until his or her death or until he or she shall resign, but, subject to the requirements of the Certificate of Incorporation, any officer may be removed pursuant to the provisions set forth in Section 4.07.</w:t>
      </w:r>
    </w:p>
    <w:p>
      <w:pPr>
        <w:spacing w:after="0" w:line="166" w:lineRule="exact"/>
        <w:rPr>
          <w:sz w:val="20"/>
          <w:szCs w:val="20"/>
          <w:color w:val="auto"/>
        </w:rPr>
      </w:pPr>
    </w:p>
    <w:p>
      <w:pPr>
        <w:jc w:val="both"/>
        <w:ind w:firstLine="1127"/>
        <w:spacing w:after="0" w:line="252" w:lineRule="auto"/>
        <w:rPr>
          <w:sz w:val="20"/>
          <w:szCs w:val="20"/>
          <w:color w:val="auto"/>
        </w:rPr>
      </w:pPr>
      <w:r>
        <w:rPr>
          <w:rFonts w:ascii="Times New Roman" w:cs="Times New Roman" w:eastAsia="Times New Roman" w:hAnsi="Times New Roman"/>
          <w:sz w:val="21"/>
          <w:szCs w:val="21"/>
          <w:color w:val="auto"/>
        </w:rPr>
        <w:t xml:space="preserve">Section IV.07. </w:t>
      </w:r>
      <w:r>
        <w:rPr>
          <w:rFonts w:ascii="Times New Roman" w:cs="Times New Roman" w:eastAsia="Times New Roman" w:hAnsi="Times New Roman"/>
          <w:sz w:val="21"/>
          <w:szCs w:val="21"/>
          <w:u w:val="single" w:color="auto"/>
          <w:color w:val="auto"/>
        </w:rPr>
        <w:t>Removal and Resignation; Vacancies</w:t>
      </w:r>
      <w:r>
        <w:rPr>
          <w:rFonts w:ascii="Times New Roman" w:cs="Times New Roman" w:eastAsia="Times New Roman" w:hAnsi="Times New Roman"/>
          <w:sz w:val="21"/>
          <w:szCs w:val="21"/>
          <w:color w:val="auto"/>
        </w:rPr>
        <w:t>. Any officer may be removed for or without cause at any time by the Board of Directors. Any officer may resign at any time by delivering a resignation in writing or by electronic transmission, signed or given by such officer, to the Board of Directors, the Chief Executive Officer or the Secretary. Unless otherwise specified therein, such resignation shall take effect upon delivery. Any vacancy occurring in any office of the Corporation by death, resignation, removal or otherwise, shall be filled by or pursuant to authorization of the Board of Directors.</w:t>
      </w:r>
    </w:p>
    <w:p>
      <w:pPr>
        <w:spacing w:after="0" w:line="168" w:lineRule="exact"/>
        <w:rPr>
          <w:sz w:val="20"/>
          <w:szCs w:val="20"/>
          <w:color w:val="auto"/>
        </w:rPr>
      </w:pPr>
    </w:p>
    <w:p>
      <w:pPr>
        <w:jc w:val="both"/>
        <w:ind w:firstLine="1127"/>
        <w:spacing w:after="0" w:line="261" w:lineRule="auto"/>
        <w:rPr>
          <w:sz w:val="20"/>
          <w:szCs w:val="20"/>
          <w:color w:val="auto"/>
        </w:rPr>
      </w:pPr>
      <w:r>
        <w:rPr>
          <w:rFonts w:ascii="Times New Roman" w:cs="Times New Roman" w:eastAsia="Times New Roman" w:hAnsi="Times New Roman"/>
          <w:sz w:val="21"/>
          <w:szCs w:val="21"/>
          <w:color w:val="auto"/>
        </w:rPr>
        <w:t xml:space="preserve">Section IV.08. </w:t>
      </w:r>
      <w:r>
        <w:rPr>
          <w:rFonts w:ascii="Times New Roman" w:cs="Times New Roman" w:eastAsia="Times New Roman" w:hAnsi="Times New Roman"/>
          <w:sz w:val="21"/>
          <w:szCs w:val="21"/>
          <w:u w:val="single" w:color="auto"/>
          <w:color w:val="auto"/>
        </w:rPr>
        <w:t>Authority and Duties of Officers</w:t>
      </w:r>
      <w:r>
        <w:rPr>
          <w:rFonts w:ascii="Times New Roman" w:cs="Times New Roman" w:eastAsia="Times New Roman" w:hAnsi="Times New Roman"/>
          <w:sz w:val="21"/>
          <w:szCs w:val="21"/>
          <w:color w:val="auto"/>
        </w:rPr>
        <w:t>. The officers of the Corporation shall have such authority and shall exercise such powers and perform such duties as may be specified in these Bylaws or pursuant to authorization of the Board of Directors, or which generally pertain to such officer’s title and each officer shall exercise such powers and perform such duties as may be required by law.</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CAPITAL STOCK</w:t>
      </w:r>
    </w:p>
    <w:p>
      <w:pPr>
        <w:spacing w:after="0" w:line="219" w:lineRule="exact"/>
        <w:rPr>
          <w:sz w:val="20"/>
          <w:szCs w:val="20"/>
          <w:color w:val="auto"/>
        </w:rPr>
      </w:pPr>
    </w:p>
    <w:p>
      <w:pPr>
        <w:jc w:val="both"/>
        <w:ind w:firstLine="1127"/>
        <w:spacing w:after="0" w:line="256" w:lineRule="auto"/>
        <w:rPr>
          <w:sz w:val="20"/>
          <w:szCs w:val="20"/>
          <w:color w:val="auto"/>
        </w:rPr>
      </w:pPr>
      <w:r>
        <w:rPr>
          <w:rFonts w:ascii="Times New Roman" w:cs="Times New Roman" w:eastAsia="Times New Roman" w:hAnsi="Times New Roman"/>
          <w:sz w:val="21"/>
          <w:szCs w:val="21"/>
          <w:color w:val="auto"/>
        </w:rPr>
        <w:t xml:space="preserve">Section V.01. </w:t>
      </w:r>
      <w:r>
        <w:rPr>
          <w:rFonts w:ascii="Times New Roman" w:cs="Times New Roman" w:eastAsia="Times New Roman" w:hAnsi="Times New Roman"/>
          <w:sz w:val="21"/>
          <w:szCs w:val="21"/>
          <w:u w:val="single" w:color="auto"/>
          <w:color w:val="auto"/>
        </w:rPr>
        <w:t>Certificates of Stock</w:t>
      </w:r>
      <w:r>
        <w:rPr>
          <w:rFonts w:ascii="Times New Roman" w:cs="Times New Roman" w:eastAsia="Times New Roman" w:hAnsi="Times New Roman"/>
          <w:sz w:val="21"/>
          <w:szCs w:val="21"/>
          <w:color w:val="auto"/>
        </w:rPr>
        <w:t>. The Board of Directors may authorize that some or all of the shares of any or all of the Corporation’s classes or series of stock be evidenced by a certificate or certificates of stock. The Board of Directors may also authorize the issue of some or all of the shares of any or all of the Corporation’s classes or series of stock without certificates. The rights and obligations of stockholders with the same class and/or series of stock shall be identical whether or not their shares are represented by certificates.</w:t>
      </w:r>
    </w:p>
    <w:p>
      <w:pPr>
        <w:spacing w:after="0" w:line="162" w:lineRule="exact"/>
        <w:rPr>
          <w:sz w:val="20"/>
          <w:szCs w:val="20"/>
          <w:color w:val="auto"/>
        </w:rPr>
      </w:pPr>
    </w:p>
    <w:p>
      <w:pPr>
        <w:jc w:val="both"/>
        <w:ind w:firstLine="1296"/>
        <w:spacing w:after="0" w:line="252" w:lineRule="auto"/>
        <w:tabs>
          <w:tab w:leader="none" w:pos="192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Shares with Certificates</w:t>
      </w:r>
      <w:r>
        <w:rPr>
          <w:rFonts w:ascii="Times New Roman" w:cs="Times New Roman" w:eastAsia="Times New Roman" w:hAnsi="Times New Roman"/>
          <w:sz w:val="21"/>
          <w:szCs w:val="21"/>
          <w:color w:val="auto"/>
        </w:rPr>
        <w:t>. If the Board of Directors chooses to issue shares of stock evidenced by a certificate or certificates, each individual certificate shall include the following on its face: (i) the Corporation’s name, (ii) the fact that the Corporation is organized under the laws of Delaware, (iii) the name of the person to whom the certificate is issued, (iv) the number of shares represented thereby, (v) the class of shares and the designation of the series, if any, which the certificate represents, and (vi) such other information as applicable law may require or as may be lawful. If the Corporation is authorized to issue different classes of shares or different series within a class, the designations, relative rights, preferences and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19</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8" w:name="page79"/>
    <w:bookmarkEnd w:id="78"/>
    <w:p>
      <w:pPr>
        <w:jc w:val="both"/>
        <w:spacing w:after="0" w:line="256" w:lineRule="auto"/>
        <w:rPr>
          <w:sz w:val="20"/>
          <w:szCs w:val="20"/>
          <w:color w:val="auto"/>
        </w:rPr>
      </w:pPr>
      <w:r>
        <w:rPr>
          <w:rFonts w:ascii="Times New Roman" w:cs="Times New Roman" w:eastAsia="Times New Roman" w:hAnsi="Times New Roman"/>
          <w:sz w:val="21"/>
          <w:szCs w:val="21"/>
          <w:color w:val="auto"/>
        </w:rPr>
        <w:t>determined for each class or series (and the authority of the Board of Directors to determine variations for future series) shall be summarized on the front or back of each certificate. Alternatively, each certificate shall state on its front or back that the Corporation will furnish the stockholder this information in writing, without charge, upon request. Each certificate of stock issued by the Corporation shall be signed by any two officers of the Corporation. If the person who signed a certificate no longer holds office when the certificate is issued, the certificate is nonetheless valid.</w:t>
      </w:r>
    </w:p>
    <w:p>
      <w:pPr>
        <w:spacing w:after="0" w:line="162" w:lineRule="exact"/>
        <w:rPr>
          <w:sz w:val="20"/>
          <w:szCs w:val="20"/>
          <w:color w:val="auto"/>
        </w:rPr>
      </w:pPr>
    </w:p>
    <w:p>
      <w:pPr>
        <w:jc w:val="both"/>
        <w:ind w:firstLine="1296"/>
        <w:spacing w:after="0" w:line="253" w:lineRule="auto"/>
        <w:tabs>
          <w:tab w:leader="none" w:pos="192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Shares without Certificates</w:t>
      </w:r>
      <w:r>
        <w:rPr>
          <w:rFonts w:ascii="Times New Roman" w:cs="Times New Roman" w:eastAsia="Times New Roman" w:hAnsi="Times New Roman"/>
          <w:sz w:val="21"/>
          <w:szCs w:val="21"/>
          <w:color w:val="auto"/>
        </w:rPr>
        <w:t>. If the Board of Directors chooses to issue shares of stock without certificates, the Corporation, shall, within a reasonable time after the issue or transfer of shares without certificates, send the stockholder a written notice containing the information required to be set forth or stated on certificates pursuant to the laws of the DGCL.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200" w:lineRule="exact"/>
        <w:rPr>
          <w:sz w:val="20"/>
          <w:szCs w:val="20"/>
          <w:color w:val="auto"/>
        </w:rPr>
      </w:pPr>
    </w:p>
    <w:p>
      <w:pPr>
        <w:spacing w:after="0" w:line="218" w:lineRule="exact"/>
        <w:rPr>
          <w:sz w:val="20"/>
          <w:szCs w:val="20"/>
          <w:color w:val="auto"/>
        </w:rPr>
      </w:pPr>
    </w:p>
    <w:p>
      <w:pPr>
        <w:jc w:val="both"/>
        <w:ind w:firstLine="1127"/>
        <w:spacing w:after="0" w:line="256" w:lineRule="auto"/>
        <w:rPr>
          <w:sz w:val="20"/>
          <w:szCs w:val="20"/>
          <w:color w:val="auto"/>
        </w:rPr>
      </w:pPr>
      <w:r>
        <w:rPr>
          <w:rFonts w:ascii="Times New Roman" w:cs="Times New Roman" w:eastAsia="Times New Roman" w:hAnsi="Times New Roman"/>
          <w:sz w:val="21"/>
          <w:szCs w:val="21"/>
          <w:color w:val="auto"/>
        </w:rPr>
        <w:t xml:space="preserve">Section V.02. </w:t>
      </w:r>
      <w:r>
        <w:rPr>
          <w:rFonts w:ascii="Times New Roman" w:cs="Times New Roman" w:eastAsia="Times New Roman" w:hAnsi="Times New Roman"/>
          <w:sz w:val="21"/>
          <w:szCs w:val="21"/>
          <w:u w:val="single" w:color="auto"/>
          <w:color w:val="auto"/>
        </w:rPr>
        <w:t>Signatures</w:t>
      </w:r>
      <w:r>
        <w:rPr>
          <w:rFonts w:ascii="Times New Roman" w:cs="Times New Roman" w:eastAsia="Times New Roman" w:hAnsi="Times New Roman"/>
          <w:sz w:val="21"/>
          <w:szCs w:val="21"/>
          <w:color w:val="auto"/>
        </w:rPr>
        <w:t>. All signatures on the certificate referred to in Section 5.01 of these Bylaws may be in engraved or printed form, to the extent permitted by law. In case any officer, transfer agent or registrar who has signed, or whose engraved or printed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62"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V.03. </w:t>
      </w:r>
      <w:r>
        <w:rPr>
          <w:rFonts w:ascii="Times New Roman" w:cs="Times New Roman" w:eastAsia="Times New Roman" w:hAnsi="Times New Roman"/>
          <w:sz w:val="21"/>
          <w:szCs w:val="21"/>
          <w:u w:val="single" w:color="auto"/>
          <w:color w:val="auto"/>
        </w:rPr>
        <w:t>Lost, Stolen or Destroyed Certificates</w:t>
      </w:r>
      <w:r>
        <w:rPr>
          <w:rFonts w:ascii="Times New Roman" w:cs="Times New Roman" w:eastAsia="Times New Roman" w:hAnsi="Times New Roman"/>
          <w:sz w:val="21"/>
          <w:szCs w:val="21"/>
          <w:color w:val="auto"/>
        </w:rPr>
        <w:t>. Except as provided in this Section 5.03, no new share certificates for shares shall be issued to replace a previously issued certificate unless the latter is surrendered to the Corporation and cancelled at the same time. The Corporation may direct that a new certificate be issued in place of any certificate theretofore issued by the Corporation alleged to have been lost, stolen or destroyed, upon delivery to the Corporation of an affidavit (or other document acceptable to the Corporation) of the owner or owners of such certificate, setting forth such allegation. The Corporation may require the owner of such lost, stolen or destroyed certificate, or his or her legal representative, to give the Corporation a bond (or other security, including an indemnification agreement) sufficient to indemnify it against any claim that may be made against it on account of the alleged loss, theft or destruction of any such certificate or the issuance of any such new certificate.</w:t>
      </w:r>
    </w:p>
    <w:p>
      <w:pPr>
        <w:spacing w:after="0" w:line="167"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V.04. </w:t>
      </w:r>
      <w:r>
        <w:rPr>
          <w:rFonts w:ascii="Times New Roman" w:cs="Times New Roman" w:eastAsia="Times New Roman" w:hAnsi="Times New Roman"/>
          <w:sz w:val="21"/>
          <w:szCs w:val="21"/>
          <w:u w:val="single" w:color="auto"/>
          <w:color w:val="auto"/>
        </w:rPr>
        <w:t>Transfer of Stock</w:t>
      </w:r>
      <w:r>
        <w:rPr>
          <w:rFonts w:ascii="Times New Roman" w:cs="Times New Roman" w:eastAsia="Times New Roman" w:hAnsi="Times New Roman"/>
          <w:sz w:val="21"/>
          <w:szCs w:val="21"/>
          <w:color w:val="auto"/>
        </w:rPr>
        <w:t>. 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 stated on certificates pursuant to the laws of the DGCL. Subject to the provisions of the Certificate of Incorporation and these Bylaws, the Board of Directors may prescribe such additional rules and regulations as it may deem appropriate relating to the issue, transfer and registration of shares of the Corporation. Except as otherwise required by law, no transfer of stock shall be valid against the Corporation for any purpose until it shall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20</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1"/>
          <w:szCs w:val="21"/>
          <w:color w:val="auto"/>
        </w:rPr>
        <w:t>entered in the stock records of the Corporation by an entry showing the names of the persons from and to whom it was transferred.</w:t>
      </w:r>
    </w:p>
    <w:p>
      <w:pPr>
        <w:spacing w:after="0" w:line="215" w:lineRule="exact"/>
        <w:rPr>
          <w:sz w:val="20"/>
          <w:szCs w:val="20"/>
          <w:color w:val="auto"/>
        </w:rPr>
      </w:pPr>
    </w:p>
    <w:p>
      <w:pPr>
        <w:ind w:left="11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V.05.</w:t>
      </w:r>
      <w:r>
        <w:rPr>
          <w:sz w:val="20"/>
          <w:szCs w:val="20"/>
          <w:color w:val="auto"/>
        </w:rPr>
        <w:tab/>
      </w:r>
      <w:r>
        <w:rPr>
          <w:rFonts w:ascii="Times New Roman" w:cs="Times New Roman" w:eastAsia="Times New Roman" w:hAnsi="Times New Roman"/>
          <w:sz w:val="21"/>
          <w:szCs w:val="21"/>
          <w:u w:val="single" w:color="auto"/>
          <w:color w:val="auto"/>
        </w:rPr>
        <w:t>Record Date</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ind w:right="60" w:firstLine="1296"/>
        <w:spacing w:after="0" w:line="247" w:lineRule="auto"/>
        <w:tabs>
          <w:tab w:leader="none" w:pos="15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to determine the stockholders entitled to notice of any meeting of stockholders or any adjournment thereof, the Board of Directors may fix, in advance, a record date, which record date shall not precede the date on which the resolution fixing the record date is adopted by the Board of Directors, and which shall not be more than sixty (60) nor fewer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the Board of Directors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1" w:lineRule="exact"/>
        <w:rPr>
          <w:rFonts w:ascii="Times New Roman" w:cs="Times New Roman" w:eastAsia="Times New Roman" w:hAnsi="Times New Roman"/>
          <w:sz w:val="21"/>
          <w:szCs w:val="21"/>
          <w:color w:val="auto"/>
        </w:rPr>
      </w:pPr>
    </w:p>
    <w:p>
      <w:pPr>
        <w:jc w:val="both"/>
        <w:ind w:firstLine="1296"/>
        <w:spacing w:after="0" w:line="252" w:lineRule="auto"/>
        <w:tabs>
          <w:tab w:leader="none" w:pos="184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of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69" w:lineRule="exact"/>
        <w:rPr>
          <w:rFonts w:ascii="Times New Roman" w:cs="Times New Roman" w:eastAsia="Times New Roman" w:hAnsi="Times New Roman"/>
          <w:sz w:val="21"/>
          <w:szCs w:val="21"/>
          <w:color w:val="auto"/>
        </w:rPr>
      </w:pPr>
    </w:p>
    <w:p>
      <w:pPr>
        <w:jc w:val="both"/>
        <w:ind w:firstLine="1296"/>
        <w:spacing w:after="0" w:line="250" w:lineRule="auto"/>
        <w:tabs>
          <w:tab w:leader="none" w:pos="15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restricted by the Certificate of Incorporation, in order that the Corporation may determine the stockholders entitled to express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without a meeting is fixed by the Board of Directors, (i) when no prior action of the Board of Directors is required by law, the record date for such purpose shall be the first date on which a signed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21</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0" w:name="page81"/>
    <w:bookmarkEnd w:id="80"/>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V.06. </w:t>
      </w:r>
      <w:r>
        <w:rPr>
          <w:rFonts w:ascii="Times New Roman" w:cs="Times New Roman" w:eastAsia="Times New Roman" w:hAnsi="Times New Roman"/>
          <w:sz w:val="21"/>
          <w:szCs w:val="21"/>
          <w:u w:val="single" w:color="auto"/>
          <w:color w:val="auto"/>
        </w:rPr>
        <w:t>Registered Stockholders</w:t>
      </w:r>
      <w:r>
        <w:rPr>
          <w:rFonts w:ascii="Times New Roman" w:cs="Times New Roman" w:eastAsia="Times New Roman" w:hAnsi="Times New Roman"/>
          <w:sz w:val="21"/>
          <w:szCs w:val="21"/>
          <w:color w:val="auto"/>
        </w:rPr>
        <w:t>. The Corporation may treat the registered owner as the person exclusively entitled to receive dividends and other distributions, to vote, to receive notice and otherwise to exercise all the rights and powers of the owner of the shares represented by such certificate.</w:t>
      </w:r>
    </w:p>
    <w:p>
      <w:pPr>
        <w:spacing w:after="0" w:line="153"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V.07. </w:t>
      </w:r>
      <w:r>
        <w:rPr>
          <w:rFonts w:ascii="Times New Roman" w:cs="Times New Roman" w:eastAsia="Times New Roman" w:hAnsi="Times New Roman"/>
          <w:sz w:val="21"/>
          <w:szCs w:val="21"/>
          <w:u w:val="single" w:color="auto"/>
          <w:color w:val="auto"/>
        </w:rPr>
        <w:t>Transfer Agent and Registrar</w:t>
      </w:r>
      <w:r>
        <w:rPr>
          <w:rFonts w:ascii="Times New Roman" w:cs="Times New Roman" w:eastAsia="Times New Roman" w:hAnsi="Times New Roman"/>
          <w:sz w:val="21"/>
          <w:szCs w:val="21"/>
          <w:color w:val="auto"/>
        </w:rPr>
        <w:t>. The Board of Directors may appoint one (1) or more transfer agents and one (1) or more registrars, and may require all certificates representing shares to bear the signature of any such transfer agents or registrars.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INDEMNIFICATION</w:t>
      </w:r>
    </w:p>
    <w:p>
      <w:pPr>
        <w:spacing w:after="0" w:line="232"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VI.01. </w:t>
      </w:r>
      <w:r>
        <w:rPr>
          <w:rFonts w:ascii="Times New Roman" w:cs="Times New Roman" w:eastAsia="Times New Roman" w:hAnsi="Times New Roman"/>
          <w:sz w:val="21"/>
          <w:szCs w:val="21"/>
          <w:u w:val="single" w:color="auto"/>
          <w:color w:val="auto"/>
        </w:rPr>
        <w:t>Indemnification and Advancement of Expenses</w:t>
      </w:r>
      <w:r>
        <w:rPr>
          <w:rFonts w:ascii="Times New Roman" w:cs="Times New Roman" w:eastAsia="Times New Roman" w:hAnsi="Times New Roman"/>
          <w:sz w:val="21"/>
          <w:szCs w:val="21"/>
          <w:color w:val="auto"/>
        </w:rPr>
        <w:t>. The Corporation shall indemnify and provide advancement to any Indemnitee (as defined below) to the fullest extent permitted by law, as such may be amended from time to time. The rights to indemnification and advancement conferred in this Section shall be contract rights. In furtherance of the foregoing indemnification and advancement obligations, and without limiting the generality thereof:</w:t>
      </w:r>
    </w:p>
    <w:p>
      <w:pPr>
        <w:spacing w:after="0" w:line="160" w:lineRule="exact"/>
        <w:rPr>
          <w:sz w:val="20"/>
          <w:szCs w:val="20"/>
          <w:color w:val="auto"/>
        </w:rPr>
      </w:pPr>
    </w:p>
    <w:p>
      <w:pPr>
        <w:jc w:val="both"/>
        <w:ind w:firstLine="1296"/>
        <w:spacing w:after="0" w:line="248" w:lineRule="auto"/>
        <w:tabs>
          <w:tab w:leader="none" w:pos="192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Proceedings Other Than Proceedings by or in the Right of the Corporation</w:t>
      </w:r>
      <w:r>
        <w:rPr>
          <w:rFonts w:ascii="Times New Roman" w:cs="Times New Roman" w:eastAsia="Times New Roman" w:hAnsi="Times New Roman"/>
          <w:sz w:val="21"/>
          <w:szCs w:val="21"/>
          <w:color w:val="auto"/>
        </w:rPr>
        <w:t xml:space="preserve">. Any Indemnitee shall be entitled to the rights of indemnification and advancement provided in this Section 6.01(a) if, by reason of his or her Corporate Status (as defined below), Indemnitee is, or is threatened to be made, a party to or participant in any Proceeding other than a Proceeding by or in the right of the Corporation. Pursuant to this Section 6.01(a), any Indemnitee shall be indemnified against all Expenses, judgments, penalties, fines and amounts paid in settlement actually and reasonably incurred by him or her, or on his or her behalf, in connection with such Proceeding or any claim, issue or matter therein, if Indemnitee acted in good faith and in a manner Indemnitee reasonably believed to be in or not opposed to the best interests of the Corporation, and with respect to any criminal Proceeding, had no reasonable cause to believe Indemnitee’s conduct was unlawful. The termination of any Proceeding by judgment, order, settlement, conviction, or upon a plea of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Indemnitee’s conduct was unlawful.</w:t>
      </w:r>
    </w:p>
    <w:p>
      <w:pPr>
        <w:spacing w:after="0" w:line="200" w:lineRule="exact"/>
        <w:rPr>
          <w:rFonts w:ascii="Times New Roman" w:cs="Times New Roman" w:eastAsia="Times New Roman" w:hAnsi="Times New Roman"/>
          <w:sz w:val="21"/>
          <w:szCs w:val="21"/>
          <w:color w:val="auto"/>
        </w:rPr>
      </w:pPr>
    </w:p>
    <w:p>
      <w:pPr>
        <w:spacing w:after="0" w:line="235" w:lineRule="exact"/>
        <w:rPr>
          <w:rFonts w:ascii="Times New Roman" w:cs="Times New Roman" w:eastAsia="Times New Roman" w:hAnsi="Times New Roman"/>
          <w:sz w:val="21"/>
          <w:szCs w:val="21"/>
          <w:color w:val="auto"/>
        </w:rPr>
      </w:pPr>
    </w:p>
    <w:p>
      <w:pPr>
        <w:jc w:val="both"/>
        <w:ind w:firstLine="1296"/>
        <w:spacing w:after="0" w:line="251" w:lineRule="auto"/>
        <w:tabs>
          <w:tab w:leader="none" w:pos="192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Proceedings by or in the Right of the Corporation</w:t>
      </w:r>
      <w:r>
        <w:rPr>
          <w:rFonts w:ascii="Times New Roman" w:cs="Times New Roman" w:eastAsia="Times New Roman" w:hAnsi="Times New Roman"/>
          <w:sz w:val="21"/>
          <w:szCs w:val="21"/>
          <w:color w:val="auto"/>
        </w:rPr>
        <w:t xml:space="preserve">. Any Indemnitee shall be entitled to the rights of indemnification and advancement provided in this Section 6.01(b) if, by reason of his or her Corporate Status, Indemnitee is, or is threatened to be made, a party to or participant in any Proceeding brought by or in the right of the Corporation. Pursuant to this Section 6.01(b), any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if applicable law so provides, no indemnification against such Expenses shall be made in respect of any claim, issue or matter in such Proceeding as to which Indemnitee shall have been finally adjudged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22</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1" w:name="page82"/>
    <w:bookmarkEnd w:id="81"/>
    <w:p>
      <w:pPr>
        <w:spacing w:after="0" w:line="277" w:lineRule="auto"/>
        <w:rPr>
          <w:sz w:val="20"/>
          <w:szCs w:val="20"/>
          <w:color w:val="auto"/>
        </w:rPr>
      </w:pPr>
      <w:r>
        <w:rPr>
          <w:rFonts w:ascii="Times New Roman" w:cs="Times New Roman" w:eastAsia="Times New Roman" w:hAnsi="Times New Roman"/>
          <w:sz w:val="21"/>
          <w:szCs w:val="21"/>
          <w:color w:val="auto"/>
        </w:rPr>
        <w:t>liable to the Corporation unless and to the extent that the Court of Chancery of the State of Delaware or the court in which such Proceeding was brought shall determine that such indemnification may be made.</w:t>
      </w:r>
    </w:p>
    <w:p>
      <w:pPr>
        <w:spacing w:after="0" w:line="154" w:lineRule="exact"/>
        <w:rPr>
          <w:sz w:val="20"/>
          <w:szCs w:val="20"/>
          <w:color w:val="auto"/>
        </w:rPr>
      </w:pPr>
    </w:p>
    <w:p>
      <w:pPr>
        <w:jc w:val="both"/>
        <w:ind w:firstLine="1296"/>
        <w:spacing w:after="0" w:line="247" w:lineRule="auto"/>
        <w:tabs>
          <w:tab w:leader="none" w:pos="1929"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Sources</w:t>
      </w:r>
      <w:r>
        <w:rPr>
          <w:rFonts w:ascii="Times New Roman" w:cs="Times New Roman" w:eastAsia="Times New Roman" w:hAnsi="Times New Roman"/>
          <w:sz w:val="21"/>
          <w:szCs w:val="21"/>
          <w:color w:val="auto"/>
        </w:rPr>
        <w:t>. The Corporation hereby acknowledges that Indemnitees may have certain rights to indemnification, advancement of expenses and/or insurance provided by sources other than the Corporation (“</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Indemnitors</w:t>
      </w:r>
      <w:r>
        <w:rPr>
          <w:rFonts w:ascii="Times New Roman" w:cs="Times New Roman" w:eastAsia="Times New Roman" w:hAnsi="Times New Roman"/>
          <w:sz w:val="21"/>
          <w:szCs w:val="21"/>
          <w:color w:val="auto"/>
        </w:rPr>
        <w:t>”). The Corporation hereby agrees (i) that it is the indemnitor of first resort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its obligations to the Indemnitees are primary and any obligation of the Third Party Indemnitors to advance expenses or to provide indemnification for the same expenses or liabilities incurred by the Indemnitees are secondary), (ii) that it shall be required to advance the full amount of Expenses incurred by the Indemnitees and shall be liable for the full amount of all Expenses, judgments, penalties, fines and amounts paid in settlement by reason of such Indemnitee’s Corporate Status to the extent legally permitted and as required by the terms of this paragraph and the Bylaws of the Corporation from time to time (or any other agreement between the Corporation and the Indemnitees), without regard to any rights the Indemnitees may have against the Third Party Indemnitors, and (iii) that it irrevocably waives, relinquishes and releases the Third Party Indemnitors from any and all claims against the Third Party Indemnitors for contribution, subrogation or any other recovery of any kind in respect thereof. The Corporation further agrees that no advancement or payment by the Third Party Indemnitors on behalf of the Indemnitees with respect to any claim for which the Indemnitees have sought indemnification from the Corporation shall affect the foregoing and the Third Party Indemnitors shall have a right of contribution and/or to be subrogated to the extent of such advancement or payment to all of the rights of recovery of the Indemnitees against the Corporation. The Corporation and the Indemnitees agree that the Third Party Indemnitors are express third party beneficiaries of the terms of this paragraph.</w:t>
      </w:r>
    </w:p>
    <w:p>
      <w:pPr>
        <w:spacing w:after="0" w:line="184" w:lineRule="exact"/>
        <w:rPr>
          <w:sz w:val="20"/>
          <w:szCs w:val="20"/>
          <w:color w:val="auto"/>
        </w:rPr>
      </w:pPr>
    </w:p>
    <w:p>
      <w:pPr>
        <w:jc w:val="both"/>
        <w:ind w:firstLine="1208"/>
        <w:spacing w:after="0" w:line="250" w:lineRule="auto"/>
        <w:rPr>
          <w:sz w:val="20"/>
          <w:szCs w:val="20"/>
          <w:color w:val="auto"/>
        </w:rPr>
      </w:pPr>
      <w:r>
        <w:rPr>
          <w:rFonts w:ascii="Times New Roman" w:cs="Times New Roman" w:eastAsia="Times New Roman" w:hAnsi="Times New Roman"/>
          <w:sz w:val="21"/>
          <w:szCs w:val="21"/>
          <w:color w:val="auto"/>
        </w:rPr>
        <w:t xml:space="preserve">Section VI.02. </w:t>
      </w:r>
      <w:r>
        <w:rPr>
          <w:rFonts w:ascii="Times New Roman" w:cs="Times New Roman" w:eastAsia="Times New Roman" w:hAnsi="Times New Roman"/>
          <w:sz w:val="21"/>
          <w:szCs w:val="21"/>
          <w:u w:val="single" w:color="auto"/>
          <w:color w:val="auto"/>
        </w:rPr>
        <w:t>Indemnification for Expenses of a Party Who is Wholly or Partly Successful</w:t>
      </w:r>
      <w:r>
        <w:rPr>
          <w:rFonts w:ascii="Times New Roman" w:cs="Times New Roman" w:eastAsia="Times New Roman" w:hAnsi="Times New Roman"/>
          <w:sz w:val="21"/>
          <w:szCs w:val="21"/>
          <w:color w:val="auto"/>
        </w:rPr>
        <w:t>. Notwithstanding any other provision of this Article VI, to the extent that any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such Indemnitee is not wholly successful in such Proceeding but is successful, on the merits or otherwise, as to one or more but less than all claims, issues or matters in such Proceeding, the Corporation shall indemnify Indemnitee against all Expenses actually and reasonably incurred by him or her or on his or her behalf in connection with each successfully resolved claim, issue or matter. For purposes of this Section 6.02 and without limitation, the termination of any claim, issue or matter in such a Proceeding by dismissal, with or without prejudice, shall be deemed to be a successful result as to such claim, issue or matter.</w:t>
      </w:r>
    </w:p>
    <w:p>
      <w:pPr>
        <w:spacing w:after="0" w:line="200" w:lineRule="exact"/>
        <w:rPr>
          <w:sz w:val="20"/>
          <w:szCs w:val="20"/>
          <w:color w:val="auto"/>
        </w:rPr>
      </w:pPr>
    </w:p>
    <w:p>
      <w:pPr>
        <w:spacing w:after="0" w:line="220" w:lineRule="exact"/>
        <w:rPr>
          <w:sz w:val="20"/>
          <w:szCs w:val="20"/>
          <w:color w:val="auto"/>
        </w:rPr>
      </w:pPr>
    </w:p>
    <w:p>
      <w:pPr>
        <w:jc w:val="both"/>
        <w:ind w:firstLine="1208"/>
        <w:spacing w:after="0" w:line="256" w:lineRule="auto"/>
        <w:rPr>
          <w:sz w:val="20"/>
          <w:szCs w:val="20"/>
          <w:color w:val="auto"/>
        </w:rPr>
      </w:pPr>
      <w:r>
        <w:rPr>
          <w:rFonts w:ascii="Times New Roman" w:cs="Times New Roman" w:eastAsia="Times New Roman" w:hAnsi="Times New Roman"/>
          <w:sz w:val="21"/>
          <w:szCs w:val="21"/>
          <w:color w:val="auto"/>
        </w:rPr>
        <w:t xml:space="preserve">Section VI.03. </w:t>
      </w:r>
      <w:r>
        <w:rPr>
          <w:rFonts w:ascii="Times New Roman" w:cs="Times New Roman" w:eastAsia="Times New Roman" w:hAnsi="Times New Roman"/>
          <w:sz w:val="21"/>
          <w:szCs w:val="21"/>
          <w:u w:val="single" w:color="auto"/>
          <w:color w:val="auto"/>
        </w:rPr>
        <w:t>Employees and Agents</w:t>
      </w:r>
      <w:r>
        <w:rPr>
          <w:rFonts w:ascii="Times New Roman" w:cs="Times New Roman" w:eastAsia="Times New Roman" w:hAnsi="Times New Roman"/>
          <w:sz w:val="21"/>
          <w:szCs w:val="21"/>
          <w:color w:val="auto"/>
        </w:rPr>
        <w:t>. This Article VI shall not limit the right of the Corporation, to the extent and in the manner permitted by law, to indemnify and to advance expenses to persons other than Indemnitees when and as authorized by appropriate corporate action. Without limiting the generality of the foregoing, the Corporation may, to the extent authorized from time to time by the Board of Directors, provide rights to indemnification and advancement of expenses to employees and agents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23</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2" w:name="page83"/>
    <w:bookmarkEnd w:id="82"/>
    <w:p>
      <w:pPr>
        <w:jc w:val="both"/>
        <w:ind w:firstLine="1208"/>
        <w:spacing w:after="0" w:line="249" w:lineRule="auto"/>
        <w:rPr>
          <w:sz w:val="20"/>
          <w:szCs w:val="20"/>
          <w:color w:val="auto"/>
        </w:rPr>
      </w:pPr>
      <w:r>
        <w:rPr>
          <w:rFonts w:ascii="Times New Roman" w:cs="Times New Roman" w:eastAsia="Times New Roman" w:hAnsi="Times New Roman"/>
          <w:sz w:val="21"/>
          <w:szCs w:val="21"/>
          <w:color w:val="auto"/>
        </w:rPr>
        <w:t xml:space="preserve">Section VI.04. </w:t>
      </w:r>
      <w:r>
        <w:rPr>
          <w:rFonts w:ascii="Times New Roman" w:cs="Times New Roman" w:eastAsia="Times New Roman" w:hAnsi="Times New Roman"/>
          <w:sz w:val="21"/>
          <w:szCs w:val="21"/>
          <w:u w:val="single" w:color="auto"/>
          <w:color w:val="auto"/>
        </w:rPr>
        <w:t>Advancement of Expenses</w:t>
      </w:r>
      <w:r>
        <w:rPr>
          <w:rFonts w:ascii="Times New Roman" w:cs="Times New Roman" w:eastAsia="Times New Roman" w:hAnsi="Times New Roman"/>
          <w:sz w:val="21"/>
          <w:szCs w:val="21"/>
          <w:color w:val="auto"/>
        </w:rPr>
        <w:t>. Notwithstanding any other provision of this Article VI, the Corporation shall advance all Expenses incurred by or on behalf of any Indemnitee in connection with any Proceeding by reason of Indemnitee’s Corporate Status within thirty (30) days after the receipt by the Corporation of a statement or statements from Indemnitee requesting such advance or advances from time to time, whether prior to or after final disposition of such Proceeding, and regardless of such Indemnitee’s ability to repay any such amounts in the event of an ultimate determination that Indemnitee is not entitled thereto.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6.04 shall be unsecured and interest free.</w:t>
      </w:r>
    </w:p>
    <w:p>
      <w:pPr>
        <w:spacing w:after="0" w:line="188" w:lineRule="exact"/>
        <w:rPr>
          <w:sz w:val="20"/>
          <w:szCs w:val="20"/>
          <w:color w:val="auto"/>
        </w:rPr>
      </w:pPr>
    </w:p>
    <w:p>
      <w:pPr>
        <w:jc w:val="both"/>
        <w:ind w:firstLine="1208"/>
        <w:spacing w:after="0" w:line="252" w:lineRule="auto"/>
        <w:rPr>
          <w:sz w:val="20"/>
          <w:szCs w:val="20"/>
          <w:color w:val="auto"/>
        </w:rPr>
      </w:pPr>
      <w:r>
        <w:rPr>
          <w:rFonts w:ascii="Times New Roman" w:cs="Times New Roman" w:eastAsia="Times New Roman" w:hAnsi="Times New Roman"/>
          <w:sz w:val="21"/>
          <w:szCs w:val="21"/>
          <w:color w:val="auto"/>
        </w:rPr>
        <w:t xml:space="preserve">Section VI.05. </w:t>
      </w:r>
      <w:r>
        <w:rPr>
          <w:rFonts w:ascii="Times New Roman" w:cs="Times New Roman" w:eastAsia="Times New Roman" w:hAnsi="Times New Roman"/>
          <w:sz w:val="21"/>
          <w:szCs w:val="21"/>
          <w:u w:val="single" w:color="auto"/>
          <w:color w:val="auto"/>
        </w:rPr>
        <w:t>Non-Exclusivity</w:t>
      </w:r>
      <w:r>
        <w:rPr>
          <w:rFonts w:ascii="Times New Roman" w:cs="Times New Roman" w:eastAsia="Times New Roman" w:hAnsi="Times New Roman"/>
          <w:sz w:val="21"/>
          <w:szCs w:val="21"/>
          <w:color w:val="auto"/>
        </w:rPr>
        <w:t>. The rights to indemnification and to the payment of Expenses incurred in defending a Proceeding in advance of the final disposition of such Proceeding conferred in this Article VI shall not be exclusive of any other rights which any person may have or hereafter acquire under applicable law, the Certificate of Incorporation, these Bylaws, any agreement, vote of stockholders, resolution of directors or otherwise. The assertion or employment of any right or remedy in this Article VI, or otherwise, shall not prevent the concurrent assertion or employment of any other right or remedy.</w:t>
      </w:r>
    </w:p>
    <w:p>
      <w:pPr>
        <w:spacing w:after="0" w:line="168" w:lineRule="exact"/>
        <w:rPr>
          <w:sz w:val="20"/>
          <w:szCs w:val="20"/>
          <w:color w:val="auto"/>
        </w:rPr>
      </w:pPr>
    </w:p>
    <w:p>
      <w:pPr>
        <w:jc w:val="both"/>
        <w:ind w:firstLine="1208"/>
        <w:spacing w:after="0" w:line="251" w:lineRule="auto"/>
        <w:rPr>
          <w:sz w:val="20"/>
          <w:szCs w:val="20"/>
          <w:color w:val="auto"/>
        </w:rPr>
      </w:pPr>
      <w:r>
        <w:rPr>
          <w:rFonts w:ascii="Times New Roman" w:cs="Times New Roman" w:eastAsia="Times New Roman" w:hAnsi="Times New Roman"/>
          <w:sz w:val="21"/>
          <w:szCs w:val="21"/>
          <w:color w:val="auto"/>
        </w:rPr>
        <w:t xml:space="preserve">Section VI.06.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Corporation shall have the power to purchase and maintain insurance, at its expense, to the fullest extent permitted by law, as such may be amended from time to time. Without limiting the generality of the foregoing, the Corporation shall have the power to purchase and maintain insurance on behalf of any person who is or was or has agreed to become a director, officer, employee or agent of the Corporation, or who is serving, was serving, or has agreed to serve at the request of the Corporation as a director, officer, trustee, general partner, managing member, fiduciary, employee or agent of any other Enterprise, against any liability asserted against him or her and incurred by him or her or on his or her behalf in such capacity, or arising out of his or her status as such, whether or not the Corporation would have the power to indemnify him or her against such liability.</w:t>
      </w:r>
    </w:p>
    <w:p>
      <w:pPr>
        <w:spacing w:after="0" w:line="200" w:lineRule="exact"/>
        <w:rPr>
          <w:sz w:val="20"/>
          <w:szCs w:val="20"/>
          <w:color w:val="auto"/>
        </w:rPr>
      </w:pPr>
    </w:p>
    <w:p>
      <w:pPr>
        <w:spacing w:after="0" w:line="233" w:lineRule="exact"/>
        <w:rPr>
          <w:sz w:val="20"/>
          <w:szCs w:val="20"/>
          <w:color w:val="auto"/>
        </w:rPr>
      </w:pPr>
    </w:p>
    <w:p>
      <w:pPr>
        <w:jc w:val="both"/>
        <w:ind w:firstLine="1208"/>
        <w:spacing w:after="0" w:line="248" w:lineRule="auto"/>
        <w:rPr>
          <w:sz w:val="20"/>
          <w:szCs w:val="20"/>
          <w:color w:val="auto"/>
        </w:rPr>
      </w:pPr>
      <w:r>
        <w:rPr>
          <w:rFonts w:ascii="Times New Roman" w:cs="Times New Roman" w:eastAsia="Times New Roman" w:hAnsi="Times New Roman"/>
          <w:sz w:val="21"/>
          <w:szCs w:val="21"/>
          <w:color w:val="auto"/>
        </w:rPr>
        <w:t xml:space="preserve">Section VI.07. </w:t>
      </w:r>
      <w:r>
        <w:rPr>
          <w:rFonts w:ascii="Times New Roman" w:cs="Times New Roman" w:eastAsia="Times New Roman" w:hAnsi="Times New Roman"/>
          <w:sz w:val="21"/>
          <w:szCs w:val="21"/>
          <w:u w:val="single" w:color="auto"/>
          <w:color w:val="auto"/>
        </w:rPr>
        <w:t>Indemnification and Advancement</w:t>
      </w:r>
      <w:r>
        <w:rPr>
          <w:rFonts w:ascii="Times New Roman" w:cs="Times New Roman" w:eastAsia="Times New Roman" w:hAnsi="Times New Roman"/>
          <w:sz w:val="21"/>
          <w:szCs w:val="21"/>
          <w:color w:val="auto"/>
        </w:rPr>
        <w:t>. The Corporation shall indemnify, advance expenses to and hold harmless, to the fullest extent permitted by applicable law as it presently exists or may hereafter be amended, any person (Indemnitee)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her of any action (or failure to act) on his or her part while acting as a director or officer of the Corporation, or by reason of the fact that Indemnitee is or was serving at the request of the Corporation as a director, officer, trustee, general partner, managing member, fiduciary, employee or agent of any other Enterprise, in each case whether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24</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3" w:name="page84"/>
    <w:bookmarkEnd w:id="83"/>
    <w:p>
      <w:pPr>
        <w:jc w:val="both"/>
        <w:spacing w:after="0" w:line="277" w:lineRule="auto"/>
        <w:rPr>
          <w:sz w:val="20"/>
          <w:szCs w:val="20"/>
          <w:color w:val="auto"/>
        </w:rPr>
      </w:pPr>
      <w:r>
        <w:rPr>
          <w:rFonts w:ascii="Times New Roman" w:cs="Times New Roman" w:eastAsia="Times New Roman" w:hAnsi="Times New Roman"/>
          <w:sz w:val="21"/>
          <w:szCs w:val="21"/>
          <w:color w:val="auto"/>
        </w:rPr>
        <w:t>not serving in such capacity at the time any liability or expense is incurred for which indemnification, reimbursement, or advancement of expenses can be provided under this Section 6.07.</w:t>
      </w:r>
    </w:p>
    <w:p>
      <w:pPr>
        <w:spacing w:after="0" w:line="154" w:lineRule="exact"/>
        <w:rPr>
          <w:sz w:val="20"/>
          <w:szCs w:val="20"/>
          <w:color w:val="auto"/>
        </w:rPr>
      </w:pPr>
    </w:p>
    <w:p>
      <w:pPr>
        <w:jc w:val="both"/>
        <w:ind w:firstLine="1208"/>
        <w:spacing w:after="0" w:line="265" w:lineRule="auto"/>
        <w:rPr>
          <w:sz w:val="20"/>
          <w:szCs w:val="20"/>
          <w:color w:val="auto"/>
        </w:rPr>
      </w:pPr>
      <w:r>
        <w:rPr>
          <w:rFonts w:ascii="Times New Roman" w:cs="Times New Roman" w:eastAsia="Times New Roman" w:hAnsi="Times New Roman"/>
          <w:sz w:val="21"/>
          <w:szCs w:val="21"/>
          <w:color w:val="auto"/>
        </w:rPr>
        <w:t xml:space="preserve">Section VI.08. </w:t>
      </w:r>
      <w:r>
        <w:rPr>
          <w:rFonts w:ascii="Times New Roman" w:cs="Times New Roman" w:eastAsia="Times New Roman" w:hAnsi="Times New Roman"/>
          <w:sz w:val="21"/>
          <w:szCs w:val="21"/>
          <w:u w:val="single" w:color="auto"/>
          <w:color w:val="auto"/>
        </w:rPr>
        <w:t>Exception to Rights of Indemnification and Advancement</w:t>
      </w:r>
      <w:r>
        <w:rPr>
          <w:rFonts w:ascii="Times New Roman" w:cs="Times New Roman" w:eastAsia="Times New Roman" w:hAnsi="Times New Roman"/>
          <w:sz w:val="21"/>
          <w:szCs w:val="21"/>
          <w:color w:val="auto"/>
        </w:rPr>
        <w:t>. Notwithstanding any provision in this Article VI, the Corporation shall not be obligated by this Article VI to make any indemnity or advancement in connection with any claim made against an Indemnitee:</w:t>
      </w:r>
    </w:p>
    <w:p>
      <w:pPr>
        <w:spacing w:after="0" w:line="153" w:lineRule="exact"/>
        <w:rPr>
          <w:sz w:val="20"/>
          <w:szCs w:val="20"/>
          <w:color w:val="auto"/>
        </w:rPr>
      </w:pPr>
    </w:p>
    <w:p>
      <w:pPr>
        <w:jc w:val="both"/>
        <w:ind w:firstLine="1296"/>
        <w:spacing w:after="0" w:line="265" w:lineRule="auto"/>
        <w:tabs>
          <w:tab w:leader="none" w:pos="192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6.01(c), for which payment has actually been made to or on behalf of such Indemnitee under any insurance policy or other indemnity provision, except with respect to any excess beyond the amount paid under any insurance policy or other indemnity provision;</w:t>
      </w:r>
    </w:p>
    <w:p>
      <w:pPr>
        <w:spacing w:after="0" w:line="152" w:lineRule="exact"/>
        <w:rPr>
          <w:rFonts w:ascii="Times New Roman" w:cs="Times New Roman" w:eastAsia="Times New Roman" w:hAnsi="Times New Roman"/>
          <w:sz w:val="21"/>
          <w:szCs w:val="21"/>
          <w:color w:val="auto"/>
        </w:rPr>
      </w:pPr>
    </w:p>
    <w:p>
      <w:pPr>
        <w:jc w:val="both"/>
        <w:ind w:firstLine="1296"/>
        <w:spacing w:after="0" w:line="265" w:lineRule="auto"/>
        <w:tabs>
          <w:tab w:leader="none" w:pos="192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 accounting of profits made from the purchase and sale (or sale and purchase) by such Indemnitee of securities of the Corporation within the meaning of Section 16(b) of the Exchange Act or similar provisions of state statutory law or common law;</w:t>
      </w:r>
    </w:p>
    <w:p>
      <w:pPr>
        <w:spacing w:after="0" w:line="152" w:lineRule="exact"/>
        <w:rPr>
          <w:rFonts w:ascii="Times New Roman" w:cs="Times New Roman" w:eastAsia="Times New Roman" w:hAnsi="Times New Roman"/>
          <w:sz w:val="21"/>
          <w:szCs w:val="21"/>
          <w:color w:val="auto"/>
        </w:rPr>
      </w:pPr>
    </w:p>
    <w:p>
      <w:pPr>
        <w:jc w:val="both"/>
        <w:ind w:firstLine="1296"/>
        <w:spacing w:after="0" w:line="265" w:lineRule="auto"/>
        <w:tabs>
          <w:tab w:leader="none" w:pos="1929"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reimbursement to the Corporation of any bonus or other incentive-based or equity based compensation or of any profits realized by Indemnitee from the sale of securities of the Corporation in each case as required under the Exchange Act; or</w:t>
      </w:r>
    </w:p>
    <w:p>
      <w:pPr>
        <w:spacing w:after="0" w:line="152" w:lineRule="exact"/>
        <w:rPr>
          <w:rFonts w:ascii="Times New Roman" w:cs="Times New Roman" w:eastAsia="Times New Roman" w:hAnsi="Times New Roman"/>
          <w:sz w:val="21"/>
          <w:szCs w:val="21"/>
          <w:color w:val="auto"/>
        </w:rPr>
      </w:pPr>
    </w:p>
    <w:p>
      <w:pPr>
        <w:jc w:val="both"/>
        <w:ind w:firstLine="1296"/>
        <w:spacing w:after="0" w:line="251" w:lineRule="auto"/>
        <w:tabs>
          <w:tab w:leader="none" w:pos="192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Proceeding (or any part of any Proceeding) initiated by such Indemnitee, including any Proceeding (or any part of any Proceeding) initiated by such Indemnitee against the Corporation or its directors, officers, employees or other Indemnitees, unless (i) the Corporation has joined in or, prior to such Proceeding’s initiation, the Board of Directors authorized such Proceeding (or any part of such Proceeding), (ii) the Corporation provides the indemnification or advancement, in its sole discretion, pursuant to the powers vested in the Corporation under applicable law, or (iii) the Proceeding is one to enforce such Indemnitee’s rights under this Article VI, Section 12 of the Certificate of Incorporation, or any other indemnification, advancement or exculpation rights to which Indemnitee may at any time be entitled under applicable law or any agreement.</w:t>
      </w:r>
    </w:p>
    <w:p>
      <w:pPr>
        <w:spacing w:after="0" w:line="200" w:lineRule="exact"/>
        <w:rPr>
          <w:sz w:val="20"/>
          <w:szCs w:val="20"/>
          <w:color w:val="auto"/>
        </w:rPr>
      </w:pPr>
    </w:p>
    <w:p>
      <w:pPr>
        <w:spacing w:after="0" w:line="233" w:lineRule="exact"/>
        <w:rPr>
          <w:sz w:val="20"/>
          <w:szCs w:val="20"/>
          <w:color w:val="auto"/>
        </w:rPr>
      </w:pPr>
    </w:p>
    <w:p>
      <w:pPr>
        <w:ind w:left="1460"/>
        <w:spacing w:after="0"/>
        <w:tabs>
          <w:tab w:leader="none" w:pos="3200" w:val="left"/>
        </w:tabs>
        <w:rPr>
          <w:sz w:val="20"/>
          <w:szCs w:val="20"/>
          <w:color w:val="auto"/>
        </w:rPr>
      </w:pPr>
      <w:r>
        <w:rPr>
          <w:rFonts w:ascii="Times New Roman" w:cs="Times New Roman" w:eastAsia="Times New Roman" w:hAnsi="Times New Roman"/>
          <w:sz w:val="21"/>
          <w:szCs w:val="21"/>
          <w:color w:val="auto"/>
        </w:rPr>
        <w:t>Section VI.09.</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Article VI:</w:t>
      </w:r>
    </w:p>
    <w:p>
      <w:pPr>
        <w:spacing w:after="0" w:line="215" w:lineRule="exact"/>
        <w:rPr>
          <w:sz w:val="20"/>
          <w:szCs w:val="20"/>
          <w:color w:val="auto"/>
        </w:rPr>
      </w:pPr>
    </w:p>
    <w:p>
      <w:pPr>
        <w:jc w:val="both"/>
        <w:ind w:firstLine="1296"/>
        <w:spacing w:after="0" w:line="257" w:lineRule="auto"/>
        <w:tabs>
          <w:tab w:leader="none" w:pos="192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Corporate Status</w:t>
      </w:r>
      <w:r>
        <w:rPr>
          <w:rFonts w:ascii="Times New Roman" w:cs="Times New Roman" w:eastAsia="Times New Roman" w:hAnsi="Times New Roman"/>
          <w:sz w:val="21"/>
          <w:szCs w:val="21"/>
          <w:color w:val="auto"/>
        </w:rPr>
        <w:t>” describes the status of an individual who is or was or has agreed to become a director or officer of the Corporation or while an officer or director of the Corporation who is serving, was serving, or has agreed to serve at the request of the Corporation as a director, officer, trustee, general partner, managing member, fiduciary, employee or agent of any other Enterprise.</w:t>
      </w:r>
    </w:p>
    <w:p>
      <w:pPr>
        <w:spacing w:after="0" w:line="173" w:lineRule="exact"/>
        <w:rPr>
          <w:rFonts w:ascii="Times New Roman" w:cs="Times New Roman" w:eastAsia="Times New Roman" w:hAnsi="Times New Roman"/>
          <w:sz w:val="21"/>
          <w:szCs w:val="21"/>
          <w:color w:val="auto"/>
        </w:rPr>
      </w:pPr>
    </w:p>
    <w:p>
      <w:pPr>
        <w:jc w:val="both"/>
        <w:ind w:firstLine="1296"/>
        <w:spacing w:after="0" w:line="252" w:lineRule="auto"/>
        <w:tabs>
          <w:tab w:leader="none" w:pos="192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Enterprise</w:t>
      </w:r>
      <w:r>
        <w:rPr>
          <w:rFonts w:ascii="Times New Roman" w:cs="Times New Roman" w:eastAsia="Times New Roman" w:hAnsi="Times New Roman"/>
          <w:sz w:val="21"/>
          <w:szCs w:val="21"/>
          <w:color w:val="auto"/>
        </w:rPr>
        <w:t>” shall mean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25</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4" w:name="page85"/>
    <w:bookmarkEnd w:id="84"/>
    <w:p>
      <w:pPr>
        <w:jc w:val="both"/>
        <w:ind w:firstLine="1296"/>
        <w:spacing w:after="0" w:line="249" w:lineRule="auto"/>
        <w:tabs>
          <w:tab w:leader="none" w:pos="192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Article VI, ERISA excise taxes and penalties, and all other disbursements, obligations or expenses in connection with prosecuting, defending, preparing to prosecute or defend, investigating, being or preparing to be a witness in, settlement or appeal of, or otherwise participating in, a Proceeding, including, without limitation, reasonable compensation for time spent by the Indemnitee for which he or she is not otherwise compensated by the Corporation or any third party. Expenses also shall include Expenses incurred in connection with any appeal resulting from any Proceeding, including without limitation the principal, premium, security for, and other costs relating to any cost bond, supersedes bond, or other appeal bond or its equivalent.</w:t>
      </w:r>
    </w:p>
    <w:p>
      <w:pPr>
        <w:spacing w:after="0" w:line="169" w:lineRule="exact"/>
        <w:rPr>
          <w:rFonts w:ascii="Times New Roman" w:cs="Times New Roman" w:eastAsia="Times New Roman" w:hAnsi="Times New Roman"/>
          <w:sz w:val="21"/>
          <w:szCs w:val="21"/>
          <w:color w:val="auto"/>
        </w:rPr>
      </w:pPr>
    </w:p>
    <w:p>
      <w:pPr>
        <w:ind w:left="1940" w:hanging="644"/>
        <w:spacing w:after="0"/>
        <w:tabs>
          <w:tab w:leader="none" w:pos="19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means any current or former director or officer of the Corporation; and</w:t>
      </w:r>
    </w:p>
    <w:p>
      <w:pPr>
        <w:spacing w:after="0" w:line="228" w:lineRule="exact"/>
        <w:rPr>
          <w:rFonts w:ascii="Times New Roman" w:cs="Times New Roman" w:eastAsia="Times New Roman" w:hAnsi="Times New Roman"/>
          <w:sz w:val="21"/>
          <w:szCs w:val="21"/>
          <w:color w:val="auto"/>
        </w:rPr>
      </w:pPr>
    </w:p>
    <w:p>
      <w:pPr>
        <w:jc w:val="both"/>
        <w:ind w:firstLine="1296"/>
        <w:spacing w:after="0" w:line="248" w:lineRule="auto"/>
        <w:tabs>
          <w:tab w:leader="none" w:pos="192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shall include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of Indemnitee’s Corporate Status, by reason of any action (or failure to act) taken by him or of any action (or failure to act) on his part while acting pursuant to his Corporate Status, whether or not serving in such capacity at the time any liability or expense is incurred for which indemnification, reimbursement, or advancement of expenses can be provided under this Article VI. If the Indemnitee believes in good faith that a given situation may lead to or culminate in the institution of a Proceeding, this shall be considered a Proceeding under this Article VI.</w:t>
      </w:r>
    </w:p>
    <w:p>
      <w:pPr>
        <w:spacing w:after="0" w:line="189" w:lineRule="exact"/>
        <w:rPr>
          <w:sz w:val="20"/>
          <w:szCs w:val="20"/>
          <w:color w:val="auto"/>
        </w:rPr>
      </w:pPr>
    </w:p>
    <w:p>
      <w:pPr>
        <w:jc w:val="both"/>
        <w:ind w:firstLine="1127"/>
        <w:spacing w:after="0" w:line="249" w:lineRule="auto"/>
        <w:rPr>
          <w:sz w:val="20"/>
          <w:szCs w:val="20"/>
          <w:color w:val="auto"/>
        </w:rPr>
      </w:pPr>
      <w:r>
        <w:rPr>
          <w:rFonts w:ascii="Times New Roman" w:cs="Times New Roman" w:eastAsia="Times New Roman" w:hAnsi="Times New Roman"/>
          <w:sz w:val="21"/>
          <w:szCs w:val="21"/>
          <w:color w:val="auto"/>
        </w:rPr>
        <w:t xml:space="preserve">Section VI.10. </w:t>
      </w:r>
      <w:r>
        <w:rPr>
          <w:rFonts w:ascii="Times New Roman" w:cs="Times New Roman" w:eastAsia="Times New Roman" w:hAnsi="Times New Roman"/>
          <w:sz w:val="21"/>
          <w:szCs w:val="21"/>
          <w:u w:val="single" w:color="auto"/>
          <w:color w:val="auto"/>
        </w:rPr>
        <w:t>Right of Indemnitee to Bring Suit</w:t>
      </w:r>
      <w:r>
        <w:rPr>
          <w:rFonts w:ascii="Times New Roman" w:cs="Times New Roman" w:eastAsia="Times New Roman" w:hAnsi="Times New Roman"/>
          <w:sz w:val="21"/>
          <w:szCs w:val="21"/>
          <w:color w:val="auto"/>
        </w:rPr>
        <w:t>. If a claim under this Article VI is not paid in full by the Corporation within ninety (90) days after a written claim has been received by the Corporation, Indemnitee may at any time thereafter bring suit against the Corporation in the Court of Chancery of the State of Delaware or any other court of competent jurisdiction in the State of Delaware to recover the unpaid amount of the claim. In any such action, the Corporation shall have the burden of proving that Indemnitee was not entitled to the requested indemnification, advancement or payment of Expenses. It shall be a defense to any such action (other than an action brought to enforce a claim for Expenses incurred in defending any proceeding in advance of its final disposition where the required undertaking, if any is required, has been tendered to the Corporation) that Indemnitee has not met the standards of conduct which make it permissible under these Bylaws, the Certificate of Incorporation or the DGCL for the Corporation to indemnify Indemnitee for the amount claimed. Neither the failure of the Corporation (including its Board of Directors, independent legal counsel, or its stockholders) to have made a determination prior to the commencement of such action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26</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5" w:name="page86"/>
    <w:bookmarkEnd w:id="85"/>
    <w:p>
      <w:pPr>
        <w:jc w:val="both"/>
        <w:spacing w:after="0" w:line="252" w:lineRule="auto"/>
        <w:rPr>
          <w:sz w:val="20"/>
          <w:szCs w:val="20"/>
          <w:color w:val="auto"/>
        </w:rPr>
      </w:pPr>
      <w:r>
        <w:rPr>
          <w:rFonts w:ascii="Times New Roman" w:cs="Times New Roman" w:eastAsia="Times New Roman" w:hAnsi="Times New Roman"/>
          <w:sz w:val="21"/>
          <w:szCs w:val="21"/>
          <w:color w:val="auto"/>
        </w:rPr>
        <w:t>indemnification or advancement is proper in the circumstances because Indemnitee has met the applicable standard of conduct set forth in these Bylaws, the Certificate of Incorporation or the DGCL, nor an actual determination by the Corporation (including its Board of Directors, independent legal counsel, or its stockholders) that Indemnitee has not met such applicable standard of conduct, shall be a defense to the action or create a presumption that Indemnitee has not met any applicable standard of conduct. If successful, in whole or in part, Indemnitee shall also be entitled to be paid the Expenses of prosecuting such action to the fullest extent permitted by law.</w:t>
      </w:r>
    </w:p>
    <w:p>
      <w:pPr>
        <w:spacing w:after="0" w:line="170"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VI.11. </w:t>
      </w:r>
      <w:r>
        <w:rPr>
          <w:rFonts w:ascii="Times New Roman" w:cs="Times New Roman" w:eastAsia="Times New Roman" w:hAnsi="Times New Roman"/>
          <w:sz w:val="21"/>
          <w:szCs w:val="21"/>
          <w:u w:val="single" w:color="auto"/>
          <w:color w:val="auto"/>
        </w:rPr>
        <w:t>Survival of Indemnification and Advancement of Expenses</w:t>
      </w:r>
      <w:r>
        <w:rPr>
          <w:rFonts w:ascii="Times New Roman" w:cs="Times New Roman" w:eastAsia="Times New Roman" w:hAnsi="Times New Roman"/>
          <w:sz w:val="21"/>
          <w:szCs w:val="21"/>
          <w:color w:val="auto"/>
        </w:rPr>
        <w:t>. The indemnification and advancement of expenses provided by, or granted pursuant to, this Article VI shall continue as to a person who has ceased to be a director or officer and shall inure to the benefit of the heirs, executors and administrators of such a person.</w:t>
      </w:r>
    </w:p>
    <w:p>
      <w:pPr>
        <w:spacing w:after="0" w:line="166" w:lineRule="exact"/>
        <w:rPr>
          <w:sz w:val="20"/>
          <w:szCs w:val="20"/>
          <w:color w:val="auto"/>
        </w:rPr>
      </w:pPr>
    </w:p>
    <w:p>
      <w:pPr>
        <w:jc w:val="both"/>
        <w:ind w:firstLine="1127"/>
        <w:spacing w:after="0" w:line="258" w:lineRule="auto"/>
        <w:rPr>
          <w:sz w:val="20"/>
          <w:szCs w:val="20"/>
          <w:color w:val="auto"/>
        </w:rPr>
      </w:pPr>
      <w:r>
        <w:rPr>
          <w:rFonts w:ascii="Times New Roman" w:cs="Times New Roman" w:eastAsia="Times New Roman" w:hAnsi="Times New Roman"/>
          <w:sz w:val="21"/>
          <w:szCs w:val="21"/>
          <w:color w:val="auto"/>
        </w:rPr>
        <w:t xml:space="preserve">Section VI.12. </w:t>
      </w:r>
      <w:r>
        <w:rPr>
          <w:rFonts w:ascii="Times New Roman" w:cs="Times New Roman" w:eastAsia="Times New Roman" w:hAnsi="Times New Roman"/>
          <w:sz w:val="21"/>
          <w:szCs w:val="21"/>
          <w:u w:val="single" w:color="auto"/>
          <w:color w:val="auto"/>
        </w:rPr>
        <w:t>Change in Rights</w:t>
      </w:r>
      <w:r>
        <w:rPr>
          <w:rFonts w:ascii="Times New Roman" w:cs="Times New Roman" w:eastAsia="Times New Roman" w:hAnsi="Times New Roman"/>
          <w:sz w:val="21"/>
          <w:szCs w:val="21"/>
          <w:color w:val="auto"/>
        </w:rPr>
        <w:t>. Neither any amendment nor repeal of this Article VI, nor the adoption of any provision in these Bylaws inconsistent with this Article VI, shall eliminate or reduce the effect of this Article VI in respect of any acts or omissions occurring prior to such alteration, amendment, addition to, repeal or adoption.</w:t>
      </w:r>
    </w:p>
    <w:p>
      <w:pPr>
        <w:spacing w:after="0" w:line="17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GENERAL PROVISIONS</w:t>
      </w:r>
    </w:p>
    <w:p>
      <w:pPr>
        <w:spacing w:after="0" w:line="232" w:lineRule="exact"/>
        <w:rPr>
          <w:sz w:val="20"/>
          <w:szCs w:val="20"/>
          <w:color w:val="auto"/>
        </w:rPr>
      </w:pPr>
    </w:p>
    <w:p>
      <w:pPr>
        <w:jc w:val="both"/>
        <w:ind w:firstLine="1127"/>
        <w:spacing w:after="0" w:line="248" w:lineRule="auto"/>
        <w:rPr>
          <w:sz w:val="20"/>
          <w:szCs w:val="20"/>
          <w:color w:val="auto"/>
        </w:rPr>
      </w:pPr>
      <w:r>
        <w:rPr>
          <w:rFonts w:ascii="Times New Roman" w:cs="Times New Roman" w:eastAsia="Times New Roman" w:hAnsi="Times New Roman"/>
          <w:sz w:val="21"/>
          <w:szCs w:val="21"/>
          <w:color w:val="auto"/>
        </w:rPr>
        <w:t xml:space="preserve">Section VII.01. </w:t>
      </w: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Subject to any applicable provisions of law or the Certificate of Incorporation, dividends upon the shares of capital stock of the Corporation may be declared by the Board of Directors at any regular or special meeting of the Board of Directors and any such dividend may be paid in cash, property or shares of the Corporation’s capital stock. A member of the Board of Directors, or a member of any committee designated by the Board of Directors, shall be fully protected in relying in good faith upon the records of the Corporation and upon such information, opinions, reports or statements presented to the Corporation by any of its officers or employees, or committees of the Board of Directors, or by any other person as to matters the director reasonably believes are within such other person’s professional or expert competence and who the director or member reasonably believes or determines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89" w:lineRule="exact"/>
        <w:rPr>
          <w:sz w:val="20"/>
          <w:szCs w:val="20"/>
          <w:color w:val="auto"/>
        </w:rPr>
      </w:pPr>
    </w:p>
    <w:p>
      <w:pPr>
        <w:jc w:val="both"/>
        <w:ind w:firstLine="1127"/>
        <w:spacing w:after="0" w:line="250" w:lineRule="auto"/>
        <w:rPr>
          <w:sz w:val="20"/>
          <w:szCs w:val="20"/>
          <w:color w:val="auto"/>
        </w:rPr>
      </w:pPr>
      <w:r>
        <w:rPr>
          <w:rFonts w:ascii="Times New Roman" w:cs="Times New Roman" w:eastAsia="Times New Roman" w:hAnsi="Times New Roman"/>
          <w:sz w:val="21"/>
          <w:szCs w:val="21"/>
          <w:color w:val="auto"/>
        </w:rPr>
        <w:t xml:space="preserve">Section VII.02. </w:t>
      </w:r>
      <w:r>
        <w:rPr>
          <w:rFonts w:ascii="Times New Roman" w:cs="Times New Roman" w:eastAsia="Times New Roman" w:hAnsi="Times New Roman"/>
          <w:sz w:val="21"/>
          <w:szCs w:val="21"/>
          <w:u w:val="single" w:color="auto"/>
          <w:color w:val="auto"/>
        </w:rPr>
        <w:t>Execution of Instruments</w:t>
      </w:r>
      <w:r>
        <w:rPr>
          <w:rFonts w:ascii="Times New Roman" w:cs="Times New Roman" w:eastAsia="Times New Roman" w:hAnsi="Times New Roman"/>
          <w:sz w:val="21"/>
          <w:szCs w:val="21"/>
          <w:color w:val="auto"/>
        </w:rPr>
        <w:t>. The Board of Directors may authorize, or provide for the authorization of, officers, employees or agents to enter into any contract or execute and deliver any instrument in the name and on behalf of the Corporation. Any such authorization must be in writing or by electronic transmission and may be general or limited to specific contracts or instruments. The officers of the Corporation may also execute and deliver such contracts or instruments which generally pertain to the duties associated with such officer’s title. Any person who is authorized to execute a contract, instrument or other document on behalf of the Corporation may execute a power of attorney allowing another person to execute such document on behalf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27</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6" w:name="page87"/>
    <w:bookmarkEnd w:id="86"/>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VII.03. </w:t>
      </w:r>
      <w:r>
        <w:rPr>
          <w:rFonts w:ascii="Times New Roman" w:cs="Times New Roman" w:eastAsia="Times New Roman" w:hAnsi="Times New Roman"/>
          <w:sz w:val="21"/>
          <w:szCs w:val="21"/>
          <w:u w:val="single" w:color="auto"/>
          <w:color w:val="auto"/>
        </w:rPr>
        <w:t>Voting as Stockholder</w:t>
      </w:r>
      <w:r>
        <w:rPr>
          <w:rFonts w:ascii="Times New Roman" w:cs="Times New Roman" w:eastAsia="Times New Roman" w:hAnsi="Times New Roman"/>
          <w:sz w:val="21"/>
          <w:szCs w:val="21"/>
          <w:color w:val="auto"/>
        </w:rPr>
        <w:t>. Unless otherwise determined by resolution of the Board of Directors, the Chief Executive Officer, the President, if any, the Chief Financial Officer, any Executive Vice President or any other person authorized by the Board of Directors shall have full power and authority on behalf of the Corporation to attend any meeting of stockholders or equity holders of any corporation or other entity in which the Corporation may hold stock or equity interests, and to act, vote (or execute proxies to vote) and exercise in person or by proxy all other rights, powers and privileges incident to the ownership of such stock or equity interests. Such officers acting on behalf of the Corporation shall have full power and authority to execute any instrument expressing consent to or dissent from any action of any such corporation or entity without a meeting. The Board of Directors may by resolution from time to time confer such power and authority upon any other person or persons.</w:t>
      </w:r>
    </w:p>
    <w:p>
      <w:pPr>
        <w:spacing w:after="0" w:line="167" w:lineRule="exact"/>
        <w:rPr>
          <w:sz w:val="20"/>
          <w:szCs w:val="20"/>
          <w:color w:val="auto"/>
        </w:rPr>
      </w:pPr>
    </w:p>
    <w:p>
      <w:pPr>
        <w:jc w:val="both"/>
        <w:ind w:firstLine="1127"/>
        <w:spacing w:after="0" w:line="291" w:lineRule="auto"/>
        <w:rPr>
          <w:sz w:val="20"/>
          <w:szCs w:val="20"/>
          <w:color w:val="auto"/>
        </w:rPr>
      </w:pPr>
      <w:r>
        <w:rPr>
          <w:rFonts w:ascii="Times New Roman" w:cs="Times New Roman" w:eastAsia="Times New Roman" w:hAnsi="Times New Roman"/>
          <w:sz w:val="21"/>
          <w:szCs w:val="21"/>
          <w:color w:val="auto"/>
        </w:rPr>
        <w:t xml:space="preserve">Section VII.04. </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The fiscal year of the Corporation shall be fixed, and shall be subject to change, by the Board of Directors.</w:t>
      </w:r>
    </w:p>
    <w:p>
      <w:pPr>
        <w:spacing w:after="0" w:line="126" w:lineRule="exact"/>
        <w:rPr>
          <w:sz w:val="20"/>
          <w:szCs w:val="20"/>
          <w:color w:val="auto"/>
        </w:rPr>
      </w:pPr>
    </w:p>
    <w:p>
      <w:pPr>
        <w:jc w:val="both"/>
        <w:ind w:firstLine="1127"/>
        <w:spacing w:after="0" w:line="265" w:lineRule="auto"/>
        <w:rPr>
          <w:sz w:val="20"/>
          <w:szCs w:val="20"/>
          <w:color w:val="auto"/>
        </w:rPr>
      </w:pPr>
      <w:r>
        <w:rPr>
          <w:rFonts w:ascii="Times New Roman" w:cs="Times New Roman" w:eastAsia="Times New Roman" w:hAnsi="Times New Roman"/>
          <w:sz w:val="21"/>
          <w:szCs w:val="21"/>
          <w:color w:val="auto"/>
        </w:rPr>
        <w:t xml:space="preserve">Section VII.05.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An affidavit of the Secretary or an Assistant Secretary or of the transfer agent or other agent of the Corporation that the notice has been given in writing or by a form of electronic transmission shall, in the absence of fraud, be </w:t>
      </w:r>
      <w:r>
        <w:rPr>
          <w:rFonts w:ascii="Times New Roman" w:cs="Times New Roman" w:eastAsia="Times New Roman" w:hAnsi="Times New Roman"/>
          <w:sz w:val="21"/>
          <w:szCs w:val="21"/>
          <w:i w:val="1"/>
          <w:iCs w:val="1"/>
          <w:color w:val="auto"/>
        </w:rPr>
        <w:t>prima facie</w:t>
      </w:r>
      <w:r>
        <w:rPr>
          <w:rFonts w:ascii="Times New Roman" w:cs="Times New Roman" w:eastAsia="Times New Roman" w:hAnsi="Times New Roman"/>
          <w:sz w:val="21"/>
          <w:szCs w:val="21"/>
          <w:color w:val="auto"/>
        </w:rPr>
        <w:t xml:space="preserve"> evidence of the facts stated therein.</w:t>
      </w:r>
    </w:p>
    <w:p>
      <w:pPr>
        <w:spacing w:after="0" w:line="153"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VII.06. </w:t>
      </w:r>
      <w:r>
        <w:rPr>
          <w:rFonts w:ascii="Times New Roman" w:cs="Times New Roman" w:eastAsia="Times New Roman" w:hAnsi="Times New Roman"/>
          <w:sz w:val="21"/>
          <w:szCs w:val="21"/>
          <w:u w:val="single" w:color="auto"/>
          <w:color w:val="auto"/>
        </w:rPr>
        <w:t>Form of Records</w:t>
      </w:r>
      <w:r>
        <w:rPr>
          <w:rFonts w:ascii="Times New Roman" w:cs="Times New Roman" w:eastAsia="Times New Roman" w:hAnsi="Times New Roman"/>
          <w:sz w:val="21"/>
          <w:szCs w:val="21"/>
          <w:color w:val="auto"/>
        </w:rPr>
        <w:t>.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the DGCL, (ii) record the information specified in the DGCL, and record transfers as specified in the DGCL. The Corporation shall so convert any records so kept upon the request of any person entitled to inspect such records pursuant to any provision of the DGCL.</w:t>
      </w:r>
    </w:p>
    <w:p>
      <w:pPr>
        <w:spacing w:after="0" w:line="200" w:lineRule="exact"/>
        <w:rPr>
          <w:sz w:val="20"/>
          <w:szCs w:val="20"/>
          <w:color w:val="auto"/>
        </w:rPr>
      </w:pPr>
    </w:p>
    <w:p>
      <w:pPr>
        <w:spacing w:after="0" w:line="220" w:lineRule="exact"/>
        <w:rPr>
          <w:sz w:val="20"/>
          <w:szCs w:val="20"/>
          <w:color w:val="auto"/>
        </w:rPr>
      </w:pPr>
    </w:p>
    <w:p>
      <w:pPr>
        <w:jc w:val="both"/>
        <w:ind w:firstLine="1127"/>
        <w:spacing w:after="0" w:line="251" w:lineRule="auto"/>
        <w:rPr>
          <w:sz w:val="20"/>
          <w:szCs w:val="20"/>
          <w:color w:val="auto"/>
        </w:rPr>
      </w:pPr>
      <w:r>
        <w:rPr>
          <w:rFonts w:ascii="Times New Roman" w:cs="Times New Roman" w:eastAsia="Times New Roman" w:hAnsi="Times New Roman"/>
          <w:sz w:val="21"/>
          <w:szCs w:val="21"/>
          <w:color w:val="auto"/>
        </w:rPr>
        <w:t xml:space="preserve">Section VII.07.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If any provision (or any part thereof)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section of these Bylaws containing any such provision held to be invalid, illegal or unenforceable that is not itself held to be invalid, illegal or unenforceable) shall not in any way be affected or impaired thereby and (ii) to the fullest extent possible, the provisions of these Bylaws (including, without limitation, each such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6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AMENDMENT OF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28</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7" w:name="page88"/>
    <w:bookmarkEnd w:id="87"/>
    <w:p>
      <w:pPr>
        <w:jc w:val="both"/>
        <w:ind w:firstLine="1127"/>
        <w:spacing w:after="0" w:line="277" w:lineRule="auto"/>
        <w:rPr>
          <w:sz w:val="20"/>
          <w:szCs w:val="20"/>
          <w:color w:val="auto"/>
        </w:rPr>
      </w:pPr>
      <w:r>
        <w:rPr>
          <w:rFonts w:ascii="Times New Roman" w:cs="Times New Roman" w:eastAsia="Times New Roman" w:hAnsi="Times New Roman"/>
          <w:sz w:val="21"/>
          <w:szCs w:val="21"/>
          <w:color w:val="auto"/>
        </w:rPr>
        <w:t xml:space="preserve">Section VIII.01. </w:t>
      </w:r>
      <w:r>
        <w:rPr>
          <w:rFonts w:ascii="Times New Roman" w:cs="Times New Roman" w:eastAsia="Times New Roman" w:hAnsi="Times New Roman"/>
          <w:sz w:val="21"/>
          <w:szCs w:val="21"/>
          <w:u w:val="single" w:color="auto"/>
          <w:color w:val="auto"/>
        </w:rPr>
        <w:t>By the Board</w:t>
      </w:r>
      <w:r>
        <w:rPr>
          <w:rFonts w:ascii="Times New Roman" w:cs="Times New Roman" w:eastAsia="Times New Roman" w:hAnsi="Times New Roman"/>
          <w:sz w:val="21"/>
          <w:szCs w:val="21"/>
          <w:color w:val="auto"/>
        </w:rPr>
        <w:t>. Subject to the provisions of the Certificate of Incorporation, the Board of Directors may make, alter, amend, add to or repeal any and all of these Bylaws.</w:t>
      </w:r>
    </w:p>
    <w:p>
      <w:pPr>
        <w:spacing w:after="0" w:line="154" w:lineRule="exact"/>
        <w:rPr>
          <w:sz w:val="20"/>
          <w:szCs w:val="20"/>
          <w:color w:val="auto"/>
        </w:rPr>
      </w:pPr>
    </w:p>
    <w:p>
      <w:pPr>
        <w:jc w:val="both"/>
        <w:ind w:firstLine="1127"/>
        <w:spacing w:after="0" w:line="257" w:lineRule="auto"/>
        <w:rPr>
          <w:sz w:val="20"/>
          <w:szCs w:val="20"/>
          <w:color w:val="auto"/>
        </w:rPr>
      </w:pPr>
      <w:r>
        <w:rPr>
          <w:rFonts w:ascii="Times New Roman" w:cs="Times New Roman" w:eastAsia="Times New Roman" w:hAnsi="Times New Roman"/>
          <w:sz w:val="21"/>
          <w:szCs w:val="21"/>
          <w:color w:val="auto"/>
        </w:rPr>
        <w:t xml:space="preserve">Section VIII.02. </w:t>
      </w:r>
      <w:r>
        <w:rPr>
          <w:rFonts w:ascii="Times New Roman" w:cs="Times New Roman" w:eastAsia="Times New Roman" w:hAnsi="Times New Roman"/>
          <w:sz w:val="21"/>
          <w:szCs w:val="21"/>
          <w:u w:val="single" w:color="auto"/>
          <w:color w:val="auto"/>
        </w:rPr>
        <w:t>By the Stockholders</w:t>
      </w:r>
      <w:r>
        <w:rPr>
          <w:rFonts w:ascii="Times New Roman" w:cs="Times New Roman" w:eastAsia="Times New Roman" w:hAnsi="Times New Roman"/>
          <w:sz w:val="21"/>
          <w:szCs w:val="21"/>
          <w:color w:val="auto"/>
        </w:rPr>
        <w:t>. Subject to the provisions of the Certificate of Incorporation, the affirmative vote of the holders of at least a majority of the voting power of the Corporation’s then outstanding shares entitled to vote generally in the election of directors, voting together as a single class, shall be required for the stockholders to make, alter, amend, add to or repeal any or all Bylaws of the Corporation or to adopt any provision inconsistent therewith.</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CONSTRUCTION</w:t>
      </w:r>
    </w:p>
    <w:p>
      <w:pPr>
        <w:spacing w:after="0" w:line="232" w:lineRule="exact"/>
        <w:rPr>
          <w:sz w:val="20"/>
          <w:szCs w:val="20"/>
          <w:color w:val="auto"/>
        </w:rPr>
      </w:pPr>
    </w:p>
    <w:p>
      <w:pPr>
        <w:jc w:val="both"/>
        <w:ind w:firstLine="644"/>
        <w:spacing w:after="0" w:line="250" w:lineRule="auto"/>
        <w:rPr>
          <w:sz w:val="20"/>
          <w:szCs w:val="20"/>
          <w:color w:val="auto"/>
        </w:rPr>
      </w:pPr>
      <w:r>
        <w:rPr>
          <w:rFonts w:ascii="Times New Roman" w:cs="Times New Roman" w:eastAsia="Times New Roman" w:hAnsi="Times New Roman"/>
          <w:sz w:val="21"/>
          <w:szCs w:val="21"/>
          <w:color w:val="auto"/>
        </w:rPr>
        <w:t>In the event of any conflict between the provisions of these Bylaws as in effect from time to time and the provisions of the Certificate of Incorporation of the Corporation as in effect from time to time, the provisions of such Certificate of Incorporation shall be controlling.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corporations, other business entities, and natural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29</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1"/>
          <w:szCs w:val="21"/>
          <w:b w:val="1"/>
          <w:bCs w:val="1"/>
          <w:color w:val="auto"/>
        </w:rPr>
        <w:t>PORTILLO’S INC.</w:t>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2022 EMPLOYEE STOCK PURCHASE PLAN</w:t>
      </w:r>
    </w:p>
    <w:p>
      <w:pPr>
        <w:spacing w:after="0" w:line="192" w:lineRule="exact"/>
        <w:rPr>
          <w:sz w:val="20"/>
          <w:szCs w:val="20"/>
          <w:color w:val="auto"/>
        </w:rPr>
      </w:pPr>
    </w:p>
    <w:p>
      <w:pPr>
        <w:ind w:left="1300" w:hanging="648"/>
        <w:spacing w:after="0"/>
        <w:tabs>
          <w:tab w:leader="none" w:pos="130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Purpose</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160" w:firstLine="1297"/>
        <w:spacing w:after="0" w:line="234" w:lineRule="auto"/>
        <w:tabs>
          <w:tab w:leader="none" w:pos="1928"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provides a means by which Eligible Employees and/or Eligible Service Providers of either the Company or a Designated Company may be given an opportunity to purchase Common Stock. The Plan permits the Company to grant a series of Purchase Rights to Eligible Employees and/or Eligible Service Providers.</w:t>
      </w:r>
    </w:p>
    <w:p>
      <w:pPr>
        <w:spacing w:after="0" w:line="152" w:lineRule="exact"/>
        <w:rPr>
          <w:rFonts w:ascii="Times New Roman" w:cs="Times New Roman" w:eastAsia="Times New Roman" w:hAnsi="Times New Roman"/>
          <w:sz w:val="21"/>
          <w:szCs w:val="21"/>
          <w:color w:val="auto"/>
        </w:rPr>
      </w:pPr>
    </w:p>
    <w:p>
      <w:pPr>
        <w:jc w:val="both"/>
        <w:ind w:left="160" w:firstLine="1297"/>
        <w:spacing w:after="0" w:line="229" w:lineRule="auto"/>
        <w:tabs>
          <w:tab w:leader="none" w:pos="1927"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by means of the Plan, seeks to retain and assist its Related Corporations or Affiliates in retaining the services of such Eligible Employees and Eligible Service Providers, to secure and retain the services of new Eligible Employees and Eligible Service Providers and to provide incentives for such persons to exert maximum efforts for the success of the Company and its Related Corporations and Affiliates.</w:t>
      </w:r>
    </w:p>
    <w:p>
      <w:pPr>
        <w:spacing w:after="0" w:line="152" w:lineRule="exact"/>
        <w:rPr>
          <w:rFonts w:ascii="Times New Roman" w:cs="Times New Roman" w:eastAsia="Times New Roman" w:hAnsi="Times New Roman"/>
          <w:sz w:val="21"/>
          <w:szCs w:val="21"/>
          <w:color w:val="auto"/>
        </w:rPr>
      </w:pPr>
    </w:p>
    <w:p>
      <w:pPr>
        <w:jc w:val="both"/>
        <w:ind w:left="160" w:firstLine="1297"/>
        <w:spacing w:after="0" w:line="218" w:lineRule="auto"/>
        <w:tabs>
          <w:tab w:leader="none" w:pos="1928"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including without limitation, to extend and limit Plan participation in a uniform and non-discriminating basis.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and, with respect to the 423 Component, the requirements of an Employee Stock Purchase Plan), and the Company will designate which Designated Company is participating in each separate Offering and if any Eligible Service Providers will be eligible to participate in a separate Offering. Eligible Employees will be able to participate in the 423 Component or Non-423 Component of the Plan. Eligible Service Providers will only be able to participate in the Non-423 Component of the Plan.</w:t>
      </w:r>
    </w:p>
    <w:p>
      <w:pPr>
        <w:spacing w:after="0" w:line="159"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ind w:left="160" w:firstLine="1297"/>
        <w:spacing w:after="0" w:line="251" w:lineRule="auto"/>
        <w:tabs>
          <w:tab w:leader="none" w:pos="1927"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will administer the Plan unless and until the Board delegates administration of the Plan to a Committee or Committees, as provided in Section 2(c).</w:t>
      </w:r>
    </w:p>
    <w:p>
      <w:pPr>
        <w:spacing w:after="0" w:line="139" w:lineRule="exact"/>
        <w:rPr>
          <w:rFonts w:ascii="Times New Roman" w:cs="Times New Roman" w:eastAsia="Times New Roman" w:hAnsi="Times New Roman"/>
          <w:sz w:val="21"/>
          <w:szCs w:val="21"/>
          <w:color w:val="auto"/>
        </w:rPr>
      </w:pPr>
    </w:p>
    <w:p>
      <w:pPr>
        <w:ind w:left="1940" w:hanging="483"/>
        <w:spacing w:after="0"/>
        <w:tabs>
          <w:tab w:leader="none" w:pos="194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will have the power, subject to, and within the limitations of, the express provisions of the Plan:</w:t>
      </w:r>
    </w:p>
    <w:p>
      <w:pPr>
        <w:spacing w:after="0" w:line="185" w:lineRule="exact"/>
        <w:rPr>
          <w:rFonts w:ascii="Times New Roman" w:cs="Times New Roman" w:eastAsia="Times New Roman" w:hAnsi="Times New Roman"/>
          <w:sz w:val="21"/>
          <w:szCs w:val="21"/>
          <w:color w:val="auto"/>
        </w:rPr>
      </w:pPr>
    </w:p>
    <w:p>
      <w:pPr>
        <w:ind w:left="2580" w:hanging="318"/>
        <w:spacing w:after="0"/>
        <w:tabs>
          <w:tab w:leader="none" w:pos="2580"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how and when Purchase Rights will be granted and the provisions of each Offering</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need not be identical).</w:t>
      </w:r>
    </w:p>
    <w:p>
      <w:pPr>
        <w:spacing w:after="0" w:line="163" w:lineRule="exact"/>
        <w:rPr>
          <w:rFonts w:ascii="Times New Roman" w:cs="Times New Roman" w:eastAsia="Times New Roman" w:hAnsi="Times New Roman"/>
          <w:sz w:val="21"/>
          <w:szCs w:val="21"/>
          <w:color w:val="auto"/>
        </w:rPr>
      </w:pPr>
    </w:p>
    <w:p>
      <w:pPr>
        <w:jc w:val="both"/>
        <w:ind w:firstLine="2262"/>
        <w:spacing w:after="0" w:line="229" w:lineRule="auto"/>
        <w:tabs>
          <w:tab w:leader="none" w:pos="2571"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designate from time to time which Related Corporations will be eligible to participate in the Plan as Designated 423 Corporations or as Designated Non-423 Corporations, which Affiliates will be eligible to participate in the Plan as Designated Non-423 Corporations, and which Designated Companies will participate in each separate Offering (to the extent that the Company makes separate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ESPP – Final – 4.10.2022</w:t>
      </w:r>
    </w:p>
    <w:p>
      <w:pPr>
        <w:sectPr>
          <w:pgSz w:w="11900" w:h="16838" w:orient="portrait"/>
          <w:cols w:equalWidth="0" w:num="1">
            <w:col w:w="11240"/>
          </w:cols>
          <w:pgMar w:left="320" w:top="1383" w:right="339" w:bottom="1440" w:gutter="0" w:footer="0" w:header="0"/>
        </w:sectPr>
      </w:pPr>
    </w:p>
    <w:bookmarkStart w:id="89" w:name="page90"/>
    <w:bookmarkEnd w:id="89"/>
    <w:p>
      <w:pPr>
        <w:spacing w:after="0" w:line="162" w:lineRule="exact"/>
        <w:rPr>
          <w:sz w:val="20"/>
          <w:szCs w:val="20"/>
          <w:color w:val="auto"/>
        </w:rPr>
      </w:pPr>
    </w:p>
    <w:p>
      <w:pPr>
        <w:jc w:val="both"/>
        <w:ind w:firstLine="2255"/>
        <w:spacing w:after="0" w:line="251" w:lineRule="auto"/>
        <w:rPr>
          <w:sz w:val="20"/>
          <w:szCs w:val="20"/>
          <w:color w:val="auto"/>
        </w:rPr>
      </w:pPr>
      <w:r>
        <w:rPr>
          <w:rFonts w:ascii="Times New Roman" w:cs="Times New Roman" w:eastAsia="Times New Roman" w:hAnsi="Times New Roman"/>
          <w:sz w:val="21"/>
          <w:szCs w:val="21"/>
          <w:color w:val="auto"/>
        </w:rPr>
        <w:t>(iii)To designate from time to time which persons will be Eligible Service Providers and which Eligible Service Providers will participate in each separate Offering (to the extent that the Company makes separate Offerings).</w:t>
      </w:r>
    </w:p>
    <w:p>
      <w:pPr>
        <w:spacing w:after="0" w:line="139" w:lineRule="exact"/>
        <w:rPr>
          <w:sz w:val="20"/>
          <w:szCs w:val="20"/>
          <w:color w:val="auto"/>
        </w:rPr>
      </w:pPr>
    </w:p>
    <w:p>
      <w:pPr>
        <w:jc w:val="both"/>
        <w:ind w:firstLine="2255"/>
        <w:spacing w:after="0" w:line="234" w:lineRule="auto"/>
        <w:rPr>
          <w:sz w:val="20"/>
          <w:szCs w:val="20"/>
          <w:color w:val="auto"/>
        </w:rPr>
      </w:pPr>
      <w:r>
        <w:rPr>
          <w:rFonts w:ascii="Times New Roman" w:cs="Times New Roman" w:eastAsia="Times New Roman" w:hAnsi="Times New Roman"/>
          <w:sz w:val="21"/>
          <w:szCs w:val="21"/>
          <w:color w:val="auto"/>
        </w:rPr>
        <w:t>(iv)To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53" w:lineRule="exact"/>
        <w:rPr>
          <w:sz w:val="20"/>
          <w:szCs w:val="20"/>
          <w:color w:val="auto"/>
        </w:rPr>
      </w:pPr>
    </w:p>
    <w:p>
      <w:pPr>
        <w:ind w:left="2260" w:right="980" w:firstLine="2"/>
        <w:spacing w:after="0" w:line="426" w:lineRule="auto"/>
        <w:tabs>
          <w:tab w:leader="none" w:pos="257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settle all controversies regarding the Plan and Purchase Rights granted under the Plan. (vi)To suspend or terminate the Plan at any time as provided in Section 12.</w:t>
      </w:r>
    </w:p>
    <w:p>
      <w:pPr>
        <w:spacing w:after="0" w:line="2" w:lineRule="exact"/>
        <w:rPr>
          <w:sz w:val="20"/>
          <w:szCs w:val="20"/>
          <w:color w:val="auto"/>
        </w:rPr>
      </w:pPr>
    </w:p>
    <w:p>
      <w:pPr>
        <w:ind w:left="3220" w:hanging="958"/>
        <w:spacing w:after="0"/>
        <w:tabs>
          <w:tab w:leader="none" w:pos="322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amend the Plan at any time as provided in Section 12.</w:t>
      </w:r>
    </w:p>
    <w:p>
      <w:pPr>
        <w:spacing w:after="0" w:line="187" w:lineRule="exact"/>
        <w:rPr>
          <w:rFonts w:ascii="Times New Roman" w:cs="Times New Roman" w:eastAsia="Times New Roman" w:hAnsi="Times New Roman"/>
          <w:sz w:val="21"/>
          <w:szCs w:val="21"/>
          <w:color w:val="auto"/>
        </w:rPr>
      </w:pPr>
    </w:p>
    <w:p>
      <w:pPr>
        <w:jc w:val="both"/>
        <w:ind w:firstLine="2262"/>
        <w:spacing w:after="0" w:line="234" w:lineRule="auto"/>
        <w:tabs>
          <w:tab w:leader="none" w:pos="322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Generally, to exercise such powers and to perform such acts as it deems necessary or expedient to promote the best interests of the Company, its Related Corporations, and Affiliates and to carry out the intent that the 423 Component be treated as an Employee Stock Purchase Plan.</w:t>
      </w:r>
    </w:p>
    <w:p>
      <w:pPr>
        <w:spacing w:after="0" w:line="153" w:lineRule="exact"/>
        <w:rPr>
          <w:sz w:val="20"/>
          <w:szCs w:val="20"/>
          <w:color w:val="auto"/>
        </w:rPr>
      </w:pPr>
    </w:p>
    <w:p>
      <w:pPr>
        <w:jc w:val="both"/>
        <w:ind w:firstLine="2255"/>
        <w:spacing w:after="0" w:line="220" w:lineRule="auto"/>
        <w:rPr>
          <w:sz w:val="20"/>
          <w:szCs w:val="20"/>
          <w:color w:val="auto"/>
        </w:rPr>
      </w:pPr>
      <w:r>
        <w:rPr>
          <w:rFonts w:ascii="Times New Roman" w:cs="Times New Roman" w:eastAsia="Times New Roman" w:hAnsi="Times New Roman"/>
          <w:sz w:val="21"/>
          <w:szCs w:val="21"/>
          <w:color w:val="auto"/>
        </w:rPr>
        <w:t>(ix)To adopt such rules, procedures and sub-plans relating to the operation and administration of the Plan as are necessary or appropriate under applicable local laws, regulations and procedures to permit or facilitate participation in the Plan by Employees or Eligible Service Providers who are non-U.S. nationals or employed or providing services or located or otherwise subject to the laws of a jurisdiction outside the United States. Without limiting the generality of, but consistent with, the foregoing, the Board specifically is authorized to adopt rules, procedures, and sub-plans, which, for purposes of the Non-423 Component, may be beyond the scope of Section 423 of the Code, regarding, without limitation, eligibility to participate in the Plan, handling and making of Contributions, establishment of bank or trust accounts to hold Contributions, payment of interest, conversion of local currency, obligations to pay payroll tax, determination of beneficiary designation requirements, withholding procedures and handling of stock issuances, any of which may vary according to applicable requirements.</w:t>
      </w:r>
    </w:p>
    <w:p>
      <w:pPr>
        <w:spacing w:after="0" w:line="155" w:lineRule="exact"/>
        <w:rPr>
          <w:sz w:val="20"/>
          <w:szCs w:val="20"/>
          <w:color w:val="auto"/>
        </w:rPr>
      </w:pPr>
    </w:p>
    <w:p>
      <w:pPr>
        <w:jc w:val="both"/>
        <w:ind w:left="160" w:firstLine="1297"/>
        <w:spacing w:after="0" w:line="220" w:lineRule="auto"/>
        <w:tabs>
          <w:tab w:leader="none" w:pos="1931"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55" w:lineRule="exact"/>
        <w:rPr>
          <w:rFonts w:ascii="Times New Roman" w:cs="Times New Roman" w:eastAsia="Times New Roman" w:hAnsi="Times New Roman"/>
          <w:sz w:val="21"/>
          <w:szCs w:val="21"/>
          <w:color w:val="auto"/>
        </w:rPr>
      </w:pPr>
    </w:p>
    <w:p>
      <w:pPr>
        <w:ind w:left="160" w:firstLine="1297"/>
        <w:spacing w:after="0" w:line="251" w:lineRule="auto"/>
        <w:tabs>
          <w:tab w:leader="none" w:pos="1927"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determinations, interpretations and constructions made by the Board in good faith will not be subject to review by any person and will be final, binding and conclusive on all persons.</w:t>
      </w:r>
    </w:p>
    <w:p>
      <w:pPr>
        <w:spacing w:after="0" w:line="139"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Subject to the Plan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62" w:lineRule="exact"/>
        <w:rPr>
          <w:sz w:val="20"/>
          <w:szCs w:val="20"/>
          <w:color w:val="auto"/>
        </w:rPr>
      </w:pPr>
    </w:p>
    <w:p>
      <w:pPr>
        <w:jc w:val="both"/>
        <w:ind w:left="-60" w:firstLine="1297"/>
        <w:spacing w:after="0" w:line="226" w:lineRule="auto"/>
        <w:tabs>
          <w:tab w:leader="none" w:pos="1707"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11(a) relating to Capitalization Adjustments and Section 3(b), the maximum number of shares of Common Stock that may be issued under the Plan will not exceed 250,000 shares of Common Stock.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51" w:lineRule="exact"/>
        <w:rPr>
          <w:rFonts w:ascii="Times New Roman" w:cs="Times New Roman" w:eastAsia="Times New Roman" w:hAnsi="Times New Roman"/>
          <w:sz w:val="21"/>
          <w:szCs w:val="21"/>
          <w:color w:val="auto"/>
        </w:rPr>
      </w:pPr>
    </w:p>
    <w:p>
      <w:pPr>
        <w:ind w:left="-60" w:firstLine="1297"/>
        <w:spacing w:after="0" w:line="251" w:lineRule="auto"/>
        <w:tabs>
          <w:tab w:leader="none" w:pos="169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39" w:lineRule="exact"/>
        <w:rPr>
          <w:rFonts w:ascii="Times New Roman" w:cs="Times New Roman" w:eastAsia="Times New Roman" w:hAnsi="Times New Roman"/>
          <w:sz w:val="21"/>
          <w:szCs w:val="21"/>
          <w:color w:val="auto"/>
        </w:rPr>
      </w:pPr>
    </w:p>
    <w:p>
      <w:pPr>
        <w:ind w:left="-60" w:firstLine="1297"/>
        <w:spacing w:after="0" w:line="251" w:lineRule="auto"/>
        <w:tabs>
          <w:tab w:leader="none" w:pos="169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 purchasable under the Plan will be shares of authorized but unissued or reacquired shares of Common Stock, including shares repurchased by the Company on the open market.</w:t>
      </w:r>
    </w:p>
    <w:p>
      <w:pPr>
        <w:spacing w:after="0" w:line="139" w:lineRule="exact"/>
        <w:rPr>
          <w:rFonts w:ascii="Times New Roman" w:cs="Times New Roman" w:eastAsia="Times New Roman" w:hAnsi="Times New Roman"/>
          <w:sz w:val="21"/>
          <w:szCs w:val="21"/>
          <w:color w:val="auto"/>
        </w:rPr>
      </w:pPr>
    </w:p>
    <w:p>
      <w:pPr>
        <w:jc w:val="both"/>
        <w:ind w:left="-60" w:firstLine="1297"/>
        <w:spacing w:after="0" w:line="234" w:lineRule="auto"/>
        <w:tabs>
          <w:tab w:leader="none" w:pos="1707"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sub-plan adopted pursuant to Section 2(b)(ix) of the Plan shall be subject to the limits on shares of Common Stock under the Plan (inclusive of any adjustments), and shall be subject to the same share recycling provisions as the Plan (relating to purchase rights granted that terminate without having been exercised in full).</w:t>
      </w:r>
    </w:p>
    <w:p>
      <w:pPr>
        <w:spacing w:after="0" w:line="152" w:lineRule="exact"/>
        <w:rPr>
          <w:rFonts w:ascii="Times New Roman" w:cs="Times New Roman" w:eastAsia="Times New Roman" w:hAnsi="Times New Roman"/>
          <w:sz w:val="21"/>
          <w:szCs w:val="21"/>
          <w:color w:val="auto"/>
        </w:rPr>
      </w:pPr>
    </w:p>
    <w:p>
      <w:pPr>
        <w:ind w:left="1080" w:hanging="648"/>
        <w:spacing w:after="0"/>
        <w:tabs>
          <w:tab w:leader="none" w:pos="10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Purchase Rights; Offering</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60" w:firstLine="1297"/>
        <w:spacing w:after="0" w:line="220" w:lineRule="auto"/>
        <w:tabs>
          <w:tab w:leader="none" w:pos="1699"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from time to time grant or provide for the grant of Purchase Rights to Eligible Employees and/or Eligible Service Providers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will be incorporated by reference into the Plan and treated as part of the Plan. The provisions of separate Offerings need not be identical, but each Offering will include (through incorporation of the provisions of this Plan by reference in the Offering Document or otherwise) the period during which the Offering will be effective, which period will not exceed 27 months beginning with the Offering Date, and the substance of the provisions contained in Sections 5 through 8, inclusive.</w:t>
      </w:r>
    </w:p>
    <w:p>
      <w:pPr>
        <w:spacing w:after="0" w:line="155" w:lineRule="exact"/>
        <w:rPr>
          <w:rFonts w:ascii="Times New Roman" w:cs="Times New Roman" w:eastAsia="Times New Roman" w:hAnsi="Times New Roman"/>
          <w:sz w:val="21"/>
          <w:szCs w:val="21"/>
          <w:color w:val="auto"/>
        </w:rPr>
      </w:pPr>
    </w:p>
    <w:p>
      <w:pPr>
        <w:jc w:val="both"/>
        <w:ind w:left="-60" w:firstLine="1297"/>
        <w:spacing w:after="0" w:line="226" w:lineRule="auto"/>
        <w:tabs>
          <w:tab w:leader="none" w:pos="1699"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51" w:lineRule="exact"/>
        <w:rPr>
          <w:rFonts w:ascii="Times New Roman" w:cs="Times New Roman" w:eastAsia="Times New Roman" w:hAnsi="Times New Roman"/>
          <w:sz w:val="21"/>
          <w:szCs w:val="21"/>
          <w:color w:val="auto"/>
        </w:rPr>
      </w:pPr>
    </w:p>
    <w:p>
      <w:pPr>
        <w:jc w:val="both"/>
        <w:ind w:left="-60" w:firstLine="1297"/>
        <w:spacing w:after="0" w:line="226" w:lineRule="auto"/>
        <w:tabs>
          <w:tab w:leader="none" w:pos="1707"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Offering Period and Purchase Period.</w:t>
      </w:r>
    </w:p>
    <w:p>
      <w:pPr>
        <w:spacing w:after="0" w:line="151" w:lineRule="exact"/>
        <w:rPr>
          <w:rFonts w:ascii="Times New Roman" w:cs="Times New Roman" w:eastAsia="Times New Roman" w:hAnsi="Times New Roman"/>
          <w:sz w:val="21"/>
          <w:szCs w:val="21"/>
          <w:color w:val="auto"/>
        </w:rPr>
      </w:pPr>
    </w:p>
    <w:p>
      <w:pPr>
        <w:ind w:left="1080" w:hanging="648"/>
        <w:spacing w:after="0"/>
        <w:tabs>
          <w:tab w:leader="none" w:pos="10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020"/>
          </w:cols>
          <w:pgMar w:left="540" w:top="1440" w:right="339" w:bottom="1440" w:gutter="0" w:footer="0" w:header="0"/>
        </w:sectPr>
      </w:pPr>
    </w:p>
    <w:bookmarkStart w:id="91" w:name="page92"/>
    <w:bookmarkEnd w:id="91"/>
    <w:p>
      <w:pPr>
        <w:spacing w:after="0" w:line="162" w:lineRule="exact"/>
        <w:rPr>
          <w:sz w:val="20"/>
          <w:szCs w:val="20"/>
          <w:color w:val="auto"/>
        </w:rPr>
      </w:pPr>
    </w:p>
    <w:p>
      <w:pPr>
        <w:jc w:val="both"/>
        <w:ind w:left="-60" w:firstLine="1297"/>
        <w:spacing w:after="0" w:line="234" w:lineRule="auto"/>
        <w:tabs>
          <w:tab w:leader="none" w:pos="1707"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Rights may be granted only to Employees of the Company or, as the Board may designate in accordance with Section 2(b), to Employees of a Related Corporation or, solely with respect to the Non-423 Component, Employees of an Affiliate or Eligible Service Providers.</w:t>
      </w:r>
    </w:p>
    <w:p>
      <w:pPr>
        <w:spacing w:after="0" w:line="152" w:lineRule="exact"/>
        <w:rPr>
          <w:rFonts w:ascii="Times New Roman" w:cs="Times New Roman" w:eastAsia="Times New Roman" w:hAnsi="Times New Roman"/>
          <w:sz w:val="21"/>
          <w:szCs w:val="21"/>
          <w:color w:val="auto"/>
        </w:rPr>
      </w:pPr>
    </w:p>
    <w:p>
      <w:pPr>
        <w:jc w:val="both"/>
        <w:ind w:left="-60" w:firstLine="1297"/>
        <w:spacing w:after="0" w:line="220" w:lineRule="auto"/>
        <w:tabs>
          <w:tab w:leader="none" w:pos="1707"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provide that Employees will not be eligible to be granted Purchase Rights under the Plan if, on the Offering Date, the Employee (i) has not completed at least 12 continuous months of service since the Employee’s last hire date (or such lesser period of time as may be determined by the Board in its discretion), (ii) customarily works not more than 20 hours per (or such lesser period of time as may be determined by the Board in its discretion), (iv) is an Officer, (v) is a highly compensated employee within the meaning of Section 423(b)(4)(D) of the Code, or (vi) has not satisfied such other criteria as the Board may determine consistent with Section 423 of the Code. Unless otherwise determined by the Board for any Offering Period, an Employee will not be eligible to be granted Purchase Rights unless, on the Offering Date, the Employee customarily works more than 20 hours per week, and has been employed by the Company, a Related Corporation, or an Affiliate, as the case may be, for at least 12 continuous months preceding such Offering Date.</w:t>
      </w:r>
    </w:p>
    <w:p>
      <w:pPr>
        <w:spacing w:after="0" w:line="155" w:lineRule="exact"/>
        <w:rPr>
          <w:rFonts w:ascii="Times New Roman" w:cs="Times New Roman" w:eastAsia="Times New Roman" w:hAnsi="Times New Roman"/>
          <w:sz w:val="21"/>
          <w:szCs w:val="21"/>
          <w:color w:val="auto"/>
        </w:rPr>
      </w:pPr>
    </w:p>
    <w:p>
      <w:pPr>
        <w:jc w:val="both"/>
        <w:ind w:left="-60" w:firstLine="1297"/>
        <w:spacing w:after="0" w:line="224" w:lineRule="auto"/>
        <w:tabs>
          <w:tab w:leader="none" w:pos="1707"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423 Component, 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common stock which such Employee may purchase under all outstanding Purchase Rights and options will be treated as stock owned by such Employee.</w:t>
      </w:r>
    </w:p>
    <w:p>
      <w:pPr>
        <w:spacing w:after="0" w:line="150" w:lineRule="exact"/>
        <w:rPr>
          <w:rFonts w:ascii="Times New Roman" w:cs="Times New Roman" w:eastAsia="Times New Roman" w:hAnsi="Times New Roman"/>
          <w:sz w:val="21"/>
          <w:szCs w:val="21"/>
          <w:color w:val="auto"/>
        </w:rPr>
      </w:pPr>
    </w:p>
    <w:p>
      <w:pPr>
        <w:jc w:val="both"/>
        <w:ind w:left="-60" w:firstLine="1297"/>
        <w:spacing w:after="0" w:line="224" w:lineRule="auto"/>
        <w:tabs>
          <w:tab w:leader="none" w:pos="171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50" w:lineRule="exact"/>
        <w:rPr>
          <w:rFonts w:ascii="Times New Roman" w:cs="Times New Roman" w:eastAsia="Times New Roman" w:hAnsi="Times New Roman"/>
          <w:sz w:val="21"/>
          <w:szCs w:val="21"/>
          <w:color w:val="auto"/>
        </w:rPr>
      </w:pPr>
    </w:p>
    <w:p>
      <w:pPr>
        <w:ind w:left="-60" w:firstLine="1297"/>
        <w:spacing w:after="0" w:line="251" w:lineRule="auto"/>
        <w:tabs>
          <w:tab w:leader="none" w:pos="171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Eligible Service Provider will not be eligible to be granted Purchase Rights unless the Eligible Service Provider is providing bonafide services to the Company or a Designated Company on the applicable Offering Date.</w:t>
      </w:r>
    </w:p>
    <w:p>
      <w:pPr>
        <w:spacing w:after="0" w:line="139" w:lineRule="exact"/>
        <w:rPr>
          <w:rFonts w:ascii="Times New Roman" w:cs="Times New Roman" w:eastAsia="Times New Roman" w:hAnsi="Times New Roman"/>
          <w:sz w:val="21"/>
          <w:szCs w:val="21"/>
          <w:color w:val="auto"/>
        </w:rPr>
      </w:pPr>
    </w:p>
    <w:p>
      <w:pPr>
        <w:jc w:val="both"/>
        <w:ind w:left="-60" w:firstLine="1297"/>
        <w:spacing w:after="0" w:line="234" w:lineRule="auto"/>
        <w:tabs>
          <w:tab w:leader="none" w:pos="169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set forth herein except for Section 5(e) above, the Board may establish additional eligibility requirements, or fewer eligibility requirements, for Employees and/or Eligible Service Providers with respect to Offerings made under the Non-423 Component even if such requirements are not consistent with Section 423 of the Code.</w:t>
      </w:r>
    </w:p>
    <w:p>
      <w:pPr>
        <w:spacing w:after="0" w:line="152" w:lineRule="exact"/>
        <w:rPr>
          <w:rFonts w:ascii="Times New Roman" w:cs="Times New Roman" w:eastAsia="Times New Roman" w:hAnsi="Times New Roman"/>
          <w:sz w:val="21"/>
          <w:szCs w:val="21"/>
          <w:color w:val="auto"/>
        </w:rPr>
      </w:pPr>
    </w:p>
    <w:p>
      <w:pPr>
        <w:ind w:left="1080" w:hanging="648"/>
        <w:spacing w:after="0"/>
        <w:tabs>
          <w:tab w:leader="none" w:pos="108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 Rights; Purchase Price</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60" w:firstLine="1297"/>
        <w:spacing w:after="0"/>
        <w:tabs>
          <w:tab w:leader="none" w:pos="1707"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Offering Date, each Eligible Employee or Eligible Service Provider, pursuant to an Offering made under the Plan, will be granted a Purchase Right to purchase up to that number of shares of Common Stock (rounded down to the nearest whole share) purchasable either with a percentage or with a maximum dollar amount, as designated by the Board; provided however, that in the case of Eligible Employees, such percentage or maximum dollar amount will in either case not exceed 15% of such Employee’s earnings (as defined by the Board in each Offering) during the period that begins on the Offering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20"/>
          </w:cols>
          <w:pgMar w:left="540" w:top="1440" w:right="339" w:bottom="1440" w:gutter="0" w:footer="0" w:header="0"/>
        </w:sectPr>
      </w:pPr>
    </w:p>
    <w:bookmarkStart w:id="92" w:name="page93"/>
    <w:bookmarkEnd w:id="92"/>
    <w:p>
      <w:pPr>
        <w:spacing w:after="0" w:line="162" w:lineRule="exact"/>
        <w:rPr>
          <w:sz w:val="20"/>
          <w:szCs w:val="20"/>
          <w:color w:val="auto"/>
        </w:rPr>
      </w:pPr>
    </w:p>
    <w:p>
      <w:pPr>
        <w:ind w:left="160"/>
        <w:spacing w:after="0" w:line="251" w:lineRule="auto"/>
        <w:rPr>
          <w:sz w:val="20"/>
          <w:szCs w:val="20"/>
          <w:color w:val="auto"/>
        </w:rPr>
      </w:pPr>
      <w:r>
        <w:rPr>
          <w:rFonts w:ascii="Times New Roman" w:cs="Times New Roman" w:eastAsia="Times New Roman" w:hAnsi="Times New Roman"/>
          <w:sz w:val="21"/>
          <w:szCs w:val="21"/>
          <w:color w:val="auto"/>
        </w:rPr>
        <w:t>such later date as the Board determines for a particular Offering) and ends on the date stated in the Offering, which date will be no later than the end of the Offering, unless otherwise provided for in an Offering.</w:t>
      </w:r>
    </w:p>
    <w:p>
      <w:pPr>
        <w:spacing w:after="0" w:line="139" w:lineRule="exact"/>
        <w:rPr>
          <w:sz w:val="20"/>
          <w:szCs w:val="20"/>
          <w:color w:val="auto"/>
        </w:rPr>
      </w:pPr>
    </w:p>
    <w:p>
      <w:pPr>
        <w:ind w:left="160" w:firstLine="1297"/>
        <w:spacing w:after="0" w:line="251" w:lineRule="auto"/>
        <w:tabs>
          <w:tab w:leader="none" w:pos="192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39" w:lineRule="exact"/>
        <w:rPr>
          <w:rFonts w:ascii="Times New Roman" w:cs="Times New Roman" w:eastAsia="Times New Roman" w:hAnsi="Times New Roman"/>
          <w:sz w:val="21"/>
          <w:szCs w:val="21"/>
          <w:color w:val="auto"/>
        </w:rPr>
      </w:pPr>
    </w:p>
    <w:p>
      <w:pPr>
        <w:jc w:val="both"/>
        <w:ind w:left="160" w:firstLine="1297"/>
        <w:spacing w:after="0" w:line="221" w:lineRule="auto"/>
        <w:tabs>
          <w:tab w:leader="none" w:pos="1921"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 (iii) a maximum aggregate number of shares of Common Stock that may be purchased by all Participants on any Purchase Date under the Offering. If the aggregate purchase of shares of Common Stock issuable 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53" w:lineRule="exact"/>
        <w:rPr>
          <w:rFonts w:ascii="Times New Roman" w:cs="Times New Roman" w:eastAsia="Times New Roman" w:hAnsi="Times New Roman"/>
          <w:sz w:val="21"/>
          <w:szCs w:val="21"/>
          <w:color w:val="auto"/>
        </w:rPr>
      </w:pPr>
    </w:p>
    <w:p>
      <w:pPr>
        <w:ind w:left="160" w:right="20" w:firstLine="1297"/>
        <w:spacing w:after="0" w:line="251" w:lineRule="auto"/>
        <w:tabs>
          <w:tab w:leader="none" w:pos="192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price of shares of Common Stock acquired pursuant to Purchase Rights will be not less than the lesser of (but in no event lower than the par value per share of Common Stock):</w:t>
      </w:r>
    </w:p>
    <w:p>
      <w:pPr>
        <w:spacing w:after="0" w:line="136" w:lineRule="exact"/>
        <w:rPr>
          <w:rFonts w:ascii="Times New Roman" w:cs="Times New Roman" w:eastAsia="Times New Roman" w:hAnsi="Times New Roman"/>
          <w:sz w:val="21"/>
          <w:szCs w:val="21"/>
          <w:color w:val="auto"/>
        </w:rPr>
      </w:pPr>
    </w:p>
    <w:p>
      <w:pPr>
        <w:ind w:left="2580" w:hanging="318"/>
        <w:spacing w:after="0"/>
        <w:tabs>
          <w:tab w:leader="none" w:pos="258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95% of the Fair Market Value of the shares of Common Stock on the Offering</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Date; or</w:t>
      </w:r>
    </w:p>
    <w:p>
      <w:pPr>
        <w:spacing w:after="0" w:line="161" w:lineRule="exact"/>
        <w:rPr>
          <w:rFonts w:ascii="Times New Roman" w:cs="Times New Roman" w:eastAsia="Times New Roman" w:hAnsi="Times New Roman"/>
          <w:sz w:val="21"/>
          <w:szCs w:val="21"/>
          <w:color w:val="auto"/>
        </w:rPr>
      </w:pPr>
    </w:p>
    <w:p>
      <w:pPr>
        <w:ind w:left="2580" w:hanging="318"/>
        <w:spacing w:after="0"/>
        <w:tabs>
          <w:tab w:leader="none" w:pos="258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95% of the Fair Market Value of the shares of Common Stock on the applicable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Date;</w:t>
      </w:r>
    </w:p>
    <w:p>
      <w:pPr>
        <w:spacing w:after="0" w:line="164" w:lineRule="exact"/>
        <w:rPr>
          <w:sz w:val="20"/>
          <w:szCs w:val="20"/>
          <w:color w:val="auto"/>
        </w:rPr>
      </w:pPr>
    </w:p>
    <w:p>
      <w:pPr>
        <w:jc w:val="both"/>
        <w:ind w:firstLine="644"/>
        <w:spacing w:after="0" w:line="226" w:lineRule="auto"/>
        <w:rPr>
          <w:sz w:val="20"/>
          <w:szCs w:val="20"/>
          <w:color w:val="auto"/>
        </w:rPr>
      </w:pPr>
      <w:r>
        <w:rPr>
          <w:rFonts w:ascii="Times New Roman" w:cs="Times New Roman" w:eastAsia="Times New Roman" w:hAnsi="Times New Roman"/>
          <w:sz w:val="21"/>
          <w:szCs w:val="21"/>
          <w:color w:val="auto"/>
        </w:rPr>
        <w:t>provided, however, that the Committee may determine a different purchase price per share of Common Stock (but in no event lower than the par value per share of Common Stock) so long as such per share purchase price is communicated to Participants prior to the beginning of the Offerning Period and such per share purchase price is not less than the lesser of (i) an amount equal to 85% of the Fair Market Value of the shares of Common Stock on the Offering Date or (ii) an amount equal to 85% of the Fair Market Value of the shares of Common Stock on the applicable Purchase Date.</w:t>
      </w:r>
    </w:p>
    <w:p>
      <w:pPr>
        <w:spacing w:after="0" w:line="151" w:lineRule="exact"/>
        <w:rPr>
          <w:sz w:val="20"/>
          <w:szCs w:val="20"/>
          <w:color w:val="auto"/>
        </w:rPr>
      </w:pPr>
    </w:p>
    <w:p>
      <w:pPr>
        <w:ind w:left="1300" w:hanging="648"/>
        <w:spacing w:after="0"/>
        <w:tabs>
          <w:tab w:leader="none" w:pos="130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 Withdrawal; Termination</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160" w:firstLine="1297"/>
        <w:spacing w:after="0" w:line="222" w:lineRule="auto"/>
        <w:tabs>
          <w:tab w:leader="none" w:pos="1928"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Eligible Employee may elect to authorize payroll deductions as the means of making Contributions by completing the enrollment process defined by the Company, within the time specified by the Company, or any third party designated by the Company (each, a “</w:t>
      </w:r>
      <w:r>
        <w:rPr>
          <w:rFonts w:ascii="Times New Roman" w:cs="Times New Roman" w:eastAsia="Times New Roman" w:hAnsi="Times New Roman"/>
          <w:sz w:val="21"/>
          <w:szCs w:val="21"/>
          <w:u w:val="single" w:color="auto"/>
          <w:color w:val="auto"/>
        </w:rPr>
        <w:t>Company Designee</w:t>
      </w:r>
      <w:r>
        <w:rPr>
          <w:rFonts w:ascii="Times New Roman" w:cs="Times New Roman" w:eastAsia="Times New Roman" w:hAnsi="Times New Roman"/>
          <w:sz w:val="21"/>
          <w:szCs w:val="21"/>
          <w:color w:val="auto"/>
        </w:rPr>
        <w:t>”). The enrollment process will specify the amount of Contributions, which shall not be less than 1% of such Employee’s earning (as defined by the Board in each Offering) and shall not exceed the maximum amount specified by the Board. Each Participant’s Contributions will be credited to a bookkeeping account for such Participant under the Plan and will be deposited with the general funds of the Company except where applicable laws or regulations require that Contributions be deposited with a Company Designee or otherwise be segregated.</w:t>
      </w:r>
    </w:p>
    <w:p>
      <w:pPr>
        <w:spacing w:after="0" w:line="154" w:lineRule="exact"/>
        <w:rPr>
          <w:rFonts w:ascii="Times New Roman" w:cs="Times New Roman" w:eastAsia="Times New Roman" w:hAnsi="Times New Roman"/>
          <w:sz w:val="21"/>
          <w:szCs w:val="21"/>
          <w:color w:val="auto"/>
        </w:rPr>
      </w:pPr>
    </w:p>
    <w:p>
      <w:pPr>
        <w:jc w:val="both"/>
        <w:ind w:left="160" w:right="20" w:firstLine="1297"/>
        <w:spacing w:after="0" w:line="234" w:lineRule="auto"/>
        <w:tabs>
          <w:tab w:leader="none" w:pos="1927"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permitted in the Offering, a Participant may begin Contributions with the first payroll or payment date occurring on or after the Offering Date (or, in the case of a payroll date or payment date that occurs after the end of the prior Offering but before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Offering Date of the next new Offering, Contributions from such payroll or payment will be included in the new Offering) or on such other date as set forth in the Offering. If permitted in the Offering, a Participant may thereafter reduce (including to zero) or increase his or her Contributions.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directed by the Company or a Company Designee.</w:t>
      </w:r>
    </w:p>
    <w:p>
      <w:pPr>
        <w:spacing w:after="0" w:line="151" w:lineRule="exact"/>
        <w:rPr>
          <w:sz w:val="20"/>
          <w:szCs w:val="20"/>
          <w:color w:val="auto"/>
        </w:rPr>
      </w:pPr>
    </w:p>
    <w:p>
      <w:pPr>
        <w:jc w:val="both"/>
        <w:ind w:firstLine="1297"/>
        <w:spacing w:after="0" w:line="222" w:lineRule="auto"/>
        <w:tabs>
          <w:tab w:leader="none" w:pos="176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 Offering, a Participant may cease making Contributions and withdraw from the Offering by completing the withdrawal process defined by the Company or a Company Designee. The Company may impose a deadline before a Purchase Date for withdrawing. On such withdrawal, such Participant’s Purchase Right in that Offering will immediately terminate and the Company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Plan, but such Participant will be required to re-enroll to participate in subsequent Offerings.</w:t>
      </w:r>
    </w:p>
    <w:p>
      <w:pPr>
        <w:spacing w:after="0" w:line="154" w:lineRule="exact"/>
        <w:rPr>
          <w:rFonts w:ascii="Times New Roman" w:cs="Times New Roman" w:eastAsia="Times New Roman" w:hAnsi="Times New Roman"/>
          <w:sz w:val="21"/>
          <w:szCs w:val="21"/>
          <w:color w:val="auto"/>
        </w:rPr>
      </w:pPr>
    </w:p>
    <w:p>
      <w:pPr>
        <w:jc w:val="both"/>
        <w:ind w:firstLine="1297"/>
        <w:spacing w:after="0"/>
        <w:tabs>
          <w:tab w:leader="none" w:pos="1767"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Rights granted pursuant to any Offering under the Plan will terminate immediately if the Participant either (i) is no longer an Eligible Employee or Eligible Service Provider for any reason or for no reason, or (ii) is otherwise no longer eligible to participate. The Company shall have the exclusive discretion to determine when Participant is no longer actively providing services and the date of the termination of employment or service for purposes of the Plan. As soon as practicable, the Company will distribute to such individual all of his or her accumulated but unused Contributions without interest.</w:t>
      </w:r>
    </w:p>
    <w:p>
      <w:pPr>
        <w:spacing w:after="0" w:line="295" w:lineRule="exact"/>
        <w:rPr>
          <w:rFonts w:ascii="Times New Roman" w:cs="Times New Roman" w:eastAsia="Times New Roman" w:hAnsi="Times New Roman"/>
          <w:sz w:val="21"/>
          <w:szCs w:val="21"/>
          <w:color w:val="auto"/>
        </w:rPr>
      </w:pPr>
    </w:p>
    <w:p>
      <w:pPr>
        <w:jc w:val="both"/>
        <w:ind w:firstLine="1297"/>
        <w:spacing w:after="0" w:line="234" w:lineRule="auto"/>
        <w:tabs>
          <w:tab w:leader="none" w:pos="176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52" w:lineRule="exact"/>
        <w:rPr>
          <w:rFonts w:ascii="Times New Roman" w:cs="Times New Roman" w:eastAsia="Times New Roman" w:hAnsi="Times New Roman"/>
          <w:sz w:val="21"/>
          <w:szCs w:val="21"/>
          <w:color w:val="auto"/>
        </w:rPr>
      </w:pPr>
    </w:p>
    <w:p>
      <w:pPr>
        <w:ind w:firstLine="1297"/>
        <w:spacing w:after="0" w:line="251" w:lineRule="auto"/>
        <w:tabs>
          <w:tab w:leader="none" w:pos="1771"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specified in the Offering or required by applicable laws, the Company will have no obligation to pay interest on Contributions.</w:t>
      </w:r>
    </w:p>
    <w:p>
      <w:pPr>
        <w:spacing w:after="0" w:line="139" w:lineRule="exact"/>
        <w:rPr>
          <w:rFonts w:ascii="Times New Roman" w:cs="Times New Roman" w:eastAsia="Times New Roman" w:hAnsi="Times New Roman"/>
          <w:sz w:val="21"/>
          <w:szCs w:val="21"/>
          <w:color w:val="auto"/>
        </w:rPr>
      </w:pPr>
    </w:p>
    <w:p>
      <w:pPr>
        <w:ind w:left="1140" w:hanging="648"/>
        <w:spacing w:after="0"/>
        <w:tabs>
          <w:tab w:leader="none" w:pos="114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Purchase Rights</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1297"/>
        <w:spacing w:after="0" w:line="229" w:lineRule="auto"/>
        <w:tabs>
          <w:tab w:leader="none" w:pos="176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Purchase Date, each Participant’s accumulated Contributions will be applied to the purchase of shares of Common Stock (rounded down to the nearest whole share), up to the maximum number of shares of Common Stock permitted by the Plan and the applicable Offering, at the purchase price specified in the Offering. No fractional shares will be issued unless specifically provided for in the Offering.</w:t>
      </w:r>
    </w:p>
    <w:p>
      <w:pPr>
        <w:spacing w:after="0" w:line="152" w:lineRule="exact"/>
        <w:rPr>
          <w:rFonts w:ascii="Times New Roman" w:cs="Times New Roman" w:eastAsia="Times New Roman" w:hAnsi="Times New Roman"/>
          <w:sz w:val="21"/>
          <w:szCs w:val="21"/>
          <w:color w:val="auto"/>
        </w:rPr>
      </w:pPr>
    </w:p>
    <w:p>
      <w:pPr>
        <w:jc w:val="both"/>
        <w:ind w:firstLine="1297"/>
        <w:spacing w:after="0" w:line="234" w:lineRule="auto"/>
        <w:tabs>
          <w:tab w:leader="none" w:pos="1767"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Offering, if any amount of accumulated Contributions remains in a Participant’s account after the purchase of shares of Common Stock on the final Purchase Date in an Offering, then such remaining amount will roll over to the next Offering.</w:t>
      </w:r>
    </w:p>
    <w:p>
      <w:pPr>
        <w:spacing w:after="0" w:line="152" w:lineRule="exact"/>
        <w:rPr>
          <w:rFonts w:ascii="Times New Roman" w:cs="Times New Roman" w:eastAsia="Times New Roman" w:hAnsi="Times New Roman"/>
          <w:sz w:val="21"/>
          <w:szCs w:val="21"/>
          <w:color w:val="auto"/>
        </w:rPr>
      </w:pPr>
    </w:p>
    <w:p>
      <w:pPr>
        <w:jc w:val="both"/>
        <w:ind w:firstLine="1297"/>
        <w:spacing w:after="0" w:line="226" w:lineRule="auto"/>
        <w:tabs>
          <w:tab w:leader="none" w:pos="176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Purchase Rights may be exercised to any extent unless the shares of Common Stock to be issued on such exercise under the Plan are covered by an effective registration statement pursuant to the Securities Act and the Plan is in material compliance with all applicable U.S. federal and state, non-U.S. and other securities, exchange control and other laws applicable to the Plan. If on a Purchase Date the shares of Common Stock are not so registered or the Plan is not in such compliance, no Purchase Rights will be exercised on such</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080"/>
          </w:cols>
          <w:pgMar w:left="480" w:top="1440" w:right="339" w:bottom="1440" w:gutter="0" w:footer="0" w:header="0"/>
        </w:sectPr>
      </w:pPr>
    </w:p>
    <w:bookmarkStart w:id="94" w:name="page95"/>
    <w:bookmarkEnd w:id="94"/>
    <w:p>
      <w:pPr>
        <w:spacing w:after="0" w:line="16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1"/>
          <w:szCs w:val="21"/>
          <w:color w:val="auto"/>
        </w:rPr>
        <w:t>Purchase Date, and the Purchase Date will be delayed until the shares of Common Stock are subject to such an effective registration statement and the Plan is in material compliance, except that the Purchase Date will in no event be more than three</w:t>
      </w:r>
    </w:p>
    <w:p>
      <w:pPr>
        <w:spacing w:after="0" w:line="1" w:lineRule="exact"/>
        <w:rPr>
          <w:sz w:val="20"/>
          <w:szCs w:val="20"/>
          <w:color w:val="auto"/>
        </w:rPr>
      </w:pPr>
    </w:p>
    <w:p>
      <w:pPr>
        <w:jc w:val="both"/>
        <w:ind w:firstLine="8"/>
        <w:spacing w:after="0" w:line="223" w:lineRule="auto"/>
        <w:tabs>
          <w:tab w:leader="none" w:pos="309"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from the original Purchase Date. If, on the Purchase Date, as delayed to the maximum extent permissible, the shares of Common Stock are not registered and the Plan is not in material compliance with all applicable laws or regulations, as determined by the Company in its sole discretion, no Purchase Rights will be exercised and all accumulated but unused Contributions will be distributed as soon as practicable to the Participants without interest.</w:t>
      </w:r>
    </w:p>
    <w:p>
      <w:pPr>
        <w:spacing w:after="0" w:line="152" w:lineRule="exact"/>
        <w:rPr>
          <w:rFonts w:ascii="Times New Roman" w:cs="Times New Roman" w:eastAsia="Times New Roman" w:hAnsi="Times New Roman"/>
          <w:sz w:val="21"/>
          <w:szCs w:val="21"/>
          <w:color w:val="auto"/>
        </w:rPr>
      </w:pPr>
    </w:p>
    <w:p>
      <w:pPr>
        <w:jc w:val="both"/>
        <w:ind w:left="-160" w:firstLine="652"/>
        <w:spacing w:after="0" w:line="222" w:lineRule="auto"/>
        <w:tabs>
          <w:tab w:leader="none" w:pos="1128"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 of the Company</w:t>
      </w:r>
      <w:r>
        <w:rPr>
          <w:rFonts w:ascii="Times New Roman" w:cs="Times New Roman" w:eastAsia="Times New Roman" w:hAnsi="Times New Roman"/>
          <w:sz w:val="21"/>
          <w:szCs w:val="21"/>
          <w:color w:val="auto"/>
        </w:rPr>
        <w:t>. The Company will seek to obtain from each U.S. federal or state, non-U.S.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or to issue and sell Common Stock on exercise of such Purchase Rights.</w:t>
      </w:r>
    </w:p>
    <w:p>
      <w:pPr>
        <w:spacing w:after="0" w:line="154" w:lineRule="exact"/>
        <w:rPr>
          <w:rFonts w:ascii="Times New Roman" w:cs="Times New Roman" w:eastAsia="Times New Roman" w:hAnsi="Times New Roman"/>
          <w:sz w:val="21"/>
          <w:szCs w:val="21"/>
          <w:color w:val="auto"/>
        </w:rPr>
      </w:pPr>
    </w:p>
    <w:p>
      <w:pPr>
        <w:ind w:left="1140" w:hanging="648"/>
        <w:spacing w:after="0"/>
        <w:tabs>
          <w:tab w:leader="none" w:pos="114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Beneficiary</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1297"/>
        <w:spacing w:after="0"/>
        <w:tabs>
          <w:tab w:leader="none" w:pos="1767" w:val="left"/>
        </w:tabs>
        <w:numPr>
          <w:ilvl w:val="2"/>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but is not obligated to, permit a Participant to submit a form designating any beneficiary or beneficiaries who will receive any shares of Common Stock or Contributions from the Participant’s account under the Plan if the Participant dies before such shares of Common Stock or Contributions are delivered to the Participant. The Company may, but is not obligated to, permit the Participant to change such designation of beneficiary. Each such designation shall revoke all prior designations by the same Participant and will be effective only when filed by the Participant in writing (on a form approved by the Company or as approved by the Company for use by a Company Designee) with the Company during the Participant’s lifetime.</w:t>
      </w:r>
    </w:p>
    <w:p>
      <w:pPr>
        <w:spacing w:after="0" w:line="268" w:lineRule="exact"/>
        <w:rPr>
          <w:rFonts w:ascii="Times New Roman" w:cs="Times New Roman" w:eastAsia="Times New Roman" w:hAnsi="Times New Roman"/>
          <w:sz w:val="21"/>
          <w:szCs w:val="21"/>
          <w:color w:val="auto"/>
        </w:rPr>
      </w:pPr>
    </w:p>
    <w:p>
      <w:pPr>
        <w:jc w:val="both"/>
        <w:ind w:firstLine="1297"/>
        <w:spacing w:after="0" w:line="220" w:lineRule="auto"/>
        <w:tabs>
          <w:tab w:leader="none" w:pos="1767" w:val="left"/>
        </w:tabs>
        <w:numPr>
          <w:ilvl w:val="2"/>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absence of a valid designation as provided in Section 10(a) above, if no validly designated beneficiary survives the Participant or if each surviving validly designated beneficiary is legally impaired or prohibited from receiving any shares of Common Stock or Contributions, the Participant’s beneficiary shall be the legatee or legatees designated under the Participant’s last will or by such Participant’s executors, personal representatives or distributees of such shares of Common Stock or Contributions in accordance with the Participant’s will or the laws of descent and distribution. If no executor or administrator has been appointed (to the knowledge of the Company), the Company, in its sole discretion, may deliver such shares of Common Stock and Contributions, without interest, to the Participant’s spouse, dependents or relatives, or if no spouse, dependent or relative is known to the Company, then to such other person as the Company may designate. Any transfer permitted under this Section 10 shall be for no consideration.</w:t>
      </w:r>
    </w:p>
    <w:p>
      <w:pPr>
        <w:spacing w:after="0" w:line="155" w:lineRule="exact"/>
        <w:rPr>
          <w:rFonts w:ascii="Times New Roman" w:cs="Times New Roman" w:eastAsia="Times New Roman" w:hAnsi="Times New Roman"/>
          <w:sz w:val="21"/>
          <w:szCs w:val="21"/>
          <w:color w:val="auto"/>
        </w:rPr>
      </w:pPr>
    </w:p>
    <w:p>
      <w:pPr>
        <w:ind w:left="1120" w:hanging="628"/>
        <w:spacing w:after="0"/>
        <w:tabs>
          <w:tab w:leader="none" w:pos="112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Capitalization Adjustments; Dissolution or Liquidation; Change in Control</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1297"/>
        <w:spacing w:after="0" w:line="226" w:lineRule="auto"/>
        <w:tabs>
          <w:tab w:leader="none" w:pos="1768" w:val="left"/>
        </w:tabs>
        <w:numPr>
          <w:ilvl w:val="2"/>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Capitalization Adjustment, the Board will appropriately and proportionately adjust: (i) the class(es) and maximum number of securities subject to the Plan pursuant to Section 3(a), (ii) the class(es) and number of securities subject to, and the purchase price applicable to outstanding Offerings and Purchase Rights, and (iii) the class(es) and number of securities that are the subject of the purchase limits under each ongoing Offering. The Board will make these adjustments, and its determination will be final, binding, and conclusive.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080"/>
          </w:cols>
          <w:pgMar w:left="480" w:top="1440" w:right="339" w:bottom="1440" w:gutter="0" w:footer="0" w:header="0"/>
        </w:sectPr>
      </w:pPr>
    </w:p>
    <w:bookmarkStart w:id="95" w:name="page96"/>
    <w:bookmarkEnd w:id="95"/>
    <w:p>
      <w:pPr>
        <w:spacing w:after="0" w:line="162" w:lineRule="exact"/>
        <w:rPr>
          <w:sz w:val="20"/>
          <w:szCs w:val="20"/>
          <w:color w:val="auto"/>
        </w:rPr>
      </w:pPr>
    </w:p>
    <w:p>
      <w:pPr>
        <w:jc w:val="both"/>
        <w:ind w:left="-8" w:firstLine="1297"/>
        <w:spacing w:after="0" w:line="226" w:lineRule="auto"/>
        <w:tabs>
          <w:tab w:leader="none" w:pos="1759"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dissolution or liquidation of the Company, the Board will shorten any Offering then in progress by setting a New Purchase Date prior to the consummation of such proposed dissolution or liquidation.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 as provided in Section 7.</w:t>
      </w:r>
    </w:p>
    <w:p>
      <w:pPr>
        <w:spacing w:after="0" w:line="151" w:lineRule="exact"/>
        <w:rPr>
          <w:rFonts w:ascii="Times New Roman" w:cs="Times New Roman" w:eastAsia="Times New Roman" w:hAnsi="Times New Roman"/>
          <w:sz w:val="21"/>
          <w:szCs w:val="21"/>
          <w:color w:val="auto"/>
        </w:rPr>
      </w:pPr>
    </w:p>
    <w:p>
      <w:pPr>
        <w:jc w:val="both"/>
        <w:ind w:left="-8" w:firstLine="1297"/>
        <w:spacing w:after="0" w:line="219" w:lineRule="auto"/>
        <w:tabs>
          <w:tab w:leader="none" w:pos="1760"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Change in Control,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Change in Control)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prior to the Change in Control under the outstanding Purchase Rights (with such actual date to be determined by the Board in its sole discretion), and the Purchase Rights will terminate immediately after such purchase.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 as provided in Section 7.</w:t>
      </w:r>
    </w:p>
    <w:p>
      <w:pPr>
        <w:spacing w:after="0" w:line="152" w:lineRule="exact"/>
        <w:rPr>
          <w:rFonts w:ascii="Times New Roman" w:cs="Times New Roman" w:eastAsia="Times New Roman" w:hAnsi="Times New Roman"/>
          <w:sz w:val="21"/>
          <w:szCs w:val="21"/>
          <w:color w:val="auto"/>
        </w:rPr>
      </w:pPr>
    </w:p>
    <w:p>
      <w:pPr>
        <w:ind w:left="1132" w:hanging="648"/>
        <w:spacing w:after="0"/>
        <w:tabs>
          <w:tab w:leader="none" w:pos="1132"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Termination or Suspension of the Plan</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8" w:firstLine="1297"/>
        <w:spacing w:after="0" w:line="219" w:lineRule="auto"/>
        <w:tabs>
          <w:tab w:leader="none" w:pos="1751"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laws, regulations or listing requirements, including any amendment that either (i) increases the number of shares of Common Stock available for issuance under the Plan,</w:t>
      </w:r>
    </w:p>
    <w:p>
      <w:pPr>
        <w:spacing w:after="0" w:line="1" w:lineRule="exact"/>
        <w:rPr>
          <w:rFonts w:ascii="Times New Roman" w:cs="Times New Roman" w:eastAsia="Times New Roman" w:hAnsi="Times New Roman"/>
          <w:sz w:val="21"/>
          <w:szCs w:val="21"/>
          <w:color w:val="auto"/>
        </w:rPr>
      </w:pPr>
    </w:p>
    <w:p>
      <w:pPr>
        <w:jc w:val="both"/>
        <w:ind w:left="-8" w:firstLine="8"/>
        <w:spacing w:after="0"/>
        <w:tabs>
          <w:tab w:leader="none" w:pos="32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expands the class of individuals eligible to become Participants and receive Purchase Rights, (iii) materially increases the benefits accruing to Participants under the Plan or reduces the price at which shares of Common Stock may be purchased under the Plan, (iv) extends the term of the Plan, or (v) expands the types of awards available for issuance under the Plan, but in each of (i) through (v) above only to the extent stockholder approval is required by applicable laws, regulations, or listing requirements.</w:t>
      </w:r>
    </w:p>
    <w:p>
      <w:pPr>
        <w:spacing w:after="0" w:line="298" w:lineRule="exact"/>
        <w:rPr>
          <w:rFonts w:ascii="Times New Roman" w:cs="Times New Roman" w:eastAsia="Times New Roman" w:hAnsi="Times New Roman"/>
          <w:sz w:val="21"/>
          <w:szCs w:val="21"/>
          <w:color w:val="auto"/>
        </w:rPr>
      </w:pPr>
    </w:p>
    <w:p>
      <w:pPr>
        <w:ind w:left="-8" w:firstLine="1297"/>
        <w:spacing w:after="0" w:line="251" w:lineRule="auto"/>
        <w:tabs>
          <w:tab w:leader="none" w:pos="1751" w:val="left"/>
        </w:tabs>
        <w:numPr>
          <w:ilvl w:val="2"/>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suspend or terminate the Plan at any time. No Purchase Rights may be granted under the Plan while the Plan is suspended or after it is terminated.</w:t>
      </w:r>
    </w:p>
    <w:p>
      <w:pPr>
        <w:spacing w:after="0" w:line="139" w:lineRule="exact"/>
        <w:rPr>
          <w:rFonts w:ascii="Times New Roman" w:cs="Times New Roman" w:eastAsia="Times New Roman" w:hAnsi="Times New Roman"/>
          <w:sz w:val="21"/>
          <w:szCs w:val="21"/>
          <w:color w:val="auto"/>
        </w:rPr>
      </w:pPr>
    </w:p>
    <w:p>
      <w:pPr>
        <w:jc w:val="both"/>
        <w:ind w:left="-8" w:firstLine="1297"/>
        <w:spacing w:after="0"/>
        <w:tabs>
          <w:tab w:leader="none" w:pos="1759" w:val="left"/>
        </w:tabs>
        <w:numPr>
          <w:ilvl w:val="2"/>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any special tax, listing, or regulatory treatment. To be clear, the Board may amend outstanding Purchase Rights without a Participant’s consent if such amendment is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072"/>
          </w:cols>
          <w:pgMar w:left="488" w:top="1440" w:right="339" w:bottom="1440" w:gutter="0" w:footer="0" w:header="0"/>
        </w:sectPr>
      </w:pPr>
    </w:p>
    <w:bookmarkStart w:id="96" w:name="page97"/>
    <w:bookmarkEnd w:id="96"/>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ensure that the Purchase Right or the 423 Component complies with the requirements of Section 423 of the Code.</w:t>
      </w:r>
    </w:p>
    <w:p>
      <w:pPr>
        <w:spacing w:after="0" w:line="188" w:lineRule="exact"/>
        <w:rPr>
          <w:sz w:val="20"/>
          <w:szCs w:val="20"/>
          <w:color w:val="auto"/>
        </w:rPr>
      </w:pPr>
    </w:p>
    <w:p>
      <w:pPr>
        <w:ind w:left="1140" w:hanging="648"/>
        <w:spacing w:after="0"/>
        <w:tabs>
          <w:tab w:leader="none" w:pos="114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Sections 409A and 457A of the Code; Tax Qualification</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firstLine="1297"/>
        <w:spacing w:after="0" w:line="233" w:lineRule="auto"/>
        <w:tabs>
          <w:tab w:leader="none" w:pos="1767" w:val="left"/>
        </w:tabs>
        <w:numPr>
          <w:ilvl w:val="2"/>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Rights granted under the 423 Component are intended to be exempt from the application of Section 409A of the Code. Purchase Rights granted under the Non-423 Component to U.S. taxpayers are intended to be exempt from the application of Section 409A of the Code under the short-term deferral exception and any ambiguities will be construed and interpreted in accordance with such intent. Subject to Section 13(b) below, Purchase Rights granted to U.S. taxpayers under the Non-423 Component will be subject to such terms and conditions that will permit such Purchase Rights to satisfy the requirements of the short-term deferral exception or other exemption available under Section 409A of the Code, including the requirement that the shares subject to a Purchase Right be delivered within the short-term deferral period. Subject to Section 13(b) below, in the case of a Participant who would otherwise be subject to Section 409A of the Code, to the extent the Board determines that a Purchase Right or the exercise, payment, settlement, or deferral thereof is subject to Section 409A of the Code, the Purchase Right will be granted, exercised, paid, settled, or deferred in a manner that will comply with Section 409A of the Code, including U.S. Department of Treasury regulations and other interpretive guidance issued thereunder, including, without limitation, any such regulations or other guidance that may be issued after the adoption of the Plan. Notwithstanding the foregoing, in no event whatsoever shall the Company be liable for any additional tax, interest or penalties that may be imposed on a Participant by Section 409A of the Code or any damages for failing to comply with Section 409A of the Code.</w:t>
      </w:r>
    </w:p>
    <w:p>
      <w:pPr>
        <w:spacing w:after="0" w:line="153" w:lineRule="exact"/>
        <w:rPr>
          <w:rFonts w:ascii="Times New Roman" w:cs="Times New Roman" w:eastAsia="Times New Roman" w:hAnsi="Times New Roman"/>
          <w:sz w:val="21"/>
          <w:szCs w:val="21"/>
          <w:color w:val="auto"/>
        </w:rPr>
      </w:pPr>
    </w:p>
    <w:p>
      <w:pPr>
        <w:jc w:val="both"/>
        <w:ind w:firstLine="1297"/>
        <w:spacing w:after="0" w:line="219" w:lineRule="auto"/>
        <w:tabs>
          <w:tab w:leader="none" w:pos="1768" w:val="left"/>
        </w:tabs>
        <w:numPr>
          <w:ilvl w:val="2"/>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Rights are intended to be exempt from the application of Section 457A of the Code. In the event that the Committee determines that Purchase Rights may be subject to Section 457A of the Code, the Committee may, in its sole discretion and without a Participant’s prior consent, amend the Plan and/or adopt policies and procedures, or take any other actions (including amendments, policies, procedures and actions with retroactive effect) as are necessary or appropriate to</w:t>
      </w:r>
    </w:p>
    <w:p>
      <w:pPr>
        <w:spacing w:after="0" w:line="1" w:lineRule="exact"/>
        <w:rPr>
          <w:rFonts w:ascii="Times New Roman" w:cs="Times New Roman" w:eastAsia="Times New Roman" w:hAnsi="Times New Roman"/>
          <w:sz w:val="21"/>
          <w:szCs w:val="21"/>
          <w:color w:val="auto"/>
        </w:rPr>
      </w:pPr>
    </w:p>
    <w:p>
      <w:pPr>
        <w:jc w:val="both"/>
        <w:ind w:firstLine="8"/>
        <w:spacing w:after="0" w:line="219" w:lineRule="auto"/>
        <w:tabs>
          <w:tab w:leader="none" w:pos="26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exempt the Plan and/or any Purchase Right from the application of Section 457A, (ii) preserve the intended tax treatment of any such Purchase Right, or (iii) comply with the requirements of Section 457A, including without limitation any such regulations, guidance, compliance programs and other interpretative authority that may be issued after the date of the grant. To the extent that a Purchase Right constitutes deferred compensation subject to Section 457A, such Purchase Right will be subject to taxation in accordance with Section 457A. Notwithstanding the foregoing, in no event whatsoever shall the Company be liable for any additional tax, interest or penalties that may be imposed on a Participant by Section 457A of the Code or any damages for failing to comply with Section 457A of the Code.</w:t>
      </w:r>
    </w:p>
    <w:p>
      <w:pPr>
        <w:spacing w:after="0" w:line="151" w:lineRule="exact"/>
        <w:rPr>
          <w:rFonts w:ascii="Times New Roman" w:cs="Times New Roman" w:eastAsia="Times New Roman" w:hAnsi="Times New Roman"/>
          <w:sz w:val="21"/>
          <w:szCs w:val="21"/>
          <w:color w:val="auto"/>
        </w:rPr>
      </w:pPr>
    </w:p>
    <w:p>
      <w:pPr>
        <w:jc w:val="both"/>
        <w:ind w:firstLine="1297"/>
        <w:spacing w:after="0" w:line="224" w:lineRule="auto"/>
        <w:tabs>
          <w:tab w:leader="none" w:pos="1771"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Company may endeavor to (i) qualify a Purchase Right for special tax treatment under the laws of the United States or jurisdictions outside of the United States, or (ii) avoid adverse tax treatment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under Section 409A or Section 457A of the Code), the Company makes no representation to that effect and expressly disavows any covenant to maintain special or to avoid unfavorable tax treatment, notwithstanding anything to the contrary in this Plan, including Section 13(a) above. The Company will be unconstrained in its corporate activities without regard to the potential negative tax impact on Participants under the Plan.</w:t>
      </w:r>
    </w:p>
    <w:p>
      <w:pPr>
        <w:spacing w:after="0" w:line="150" w:lineRule="exact"/>
        <w:rPr>
          <w:rFonts w:ascii="Times New Roman" w:cs="Times New Roman" w:eastAsia="Times New Roman" w:hAnsi="Times New Roman"/>
          <w:sz w:val="21"/>
          <w:szCs w:val="21"/>
          <w:color w:val="auto"/>
        </w:rPr>
      </w:pPr>
    </w:p>
    <w:p>
      <w:pPr>
        <w:ind w:left="-160" w:firstLine="652"/>
        <w:spacing w:after="0" w:line="251" w:lineRule="auto"/>
        <w:tabs>
          <w:tab w:leader="none" w:pos="1128"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 of Plan</w:t>
      </w:r>
      <w:r>
        <w:rPr>
          <w:rFonts w:ascii="Times New Roman" w:cs="Times New Roman" w:eastAsia="Times New Roman" w:hAnsi="Times New Roman"/>
          <w:sz w:val="21"/>
          <w:szCs w:val="21"/>
          <w:color w:val="auto"/>
        </w:rPr>
        <w:t>. The Plan will become effective on the Effective Date. No Purchase Rights will be exercised unless and until the Plan has been approved by the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080"/>
          </w:cols>
          <w:pgMar w:left="480" w:top="1440" w:right="339" w:bottom="1440" w:gutter="0" w:footer="0" w:header="0"/>
        </w:sectPr>
      </w:pPr>
    </w:p>
    <w:bookmarkStart w:id="97" w:name="page98"/>
    <w:bookmarkEnd w:id="97"/>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stockholders of the Company, which approval must be within 12 months before or after the date the Plan is adopted (or, if required under Section 12(a) above, amended) by the Board.</w:t>
      </w:r>
    </w:p>
    <w:p>
      <w:pPr>
        <w:spacing w:after="0" w:line="139" w:lineRule="exact"/>
        <w:rPr>
          <w:sz w:val="20"/>
          <w:szCs w:val="20"/>
          <w:color w:val="auto"/>
        </w:rPr>
      </w:pPr>
    </w:p>
    <w:p>
      <w:pPr>
        <w:ind w:left="1300" w:hanging="648"/>
        <w:spacing w:after="0"/>
        <w:tabs>
          <w:tab w:leader="none" w:pos="130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 Provisions</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ind w:left="160" w:firstLine="1297"/>
        <w:spacing w:after="0" w:line="251" w:lineRule="auto"/>
        <w:tabs>
          <w:tab w:leader="none" w:pos="1919"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Proceeds from the sale of shares of Common Stock pursuant to Purchase Rights will constitute general funds of the Company.</w:t>
      </w:r>
    </w:p>
    <w:p>
      <w:pPr>
        <w:spacing w:after="0" w:line="139" w:lineRule="exact"/>
        <w:rPr>
          <w:rFonts w:ascii="Times New Roman" w:cs="Times New Roman" w:eastAsia="Times New Roman" w:hAnsi="Times New Roman"/>
          <w:sz w:val="21"/>
          <w:szCs w:val="21"/>
          <w:color w:val="auto"/>
        </w:rPr>
      </w:pPr>
    </w:p>
    <w:p>
      <w:pPr>
        <w:jc w:val="both"/>
        <w:ind w:left="160" w:firstLine="1297"/>
        <w:spacing w:after="0" w:line="234" w:lineRule="auto"/>
        <w:tabs>
          <w:tab w:leader="none" w:pos="1919"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will not be deemed to be the holder of, or to have any of the rights of a holder with respect to, shares of Common Stock subject to Purchase Rights unless and until the Participant’s shares of Common Stock acquired on exercise of Purchase Rights are recorded in the books of the Company (or its transfer agent).</w:t>
      </w:r>
    </w:p>
    <w:p>
      <w:pPr>
        <w:spacing w:after="0" w:line="152" w:lineRule="exact"/>
        <w:rPr>
          <w:rFonts w:ascii="Times New Roman" w:cs="Times New Roman" w:eastAsia="Times New Roman" w:hAnsi="Times New Roman"/>
          <w:sz w:val="21"/>
          <w:szCs w:val="21"/>
          <w:color w:val="auto"/>
        </w:rPr>
      </w:pPr>
    </w:p>
    <w:p>
      <w:pPr>
        <w:jc w:val="both"/>
        <w:ind w:left="160" w:firstLine="1297"/>
        <w:spacing w:after="0" w:line="226" w:lineRule="auto"/>
        <w:tabs>
          <w:tab w:leader="none" w:pos="1927"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and Offerings do not constitute an employment or service contract. Nothing in the Plan or in the Offerings will in any way alter the at-will nature of a Participant’s employment, if applicable, or be deemed to create in any way whatsoever any obligation on the part of any Participant to continue his or her employment or service relationship with the Company, a Related Corporation, or an Affiliate, or on the part of the Company, a Related Corporation, or an Affiliate to continue the employment or service of a Participant.</w:t>
      </w:r>
    </w:p>
    <w:p>
      <w:pPr>
        <w:spacing w:after="0" w:line="151" w:lineRule="exact"/>
        <w:rPr>
          <w:rFonts w:ascii="Times New Roman" w:cs="Times New Roman" w:eastAsia="Times New Roman" w:hAnsi="Times New Roman"/>
          <w:sz w:val="21"/>
          <w:szCs w:val="21"/>
          <w:color w:val="auto"/>
        </w:rPr>
      </w:pPr>
    </w:p>
    <w:p>
      <w:pPr>
        <w:ind w:left="1940" w:hanging="483"/>
        <w:spacing w:after="0"/>
        <w:tabs>
          <w:tab w:leader="none" w:pos="194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the Plan will be governed by the laws of the State of Delaware.</w:t>
      </w:r>
    </w:p>
    <w:p>
      <w:pPr>
        <w:spacing w:after="0" w:line="187" w:lineRule="exact"/>
        <w:rPr>
          <w:rFonts w:ascii="Times New Roman" w:cs="Times New Roman" w:eastAsia="Times New Roman" w:hAnsi="Times New Roman"/>
          <w:sz w:val="21"/>
          <w:szCs w:val="21"/>
          <w:color w:val="auto"/>
        </w:rPr>
      </w:pPr>
    </w:p>
    <w:p>
      <w:pPr>
        <w:jc w:val="both"/>
        <w:ind w:left="160" w:firstLine="1297"/>
        <w:spacing w:after="0" w:line="251" w:lineRule="auto"/>
        <w:tabs>
          <w:tab w:leader="none" w:pos="1927"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39" w:lineRule="exact"/>
        <w:rPr>
          <w:rFonts w:ascii="Times New Roman" w:cs="Times New Roman" w:eastAsia="Times New Roman" w:hAnsi="Times New Roman"/>
          <w:sz w:val="21"/>
          <w:szCs w:val="21"/>
          <w:color w:val="auto"/>
        </w:rPr>
      </w:pPr>
    </w:p>
    <w:p>
      <w:pPr>
        <w:ind w:left="160" w:firstLine="1297"/>
        <w:spacing w:after="0" w:line="251" w:lineRule="auto"/>
        <w:tabs>
          <w:tab w:leader="none" w:pos="1927"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provision of the Plan does not comply with applicable laws or regulations, such provision will be construed in such a manner as to comply with applicable laws or regulations.</w:t>
      </w:r>
    </w:p>
    <w:p>
      <w:pPr>
        <w:spacing w:after="0" w:line="139"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the Plan, the following definitions will apply to the capitalized terms indicated below:</w:t>
      </w:r>
    </w:p>
    <w:p>
      <w:pPr>
        <w:spacing w:after="0" w:line="187" w:lineRule="exact"/>
        <w:rPr>
          <w:rFonts w:ascii="Times New Roman" w:cs="Times New Roman" w:eastAsia="Times New Roman" w:hAnsi="Times New Roman"/>
          <w:sz w:val="21"/>
          <w:szCs w:val="21"/>
          <w:color w:val="auto"/>
        </w:rPr>
      </w:pPr>
    </w:p>
    <w:p>
      <w:pPr>
        <w:ind w:left="160" w:right="20" w:firstLine="1297"/>
        <w:spacing w:after="0" w:line="251" w:lineRule="auto"/>
        <w:tabs>
          <w:tab w:leader="none" w:pos="1928"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423 Component</w:t>
      </w:r>
      <w:r>
        <w:rPr>
          <w:rFonts w:ascii="Times New Roman" w:cs="Times New Roman" w:eastAsia="Times New Roman" w:hAnsi="Times New Roman"/>
          <w:sz w:val="21"/>
          <w:szCs w:val="21"/>
          <w:color w:val="auto"/>
        </w:rPr>
        <w:t>” means the part of the Plan, which excludes the Non-423 Component, pursuant to which Purchase Rights that satisfy the requirements for an Employee Stock Purchase Plan may be granted to Eligible Employees.</w:t>
      </w:r>
    </w:p>
    <w:p>
      <w:pPr>
        <w:spacing w:after="0" w:line="139" w:lineRule="exact"/>
        <w:rPr>
          <w:rFonts w:ascii="Times New Roman" w:cs="Times New Roman" w:eastAsia="Times New Roman" w:hAnsi="Times New Roman"/>
          <w:sz w:val="21"/>
          <w:szCs w:val="21"/>
          <w:color w:val="auto"/>
        </w:rPr>
      </w:pPr>
    </w:p>
    <w:p>
      <w:pPr>
        <w:jc w:val="both"/>
        <w:ind w:left="160" w:firstLine="1297"/>
        <w:spacing w:after="0" w:line="234" w:lineRule="auto"/>
        <w:tabs>
          <w:tab w:leader="none" w:pos="1927"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any entity, other than a Related Corporation, in which the Company has an equity or other ownership interest or that is directly or indirectly controlled by, controls, or is under common control with the Company, in all cases, as determined by the Committee.</w:t>
      </w:r>
    </w:p>
    <w:p>
      <w:pPr>
        <w:spacing w:after="0" w:line="152" w:lineRule="exact"/>
        <w:rPr>
          <w:rFonts w:ascii="Times New Roman" w:cs="Times New Roman" w:eastAsia="Times New Roman" w:hAnsi="Times New Roman"/>
          <w:sz w:val="21"/>
          <w:szCs w:val="21"/>
          <w:color w:val="auto"/>
        </w:rPr>
      </w:pPr>
    </w:p>
    <w:p>
      <w:pPr>
        <w:ind w:left="1940" w:hanging="483"/>
        <w:spacing w:after="0"/>
        <w:tabs>
          <w:tab w:leader="none" w:pos="194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87" w:lineRule="exact"/>
        <w:rPr>
          <w:rFonts w:ascii="Times New Roman" w:cs="Times New Roman" w:eastAsia="Times New Roman" w:hAnsi="Times New Roman"/>
          <w:sz w:val="21"/>
          <w:szCs w:val="21"/>
          <w:color w:val="auto"/>
        </w:rPr>
      </w:pPr>
    </w:p>
    <w:p>
      <w:pPr>
        <w:jc w:val="both"/>
        <w:ind w:left="160" w:firstLine="1297"/>
        <w:spacing w:after="0" w:line="224" w:lineRule="auto"/>
        <w:tabs>
          <w:tab w:leader="none" w:pos="1927"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Capitalization Adjustment</w:t>
      </w:r>
      <w:r>
        <w:rPr>
          <w:rFonts w:ascii="Times New Roman" w:cs="Times New Roman" w:eastAsia="Times New Roman" w:hAnsi="Times New Roman"/>
          <w:sz w:val="21"/>
          <w:szCs w:val="21"/>
          <w:color w:val="auto"/>
        </w:rPr>
        <w:t>” means, with respect to the Common Stock subject to the Plan or subject to any Purchase Right after the date the Plan is adopted by the Board, a stock split, reverse stock split, stock dividend, combination, consolidation, recapitalization (including a recapitalization through a large nonrecurring cash dividend) or reclassification of the Common Stock, subdivision of the Common Stock, a rights offering, a reorganization, amalgamation, merger, scheme of arrangement, spin-off, split-up, repurchase, or exchange of Common Stock or other securities of the Company or other significant corporate transaction, or other change affecting the Common Stock occurs.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62" w:lineRule="exact"/>
        <w:rPr>
          <w:sz w:val="20"/>
          <w:szCs w:val="20"/>
          <w:color w:val="auto"/>
        </w:rPr>
      </w:pPr>
    </w:p>
    <w:p>
      <w:pPr>
        <w:ind w:left="1940" w:hanging="483"/>
        <w:spacing w:after="0"/>
        <w:tabs>
          <w:tab w:leader="none" w:pos="194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and shall occur, if:</w:t>
      </w:r>
    </w:p>
    <w:p>
      <w:pPr>
        <w:spacing w:after="0" w:line="214" w:lineRule="exact"/>
        <w:rPr>
          <w:rFonts w:ascii="Times New Roman" w:cs="Times New Roman" w:eastAsia="Times New Roman" w:hAnsi="Times New Roman"/>
          <w:sz w:val="21"/>
          <w:szCs w:val="21"/>
          <w:color w:val="auto"/>
        </w:rPr>
      </w:pPr>
    </w:p>
    <w:p>
      <w:pPr>
        <w:jc w:val="both"/>
        <w:ind w:firstLine="1940"/>
        <w:spacing w:after="0" w:line="226" w:lineRule="auto"/>
        <w:tabs>
          <w:tab w:leader="none" w:pos="2565"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is or becomes the “beneficial owner” (as defined in Rule 13d-3 under the Exchange Act), directly or indirectly, of securities of the Company representing more than 50% of the combined voting power of the Company’s then outstanding securities;</w:t>
      </w:r>
    </w:p>
    <w:p>
      <w:pPr>
        <w:spacing w:after="0" w:line="151" w:lineRule="exact"/>
        <w:rPr>
          <w:rFonts w:ascii="Times New Roman" w:cs="Times New Roman" w:eastAsia="Times New Roman" w:hAnsi="Times New Roman"/>
          <w:sz w:val="21"/>
          <w:szCs w:val="21"/>
          <w:color w:val="auto"/>
        </w:rPr>
      </w:pPr>
    </w:p>
    <w:p>
      <w:pPr>
        <w:jc w:val="both"/>
        <w:ind w:firstLine="1940"/>
        <w:spacing w:after="0" w:line="221" w:lineRule="auto"/>
        <w:tabs>
          <w:tab w:leader="none" w:pos="2638"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two consecutive years (the “</w:t>
      </w:r>
      <w:r>
        <w:rPr>
          <w:rFonts w:ascii="Times New Roman" w:cs="Times New Roman" w:eastAsia="Times New Roman" w:hAnsi="Times New Roman"/>
          <w:sz w:val="21"/>
          <w:szCs w:val="21"/>
          <w:u w:val="single" w:color="auto"/>
          <w:color w:val="auto"/>
        </w:rPr>
        <w:t>Board Measurement Period</w:t>
      </w:r>
      <w:r>
        <w:rPr>
          <w:rFonts w:ascii="Times New Roman" w:cs="Times New Roman" w:eastAsia="Times New Roman" w:hAnsi="Times New Roman"/>
          <w:sz w:val="21"/>
          <w:szCs w:val="21"/>
          <w:color w:val="auto"/>
        </w:rPr>
        <w:t>”) individuals who at the beginning of such period constitute the Board and any new director (other than a director designated by a Person who has entered into an agreement with the Company to effect a transaction described in paragraph (i), (iii), or (iv) of this definition, or a director initially elected or nominated as a result of an actual or threatened election contest with respect to directors or as a result of any other actual or threatened solicitation of proxies by or on behalf of any Person other than the Board)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153" w:lineRule="exact"/>
        <w:rPr>
          <w:rFonts w:ascii="Times New Roman" w:cs="Times New Roman" w:eastAsia="Times New Roman" w:hAnsi="Times New Roman"/>
          <w:sz w:val="21"/>
          <w:szCs w:val="21"/>
          <w:color w:val="auto"/>
        </w:rPr>
      </w:pPr>
    </w:p>
    <w:p>
      <w:pPr>
        <w:jc w:val="both"/>
        <w:ind w:firstLine="1940"/>
        <w:spacing w:after="0" w:line="221" w:lineRule="auto"/>
        <w:tabs>
          <w:tab w:leader="none" w:pos="2577"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merger or consolidation of the Company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(or, as applicable, a direct or indirect parent of the Company or such suriving entity) outstanding immediately after such merger or consolidation; provided, however, that a merger or consolidation effected to implement a recapitalization of the Company (or similar transaction) in which no Person (other than those covered by the exceptions in (i) above) acquires more than 50% of the combined voting power of the Company’s then outstanding securities shall not constitute a Change in Control of the Company; or</w:t>
      </w:r>
    </w:p>
    <w:p>
      <w:pPr>
        <w:spacing w:after="0" w:line="153" w:lineRule="exact"/>
        <w:rPr>
          <w:rFonts w:ascii="Times New Roman" w:cs="Times New Roman" w:eastAsia="Times New Roman" w:hAnsi="Times New Roman"/>
          <w:sz w:val="21"/>
          <w:szCs w:val="21"/>
          <w:color w:val="auto"/>
        </w:rPr>
      </w:pPr>
    </w:p>
    <w:p>
      <w:pPr>
        <w:jc w:val="both"/>
        <w:ind w:firstLine="1940"/>
        <w:spacing w:after="0" w:line="226" w:lineRule="auto"/>
        <w:tabs>
          <w:tab w:leader="none" w:pos="2565"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the sale or disposition by the Company of all or substantially all of the Company’s assets that has been approved by the stockholders of the Company other than (x)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(y) pursuant to a spinoff type transaction, directly or indirectly, of such assets to the stockholders of the Company.</w:t>
      </w:r>
    </w:p>
    <w:p>
      <w:pPr>
        <w:spacing w:after="0" w:line="151" w:lineRule="exact"/>
        <w:rPr>
          <w:sz w:val="20"/>
          <w:szCs w:val="20"/>
          <w:color w:val="auto"/>
        </w:rPr>
      </w:pPr>
    </w:p>
    <w:p>
      <w:pPr>
        <w:jc w:val="both"/>
        <w:ind w:firstLine="644"/>
        <w:spacing w:after="0" w:line="234" w:lineRule="auto"/>
        <w:rPr>
          <w:sz w:val="20"/>
          <w:szCs w:val="20"/>
          <w:color w:val="auto"/>
        </w:rPr>
      </w:pPr>
      <w:r>
        <w:rPr>
          <w:rFonts w:ascii="Times New Roman" w:cs="Times New Roman" w:eastAsia="Times New Roman" w:hAnsi="Times New Roman"/>
          <w:sz w:val="21"/>
          <w:szCs w:val="21"/>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spacing w:after="0" w:line="153" w:lineRule="exact"/>
        <w:rPr>
          <w:sz w:val="20"/>
          <w:szCs w:val="20"/>
          <w:color w:val="auto"/>
        </w:rPr>
      </w:pPr>
    </w:p>
    <w:p>
      <w:pPr>
        <w:ind w:left="160" w:right="20" w:firstLine="1297"/>
        <w:spacing w:after="0" w:line="251" w:lineRule="auto"/>
        <w:tabs>
          <w:tab w:leader="none" w:pos="193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U.S. Internal Revenue Code of 1986, as amended, including any applicable regulations and guidance thereunder</w:t>
      </w:r>
      <w:r>
        <w:rPr>
          <w:rFonts w:ascii="Times New Roman" w:cs="Times New Roman" w:eastAsia="Times New Roman" w:hAnsi="Times New Roman"/>
          <w:sz w:val="21"/>
          <w:szCs w:val="21"/>
          <w:i w:val="1"/>
          <w:iCs w:val="1"/>
          <w:color w:val="auto"/>
        </w:rPr>
        <w:t>.</w:t>
      </w:r>
    </w:p>
    <w:p>
      <w:pPr>
        <w:spacing w:after="0" w:line="139" w:lineRule="exact"/>
        <w:rPr>
          <w:rFonts w:ascii="Times New Roman" w:cs="Times New Roman" w:eastAsia="Times New Roman" w:hAnsi="Times New Roman"/>
          <w:sz w:val="21"/>
          <w:szCs w:val="21"/>
          <w:color w:val="auto"/>
        </w:rPr>
      </w:pPr>
    </w:p>
    <w:p>
      <w:pPr>
        <w:jc w:val="both"/>
        <w:ind w:left="160" w:firstLine="1297"/>
        <w:spacing w:after="0"/>
        <w:tabs>
          <w:tab w:leader="none" w:pos="193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(i) the Compensation Committee of the Board, (ii) such other committee of no fewer than two members of the Board who are appointed by the Board to administer the Plan or (iii) the Board,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62" w:lineRule="exact"/>
        <w:rPr>
          <w:sz w:val="20"/>
          <w:szCs w:val="20"/>
          <w:color w:val="auto"/>
        </w:rPr>
      </w:pPr>
    </w:p>
    <w:p>
      <w:pPr>
        <w:ind w:firstLine="1297"/>
        <w:spacing w:after="0" w:line="251" w:lineRule="auto"/>
        <w:tabs>
          <w:tab w:leader="none" w:pos="175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Class A common shares of the Company, par value $0.01 per share (and any shares or other securities into which such Common Stock may be converted or into which it may be exchanged).</w:t>
      </w:r>
    </w:p>
    <w:p>
      <w:pPr>
        <w:spacing w:after="0" w:line="139" w:lineRule="exact"/>
        <w:rPr>
          <w:rFonts w:ascii="Times New Roman" w:cs="Times New Roman" w:eastAsia="Times New Roman" w:hAnsi="Times New Roman"/>
          <w:sz w:val="21"/>
          <w:szCs w:val="21"/>
          <w:color w:val="auto"/>
        </w:rPr>
      </w:pPr>
    </w:p>
    <w:p>
      <w:pPr>
        <w:ind w:firstLine="1297"/>
        <w:spacing w:after="0" w:line="251" w:lineRule="auto"/>
        <w:tabs>
          <w:tab w:leader="none" w:pos="176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Portillo’s Inc., a corporation organized and existing under the laws of the State of Delaware, or any successor thereto.</w:t>
      </w:r>
    </w:p>
    <w:p>
      <w:pPr>
        <w:spacing w:after="0" w:line="139" w:lineRule="exact"/>
        <w:rPr>
          <w:rFonts w:ascii="Times New Roman" w:cs="Times New Roman" w:eastAsia="Times New Roman" w:hAnsi="Times New Roman"/>
          <w:sz w:val="21"/>
          <w:szCs w:val="21"/>
          <w:color w:val="auto"/>
        </w:rPr>
      </w:pPr>
    </w:p>
    <w:p>
      <w:pPr>
        <w:jc w:val="both"/>
        <w:ind w:firstLine="1297"/>
        <w:spacing w:after="0" w:line="229" w:lineRule="auto"/>
        <w:tabs>
          <w:tab w:leader="none" w:pos="176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Contributions</w:t>
      </w:r>
      <w:r>
        <w:rPr>
          <w:rFonts w:ascii="Times New Roman" w:cs="Times New Roman" w:eastAsia="Times New Roman" w:hAnsi="Times New Roman"/>
          <w:sz w:val="21"/>
          <w:szCs w:val="21"/>
          <w:color w:val="auto"/>
        </w:rPr>
        <w:t>” means the payroll deductions or other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contributed the maximum permitted amount of payroll deductions and other payments during the Offering.</w:t>
      </w:r>
    </w:p>
    <w:p>
      <w:pPr>
        <w:spacing w:after="0" w:line="149" w:lineRule="exact"/>
        <w:rPr>
          <w:rFonts w:ascii="Times New Roman" w:cs="Times New Roman" w:eastAsia="Times New Roman" w:hAnsi="Times New Roman"/>
          <w:sz w:val="21"/>
          <w:szCs w:val="21"/>
          <w:color w:val="auto"/>
        </w:rPr>
      </w:pPr>
    </w:p>
    <w:p>
      <w:pPr>
        <w:ind w:left="1760" w:hanging="463"/>
        <w:spacing w:after="0"/>
        <w:tabs>
          <w:tab w:leader="none" w:pos="17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423 Corporation</w:t>
      </w:r>
      <w:r>
        <w:rPr>
          <w:rFonts w:ascii="Times New Roman" w:cs="Times New Roman" w:eastAsia="Times New Roman" w:hAnsi="Times New Roman"/>
          <w:sz w:val="21"/>
          <w:szCs w:val="21"/>
          <w:color w:val="auto"/>
        </w:rPr>
        <w:t>” means any Related Corporation selected by the Board as participating in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423 Component.</w:t>
      </w:r>
    </w:p>
    <w:p>
      <w:pPr>
        <w:spacing w:after="0" w:line="163" w:lineRule="exact"/>
        <w:rPr>
          <w:rFonts w:ascii="Times New Roman" w:cs="Times New Roman" w:eastAsia="Times New Roman" w:hAnsi="Times New Roman"/>
          <w:sz w:val="21"/>
          <w:szCs w:val="21"/>
          <w:color w:val="auto"/>
        </w:rPr>
      </w:pPr>
    </w:p>
    <w:p>
      <w:pPr>
        <w:jc w:val="both"/>
        <w:ind w:firstLine="1297"/>
        <w:spacing w:after="0" w:line="234" w:lineRule="auto"/>
        <w:tabs>
          <w:tab w:leader="none" w:pos="176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Company</w:t>
      </w:r>
      <w:r>
        <w:rPr>
          <w:rFonts w:ascii="Times New Roman" w:cs="Times New Roman" w:eastAsia="Times New Roman" w:hAnsi="Times New Roman"/>
          <w:sz w:val="21"/>
          <w:szCs w:val="21"/>
          <w:color w:val="auto"/>
        </w:rPr>
        <w:t>” means any Designated Non-423 Corporation or Designated 423 Corporation, provided, however, that at any given time, a Related Corporation participating in the 423 Component will not be a Related Corporation participating in the Non-423 Component.</w:t>
      </w:r>
    </w:p>
    <w:p>
      <w:pPr>
        <w:spacing w:after="0" w:line="152" w:lineRule="exact"/>
        <w:rPr>
          <w:rFonts w:ascii="Times New Roman" w:cs="Times New Roman" w:eastAsia="Times New Roman" w:hAnsi="Times New Roman"/>
          <w:sz w:val="21"/>
          <w:szCs w:val="21"/>
          <w:color w:val="auto"/>
        </w:rPr>
      </w:pPr>
    </w:p>
    <w:p>
      <w:pPr>
        <w:ind w:firstLine="1297"/>
        <w:spacing w:after="0" w:line="251" w:lineRule="auto"/>
        <w:tabs>
          <w:tab w:leader="none" w:pos="183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Non-423 Corporation</w:t>
      </w:r>
      <w:r>
        <w:rPr>
          <w:rFonts w:ascii="Times New Roman" w:cs="Times New Roman" w:eastAsia="Times New Roman" w:hAnsi="Times New Roman"/>
          <w:sz w:val="21"/>
          <w:szCs w:val="21"/>
          <w:color w:val="auto"/>
        </w:rPr>
        <w:t>” means any Related Corporation or Affiliate selected by the Board as participating in the Non-423 Component.</w:t>
      </w:r>
    </w:p>
    <w:p>
      <w:pPr>
        <w:spacing w:after="0" w:line="139" w:lineRule="exact"/>
        <w:rPr>
          <w:rFonts w:ascii="Times New Roman" w:cs="Times New Roman" w:eastAsia="Times New Roman" w:hAnsi="Times New Roman"/>
          <w:sz w:val="21"/>
          <w:szCs w:val="21"/>
          <w:color w:val="auto"/>
        </w:rPr>
      </w:pPr>
    </w:p>
    <w:p>
      <w:pPr>
        <w:ind w:left="1780" w:hanging="483"/>
        <w:spacing w:after="0"/>
        <w:tabs>
          <w:tab w:leader="none" w:pos="178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188" w:lineRule="exact"/>
        <w:rPr>
          <w:sz w:val="20"/>
          <w:szCs w:val="20"/>
          <w:color w:val="auto"/>
        </w:rPr>
      </w:pPr>
    </w:p>
    <w:p>
      <w:pPr>
        <w:ind w:firstLine="1297"/>
        <w:spacing w:after="0" w:line="251" w:lineRule="auto"/>
        <w:tabs>
          <w:tab w:leader="none" w:pos="177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means the earlier to occur of (i) adoption by the Board and (ii) approval by the shareholders of the Company.</w:t>
      </w:r>
    </w:p>
    <w:p>
      <w:pPr>
        <w:spacing w:after="0" w:line="139" w:lineRule="exact"/>
        <w:rPr>
          <w:sz w:val="20"/>
          <w:szCs w:val="20"/>
          <w:color w:val="auto"/>
        </w:rPr>
      </w:pPr>
    </w:p>
    <w:p>
      <w:pPr>
        <w:jc w:val="both"/>
        <w:ind w:firstLine="1288"/>
        <w:spacing w:after="0" w:line="222" w:lineRule="auto"/>
        <w:rPr>
          <w:sz w:val="20"/>
          <w:szCs w:val="20"/>
          <w:color w:val="auto"/>
        </w:rPr>
      </w:pPr>
      <w:r>
        <w:rPr>
          <w:rFonts w:ascii="Times New Roman" w:cs="Times New Roman" w:eastAsia="Times New Roman" w:hAnsi="Times New Roman"/>
          <w:sz w:val="21"/>
          <w:szCs w:val="21"/>
          <w:color w:val="auto"/>
        </w:rPr>
        <w:t>(ab) “</w:t>
      </w:r>
      <w:r>
        <w:rPr>
          <w:rFonts w:ascii="Times New Roman" w:cs="Times New Roman" w:eastAsia="Times New Roman" w:hAnsi="Times New Roman"/>
          <w:sz w:val="21"/>
          <w:szCs w:val="21"/>
          <w:u w:val="single" w:color="auto"/>
          <w:color w:val="auto"/>
        </w:rPr>
        <w:t>Eligible Employee</w:t>
      </w:r>
      <w:r>
        <w:rPr>
          <w:rFonts w:ascii="Times New Roman" w:cs="Times New Roman" w:eastAsia="Times New Roman" w:hAnsi="Times New Roman"/>
          <w:sz w:val="21"/>
          <w:szCs w:val="21"/>
          <w:color w:val="auto"/>
        </w:rPr>
        <w:t>” means an Employee who meets the requirements set forth in the document(s) governing the Offering for eligibility to participate in the Offering, provided that such Employee also meets the requirements for eligibility to participate set forth in the Plan. For purposes of the Plan, the employment relationship will be treated as continuing intact while the Employee is on sick leave or other leave of absence approved by the Company or a Related Corporation or Affiliate that directly employs the Employee. Where the period of leave exceeds three (3) months and the Employee’s right to reemployment is not guaranteed either by statute or by contract, the employment relationship will be deemed to have terminated three months and one day following the commencement of such leave.</w:t>
      </w:r>
    </w:p>
    <w:p>
      <w:pPr>
        <w:spacing w:after="0" w:line="154" w:lineRule="exact"/>
        <w:rPr>
          <w:sz w:val="20"/>
          <w:szCs w:val="20"/>
          <w:color w:val="auto"/>
        </w:rPr>
      </w:pPr>
    </w:p>
    <w:p>
      <w:pPr>
        <w:jc w:val="both"/>
        <w:ind w:firstLine="1288"/>
        <w:spacing w:after="0"/>
        <w:rPr>
          <w:sz w:val="20"/>
          <w:szCs w:val="20"/>
          <w:color w:val="auto"/>
        </w:rPr>
      </w:pPr>
      <w:r>
        <w:rPr>
          <w:rFonts w:ascii="Times New Roman" w:cs="Times New Roman" w:eastAsia="Times New Roman" w:hAnsi="Times New Roman"/>
          <w:sz w:val="21"/>
          <w:szCs w:val="21"/>
          <w:color w:val="auto"/>
        </w:rPr>
        <w:t>(ac) “</w:t>
      </w:r>
      <w:r>
        <w:rPr>
          <w:rFonts w:ascii="Times New Roman" w:cs="Times New Roman" w:eastAsia="Times New Roman" w:hAnsi="Times New Roman"/>
          <w:sz w:val="21"/>
          <w:szCs w:val="21"/>
          <w:u w:val="single" w:color="auto"/>
          <w:color w:val="auto"/>
        </w:rPr>
        <w:t>Eligible Service Provider</w:t>
      </w:r>
      <w:r>
        <w:rPr>
          <w:rFonts w:ascii="Times New Roman" w:cs="Times New Roman" w:eastAsia="Times New Roman" w:hAnsi="Times New Roman"/>
          <w:sz w:val="21"/>
          <w:szCs w:val="21"/>
          <w:color w:val="auto"/>
        </w:rPr>
        <w:t>” means a natural person other than an Employee or Director who (i) is designated by the Committee to be an “Eligible Service Provider,” (ii) provides bonafide services to the Company or a Related Corporation, (iii) is not a U.S. taxpayer and (iv) meets the requirements set forth in the document(s) governing the Offering for eligibility to participate in the Offering, provided that such person also meets the requirements for eligibility to participate set forth in the Plan.</w:t>
      </w:r>
    </w:p>
    <w:p>
      <w:pPr>
        <w:spacing w:after="0" w:line="322" w:lineRule="exact"/>
        <w:rPr>
          <w:sz w:val="20"/>
          <w:szCs w:val="20"/>
          <w:color w:val="auto"/>
        </w:rPr>
      </w:pPr>
    </w:p>
    <w:p>
      <w:pPr>
        <w:jc w:val="both"/>
        <w:ind w:firstLine="1288"/>
        <w:spacing w:after="0" w:line="234" w:lineRule="auto"/>
        <w:rPr>
          <w:sz w:val="20"/>
          <w:szCs w:val="20"/>
          <w:color w:val="auto"/>
        </w:rPr>
      </w:pPr>
      <w:r>
        <w:rPr>
          <w:rFonts w:ascii="Times New Roman" w:cs="Times New Roman" w:eastAsia="Times New Roman" w:hAnsi="Times New Roman"/>
          <w:sz w:val="21"/>
          <w:szCs w:val="21"/>
          <w:color w:val="auto"/>
        </w:rPr>
        <w:t>(ad)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means any person, including an Officer or Director, who is treated as an employee in the records of the Company or a Related Corporation or Affiliate. However, service solely as a Director, or payment of a fee for such services, will not cause a Director to be considered an “Employee” for purposes of the Plan.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080"/>
          </w:cols>
          <w:pgMar w:left="480" w:top="1440" w:right="339" w:bottom="1440" w:gutter="0" w:footer="0" w:header="0"/>
        </w:sectPr>
      </w:pPr>
    </w:p>
    <w:bookmarkStart w:id="100" w:name="page101"/>
    <w:bookmarkEnd w:id="100"/>
    <w:p>
      <w:pPr>
        <w:spacing w:after="0" w:line="162" w:lineRule="exact"/>
        <w:rPr>
          <w:sz w:val="20"/>
          <w:szCs w:val="20"/>
          <w:color w:val="auto"/>
        </w:rPr>
      </w:pPr>
    </w:p>
    <w:p>
      <w:pPr>
        <w:jc w:val="both"/>
        <w:ind w:firstLine="1288"/>
        <w:spacing w:after="0" w:line="251" w:lineRule="auto"/>
        <w:rPr>
          <w:sz w:val="20"/>
          <w:szCs w:val="20"/>
          <w:color w:val="auto"/>
        </w:rPr>
      </w:pPr>
      <w:r>
        <w:rPr>
          <w:rFonts w:ascii="Times New Roman" w:cs="Times New Roman" w:eastAsia="Times New Roman" w:hAnsi="Times New Roman"/>
          <w:sz w:val="21"/>
          <w:szCs w:val="21"/>
          <w:color w:val="auto"/>
        </w:rPr>
        <w:t>(ae) “</w:t>
      </w:r>
      <w:r>
        <w:rPr>
          <w:rFonts w:ascii="Times New Roman" w:cs="Times New Roman" w:eastAsia="Times New Roman" w:hAnsi="Times New Roman"/>
          <w:sz w:val="21"/>
          <w:szCs w:val="21"/>
          <w:u w:val="single" w:color="auto"/>
          <w:color w:val="auto"/>
        </w:rPr>
        <w:t>Employee Stock Purchase Plan</w:t>
      </w:r>
      <w:r>
        <w:rPr>
          <w:rFonts w:ascii="Times New Roman" w:cs="Times New Roman" w:eastAsia="Times New Roman" w:hAnsi="Times New Roman"/>
          <w:sz w:val="21"/>
          <w:szCs w:val="21"/>
          <w:color w:val="auto"/>
        </w:rPr>
        <w:t>” means a plan that grants Purchase Rights intended to be options issued under an “employee stock purchase plan,” as that term is defined in Section 423(b) of the Code.</w:t>
      </w:r>
    </w:p>
    <w:p>
      <w:pPr>
        <w:spacing w:after="0" w:line="139" w:lineRule="exact"/>
        <w:rPr>
          <w:sz w:val="20"/>
          <w:szCs w:val="20"/>
          <w:color w:val="auto"/>
        </w:rPr>
      </w:pPr>
    </w:p>
    <w:p>
      <w:pPr>
        <w:jc w:val="both"/>
        <w:ind w:firstLine="1288"/>
        <w:spacing w:after="0" w:line="251" w:lineRule="auto"/>
        <w:rPr>
          <w:sz w:val="20"/>
          <w:szCs w:val="20"/>
          <w:color w:val="auto"/>
        </w:rPr>
      </w:pPr>
      <w:r>
        <w:rPr>
          <w:rFonts w:ascii="Times New Roman" w:cs="Times New Roman" w:eastAsia="Times New Roman" w:hAnsi="Times New Roman"/>
          <w:sz w:val="21"/>
          <w:szCs w:val="21"/>
          <w:color w:val="auto"/>
        </w:rPr>
        <w:t>(af)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U.S. Securities Exchange Act of 1934, as amended and the rules and regulations promulgated thereunder, as the same may be amended from time to time.</w:t>
      </w:r>
    </w:p>
    <w:p>
      <w:pPr>
        <w:spacing w:after="0" w:line="139" w:lineRule="exact"/>
        <w:rPr>
          <w:sz w:val="20"/>
          <w:szCs w:val="20"/>
          <w:color w:val="auto"/>
        </w:rPr>
      </w:pPr>
    </w:p>
    <w:p>
      <w:pPr>
        <w:jc w:val="both"/>
        <w:ind w:firstLine="1288"/>
        <w:spacing w:after="0" w:line="219" w:lineRule="auto"/>
        <w:rPr>
          <w:sz w:val="20"/>
          <w:szCs w:val="20"/>
          <w:color w:val="auto"/>
        </w:rPr>
      </w:pPr>
      <w:r>
        <w:rPr>
          <w:rFonts w:ascii="Times New Roman" w:cs="Times New Roman" w:eastAsia="Times New Roman" w:hAnsi="Times New Roman"/>
          <w:sz w:val="21"/>
          <w:szCs w:val="21"/>
          <w:color w:val="auto"/>
        </w:rPr>
        <w:t>(ag) “</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means, as applied to a specific date, the price of a share of Common Stock that is based on the opening, closing, actual, high, low or average selling prices of a share of Common Stock reported on any established stock exchange or national market system including without limitation the National Association of Securities Dealers, Inc. Automated Quotation System, the New York Stock Exchange and the National Market System on the applicable date, the preceding trading day, the next succeeding trading day, or an average of trading days, as determined by the Committee in its discretion. Unless the Committee determines otherwise, Fair Market Value shall be deemed to be equal to the closing price of a share of Common Stock on the date as of which Fair Market Value is to be determined, or if shares of Common Stock are not publicly traded on such date, as of the most recent date on which shares of Common Stock were publicly traded. Notwithstanding the foregoing, if the Common Stock is not traded on any established stock exchange or national market system, the Fair Market Value means the price of a share of Common Stock as established by the Committee.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(ah) “</w:t>
      </w:r>
      <w:r>
        <w:rPr>
          <w:rFonts w:ascii="Times New Roman" w:cs="Times New Roman" w:eastAsia="Times New Roman" w:hAnsi="Times New Roman"/>
          <w:sz w:val="21"/>
          <w:szCs w:val="21"/>
          <w:u w:val="single" w:color="auto"/>
          <w:color w:val="auto"/>
        </w:rPr>
        <w:t>New Purchase Date</w:t>
      </w:r>
      <w:r>
        <w:rPr>
          <w:rFonts w:ascii="Times New Roman" w:cs="Times New Roman" w:eastAsia="Times New Roman" w:hAnsi="Times New Roman"/>
          <w:sz w:val="21"/>
          <w:szCs w:val="21"/>
          <w:color w:val="auto"/>
        </w:rPr>
        <w:t>” means a new Purchase Date set by shortening any Offering then in progress.</w:t>
      </w:r>
    </w:p>
    <w:p>
      <w:pPr>
        <w:spacing w:after="0" w:line="188" w:lineRule="exact"/>
        <w:rPr>
          <w:sz w:val="20"/>
          <w:szCs w:val="20"/>
          <w:color w:val="auto"/>
        </w:rPr>
      </w:pPr>
    </w:p>
    <w:p>
      <w:pPr>
        <w:jc w:val="both"/>
        <w:ind w:firstLine="1288"/>
        <w:spacing w:after="0" w:line="234" w:lineRule="auto"/>
        <w:rPr>
          <w:sz w:val="20"/>
          <w:szCs w:val="20"/>
          <w:color w:val="auto"/>
        </w:rPr>
      </w:pPr>
      <w:r>
        <w:rPr>
          <w:rFonts w:ascii="Times New Roman" w:cs="Times New Roman" w:eastAsia="Times New Roman" w:hAnsi="Times New Roman"/>
          <w:sz w:val="21"/>
          <w:szCs w:val="21"/>
          <w:color w:val="auto"/>
        </w:rPr>
        <w:t>(ai) “</w:t>
      </w:r>
      <w:r>
        <w:rPr>
          <w:rFonts w:ascii="Times New Roman" w:cs="Times New Roman" w:eastAsia="Times New Roman" w:hAnsi="Times New Roman"/>
          <w:sz w:val="21"/>
          <w:szCs w:val="21"/>
          <w:u w:val="single" w:color="auto"/>
          <w:color w:val="auto"/>
        </w:rPr>
        <w:t>Non-423 Component</w:t>
      </w:r>
      <w:r>
        <w:rPr>
          <w:rFonts w:ascii="Times New Roman" w:cs="Times New Roman" w:eastAsia="Times New Roman" w:hAnsi="Times New Roman"/>
          <w:sz w:val="21"/>
          <w:szCs w:val="21"/>
          <w:color w:val="auto"/>
        </w:rPr>
        <w:t>” means the part of the Plan, which excludes the 423 Component, pursuant to which Purchase Rights that are not intended to satisfy the requirements for an Employee Stock Purchase Plan may be granted to Eligible Employees and Eligible Service Providers.</w:t>
      </w:r>
    </w:p>
    <w:p>
      <w:pPr>
        <w:spacing w:after="0" w:line="153" w:lineRule="exact"/>
        <w:rPr>
          <w:sz w:val="20"/>
          <w:szCs w:val="20"/>
          <w:color w:val="auto"/>
        </w:rPr>
      </w:pPr>
    </w:p>
    <w:p>
      <w:pPr>
        <w:jc w:val="both"/>
        <w:ind w:firstLine="1288"/>
        <w:spacing w:after="0" w:line="234" w:lineRule="auto"/>
        <w:rPr>
          <w:sz w:val="20"/>
          <w:szCs w:val="20"/>
          <w:color w:val="auto"/>
        </w:rPr>
      </w:pPr>
      <w:r>
        <w:rPr>
          <w:rFonts w:ascii="Times New Roman" w:cs="Times New Roman" w:eastAsia="Times New Roman" w:hAnsi="Times New Roman"/>
          <w:sz w:val="21"/>
          <w:szCs w:val="21"/>
          <w:color w:val="auto"/>
        </w:rPr>
        <w:t>(aj) “</w:t>
      </w:r>
      <w:r>
        <w:rPr>
          <w:rFonts w:ascii="Times New Roman" w:cs="Times New Roman" w:eastAsia="Times New Roman" w:hAnsi="Times New Roman"/>
          <w:sz w:val="21"/>
          <w:szCs w:val="21"/>
          <w:u w:val="single" w:color="auto"/>
          <w:color w:val="auto"/>
        </w:rPr>
        <w:t>Offering</w:t>
      </w:r>
      <w:r>
        <w:rPr>
          <w:rFonts w:ascii="Times New Roman" w:cs="Times New Roman" w:eastAsia="Times New Roman" w:hAnsi="Times New Roman"/>
          <w:sz w:val="21"/>
          <w:szCs w:val="21"/>
          <w:color w:val="auto"/>
        </w:rPr>
        <w:t>” means the grant to Eligible Employees or Eligible Service Providers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21"/>
          <w:szCs w:val="21"/>
          <w:u w:val="single" w:color="auto"/>
          <w:color w:val="auto"/>
        </w:rPr>
        <w:t>Offering Document</w:t>
      </w:r>
      <w:r>
        <w:rPr>
          <w:rFonts w:ascii="Times New Roman" w:cs="Times New Roman" w:eastAsia="Times New Roman" w:hAnsi="Times New Roman"/>
          <w:sz w:val="21"/>
          <w:szCs w:val="21"/>
          <w:color w:val="auto"/>
        </w:rPr>
        <w:t>” approved by the Board for that Offering.</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(ak) “</w:t>
      </w:r>
      <w:r>
        <w:rPr>
          <w:rFonts w:ascii="Times New Roman" w:cs="Times New Roman" w:eastAsia="Times New Roman" w:hAnsi="Times New Roman"/>
          <w:sz w:val="21"/>
          <w:szCs w:val="21"/>
          <w:u w:val="single" w:color="auto"/>
          <w:color w:val="auto"/>
        </w:rPr>
        <w:t>Offering Date</w:t>
      </w:r>
      <w:r>
        <w:rPr>
          <w:rFonts w:ascii="Times New Roman" w:cs="Times New Roman" w:eastAsia="Times New Roman" w:hAnsi="Times New Roman"/>
          <w:sz w:val="21"/>
          <w:szCs w:val="21"/>
          <w:color w:val="auto"/>
        </w:rPr>
        <w:t>” means a date selected by the Board for an Offering to commence.</w:t>
      </w:r>
    </w:p>
    <w:p>
      <w:pPr>
        <w:spacing w:after="0" w:line="188" w:lineRule="exact"/>
        <w:rPr>
          <w:sz w:val="20"/>
          <w:szCs w:val="20"/>
          <w:color w:val="auto"/>
        </w:rPr>
      </w:pPr>
    </w:p>
    <w:p>
      <w:pPr>
        <w:jc w:val="both"/>
        <w:ind w:firstLine="1288"/>
        <w:spacing w:after="0" w:line="251" w:lineRule="auto"/>
        <w:rPr>
          <w:sz w:val="20"/>
          <w:szCs w:val="20"/>
          <w:color w:val="auto"/>
        </w:rPr>
      </w:pPr>
      <w:r>
        <w:rPr>
          <w:rFonts w:ascii="Times New Roman" w:cs="Times New Roman" w:eastAsia="Times New Roman" w:hAnsi="Times New Roman"/>
          <w:sz w:val="21"/>
          <w:szCs w:val="21"/>
          <w:color w:val="auto"/>
        </w:rPr>
        <w:t>(al) “</w:t>
      </w:r>
      <w:r>
        <w:rPr>
          <w:rFonts w:ascii="Times New Roman" w:cs="Times New Roman" w:eastAsia="Times New Roman" w:hAnsi="Times New Roman"/>
          <w:sz w:val="21"/>
          <w:szCs w:val="21"/>
          <w:u w:val="single" w:color="auto"/>
          <w:color w:val="auto"/>
        </w:rPr>
        <w:t>Offering Period</w:t>
      </w:r>
      <w:r>
        <w:rPr>
          <w:rFonts w:ascii="Times New Roman" w:cs="Times New Roman" w:eastAsia="Times New Roman" w:hAnsi="Times New Roman"/>
          <w:sz w:val="21"/>
          <w:szCs w:val="21"/>
          <w:color w:val="auto"/>
        </w:rPr>
        <w:t>” means a period with respect to which the right to purchase Common Stock may be granted under the Plan, as determined by the Board pursuant to the Plan.</w:t>
      </w:r>
    </w:p>
    <w:p>
      <w:pPr>
        <w:spacing w:after="0" w:line="139" w:lineRule="exact"/>
        <w:rPr>
          <w:sz w:val="20"/>
          <w:szCs w:val="20"/>
          <w:color w:val="auto"/>
        </w:rPr>
      </w:pPr>
    </w:p>
    <w:p>
      <w:pPr>
        <w:jc w:val="both"/>
        <w:ind w:firstLine="1288"/>
        <w:spacing w:after="0" w:line="251" w:lineRule="auto"/>
        <w:rPr>
          <w:sz w:val="20"/>
          <w:szCs w:val="20"/>
          <w:color w:val="auto"/>
        </w:rPr>
      </w:pPr>
      <w:r>
        <w:rPr>
          <w:rFonts w:ascii="Times New Roman" w:cs="Times New Roman" w:eastAsia="Times New Roman" w:hAnsi="Times New Roman"/>
          <w:sz w:val="21"/>
          <w:szCs w:val="21"/>
          <w:color w:val="auto"/>
        </w:rPr>
        <w:t>(am) “</w:t>
      </w:r>
      <w:r>
        <w:rPr>
          <w:rFonts w:ascii="Times New Roman" w:cs="Times New Roman" w:eastAsia="Times New Roman" w:hAnsi="Times New Roman"/>
          <w:sz w:val="21"/>
          <w:szCs w:val="21"/>
          <w:u w:val="single" w:color="auto"/>
          <w:color w:val="auto"/>
        </w:rPr>
        <w:t>Officer</w:t>
      </w:r>
      <w:r>
        <w:rPr>
          <w:rFonts w:ascii="Times New Roman" w:cs="Times New Roman" w:eastAsia="Times New Roman" w:hAnsi="Times New Roman"/>
          <w:sz w:val="21"/>
          <w:szCs w:val="21"/>
          <w:color w:val="auto"/>
        </w:rPr>
        <w:t>” means a person who is an officer of the Company or a Related Corporation or Affiliate within the meaning of Section 16 of the Exchange Act.</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(an)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 Eligible Employee or Eligible Service Provider who holds an outstanding Purchase</w:t>
      </w:r>
    </w:p>
    <w:p>
      <w:pPr>
        <w:spacing w:after="0"/>
        <w:rPr>
          <w:sz w:val="20"/>
          <w:szCs w:val="20"/>
          <w:color w:val="auto"/>
        </w:rPr>
      </w:pPr>
      <w:r>
        <w:rPr>
          <w:rFonts w:ascii="Times New Roman" w:cs="Times New Roman" w:eastAsia="Times New Roman" w:hAnsi="Times New Roman"/>
          <w:sz w:val="21"/>
          <w:szCs w:val="21"/>
          <w:color w:val="auto"/>
        </w:rPr>
        <w:t>Right.</w:t>
      </w:r>
    </w:p>
    <w:p>
      <w:pPr>
        <w:spacing w:after="0" w:line="164" w:lineRule="exact"/>
        <w:rPr>
          <w:sz w:val="20"/>
          <w:szCs w:val="20"/>
          <w:color w:val="auto"/>
        </w:rPr>
      </w:pPr>
    </w:p>
    <w:p>
      <w:pPr>
        <w:jc w:val="both"/>
        <w:ind w:right="20" w:firstLine="1288"/>
        <w:spacing w:after="0" w:line="251" w:lineRule="auto"/>
        <w:rPr>
          <w:sz w:val="20"/>
          <w:szCs w:val="20"/>
          <w:color w:val="auto"/>
        </w:rPr>
      </w:pPr>
      <w:r>
        <w:rPr>
          <w:rFonts w:ascii="Times New Roman" w:cs="Times New Roman" w:eastAsia="Times New Roman" w:hAnsi="Times New Roman"/>
          <w:sz w:val="21"/>
          <w:szCs w:val="21"/>
          <w:color w:val="auto"/>
        </w:rPr>
        <w:t>(ao)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Portillo’s Inc., 2022 Employee Stock Purchase Plan, including both the 423 Component and the Non-423 Component,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080"/>
          </w:cols>
          <w:pgMar w:left="480" w:top="1440" w:right="339" w:bottom="1440" w:gutter="0" w:footer="0" w:header="0"/>
        </w:sectPr>
      </w:pPr>
    </w:p>
    <w:bookmarkStart w:id="101" w:name="page102"/>
    <w:bookmarkEnd w:id="101"/>
    <w:p>
      <w:pPr>
        <w:spacing w:after="0" w:line="162" w:lineRule="exact"/>
        <w:rPr>
          <w:sz w:val="20"/>
          <w:szCs w:val="20"/>
          <w:color w:val="auto"/>
        </w:rPr>
      </w:pPr>
    </w:p>
    <w:p>
      <w:pPr>
        <w:jc w:val="both"/>
        <w:ind w:firstLine="1288"/>
        <w:spacing w:after="0"/>
        <w:rPr>
          <w:sz w:val="20"/>
          <w:szCs w:val="20"/>
          <w:color w:val="auto"/>
        </w:rPr>
      </w:pPr>
      <w:r>
        <w:rPr>
          <w:rFonts w:ascii="Times New Roman" w:cs="Times New Roman" w:eastAsia="Times New Roman" w:hAnsi="Times New Roman"/>
          <w:sz w:val="21"/>
          <w:szCs w:val="21"/>
          <w:color w:val="auto"/>
        </w:rPr>
        <w:t>(ap) “</w:t>
      </w:r>
      <w:r>
        <w:rPr>
          <w:rFonts w:ascii="Times New Roman" w:cs="Times New Roman" w:eastAsia="Times New Roman" w:hAnsi="Times New Roman"/>
          <w:sz w:val="21"/>
          <w:szCs w:val="21"/>
          <w:u w:val="single" w:color="auto"/>
          <w:color w:val="auto"/>
        </w:rPr>
        <w:t>Purchase Date</w:t>
      </w:r>
      <w:r>
        <w:rPr>
          <w:rFonts w:ascii="Times New Roman" w:cs="Times New Roman" w:eastAsia="Times New Roman" w:hAnsi="Times New Roman"/>
          <w:sz w:val="21"/>
          <w:szCs w:val="21"/>
          <w:color w:val="auto"/>
        </w:rPr>
        <w:t>” means one or more dates during an Offering selected by the Board on which Purchase Rights will be exercised and on which purchases of shares of Common Stock will be carried out in accordance with such Offering.</w:t>
      </w:r>
    </w:p>
    <w:p>
      <w:pPr>
        <w:spacing w:after="0" w:line="376" w:lineRule="exact"/>
        <w:rPr>
          <w:sz w:val="20"/>
          <w:szCs w:val="20"/>
          <w:color w:val="auto"/>
        </w:rPr>
      </w:pPr>
    </w:p>
    <w:p>
      <w:pPr>
        <w:jc w:val="both"/>
        <w:ind w:firstLine="1288"/>
        <w:spacing w:after="0" w:line="234" w:lineRule="auto"/>
        <w:rPr>
          <w:sz w:val="20"/>
          <w:szCs w:val="20"/>
          <w:color w:val="auto"/>
        </w:rPr>
      </w:pPr>
      <w:r>
        <w:rPr>
          <w:rFonts w:ascii="Times New Roman" w:cs="Times New Roman" w:eastAsia="Times New Roman" w:hAnsi="Times New Roman"/>
          <w:sz w:val="21"/>
          <w:szCs w:val="21"/>
          <w:color w:val="auto"/>
        </w:rPr>
        <w:t>(aq) “</w:t>
      </w:r>
      <w:r>
        <w:rPr>
          <w:rFonts w:ascii="Times New Roman" w:cs="Times New Roman" w:eastAsia="Times New Roman" w:hAnsi="Times New Roman"/>
          <w:sz w:val="21"/>
          <w:szCs w:val="21"/>
          <w:u w:val="single" w:color="auto"/>
          <w:color w:val="auto"/>
        </w:rPr>
        <w:t>Purchase Period</w:t>
      </w:r>
      <w:r>
        <w:rPr>
          <w:rFonts w:ascii="Times New Roman" w:cs="Times New Roman" w:eastAsia="Times New Roman" w:hAnsi="Times New Roman"/>
          <w:sz w:val="21"/>
          <w:szCs w:val="21"/>
          <w:color w:val="auto"/>
        </w:rPr>
        <w:t>” means a period of time specified within an Offering, generally beginning on the Offering Date or on the first Trading Day following an Offering Date, and ending on a Purchase Date. An Offering may consist of one or more Purchase Periods.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(ar)  “</w:t>
      </w:r>
      <w:r>
        <w:rPr>
          <w:rFonts w:ascii="Times New Roman" w:cs="Times New Roman" w:eastAsia="Times New Roman" w:hAnsi="Times New Roman"/>
          <w:sz w:val="21"/>
          <w:szCs w:val="21"/>
          <w:u w:val="single" w:color="auto"/>
          <w:color w:val="auto"/>
        </w:rPr>
        <w:t>Purchase Right</w:t>
      </w:r>
      <w:r>
        <w:rPr>
          <w:rFonts w:ascii="Times New Roman" w:cs="Times New Roman" w:eastAsia="Times New Roman" w:hAnsi="Times New Roman"/>
          <w:sz w:val="21"/>
          <w:szCs w:val="21"/>
          <w:color w:val="auto"/>
        </w:rPr>
        <w:t>” means an option to purchase shares of Common Stock granted pursuant to the Plan.</w:t>
      </w:r>
    </w:p>
    <w:p>
      <w:pPr>
        <w:spacing w:after="0" w:line="188" w:lineRule="exact"/>
        <w:rPr>
          <w:sz w:val="20"/>
          <w:szCs w:val="20"/>
          <w:color w:val="auto"/>
        </w:rPr>
      </w:pPr>
    </w:p>
    <w:p>
      <w:pPr>
        <w:jc w:val="both"/>
        <w:ind w:firstLine="1288"/>
        <w:spacing w:after="0" w:line="251" w:lineRule="auto"/>
        <w:rPr>
          <w:sz w:val="20"/>
          <w:szCs w:val="20"/>
          <w:color w:val="auto"/>
        </w:rPr>
      </w:pPr>
      <w:r>
        <w:rPr>
          <w:rFonts w:ascii="Times New Roman" w:cs="Times New Roman" w:eastAsia="Times New Roman" w:hAnsi="Times New Roman"/>
          <w:sz w:val="21"/>
          <w:szCs w:val="21"/>
          <w:color w:val="auto"/>
        </w:rPr>
        <w:t>(as) “</w:t>
      </w:r>
      <w:r>
        <w:rPr>
          <w:rFonts w:ascii="Times New Roman" w:cs="Times New Roman" w:eastAsia="Times New Roman" w:hAnsi="Times New Roman"/>
          <w:sz w:val="21"/>
          <w:szCs w:val="21"/>
          <w:u w:val="single" w:color="auto"/>
          <w:color w:val="auto"/>
        </w:rPr>
        <w:t>Related Corporation</w:t>
      </w:r>
      <w:r>
        <w:rPr>
          <w:rFonts w:ascii="Times New Roman" w:cs="Times New Roman" w:eastAsia="Times New Roman" w:hAnsi="Times New Roman"/>
          <w:sz w:val="21"/>
          <w:szCs w:val="21"/>
          <w:color w:val="auto"/>
        </w:rPr>
        <w:t>” means any “parent corporation” or “subsidiary corporation” of the Company whether now or subsequently established, as those terms are defined in Sections 424(e) and (f), respectively, of the Code.</w:t>
      </w:r>
    </w:p>
    <w:p>
      <w:pPr>
        <w:spacing w:after="0" w:line="139"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1"/>
          <w:szCs w:val="21"/>
          <w:color w:val="auto"/>
        </w:rPr>
        <w:t>(at)</w:t>
        <w:tab/>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U.S. Securities Act of 1933, as amended.</w:t>
      </w:r>
    </w:p>
    <w:p>
      <w:pPr>
        <w:spacing w:after="0" w:line="188" w:lineRule="exact"/>
        <w:rPr>
          <w:sz w:val="20"/>
          <w:szCs w:val="20"/>
          <w:color w:val="auto"/>
        </w:rPr>
      </w:pPr>
    </w:p>
    <w:p>
      <w:pPr>
        <w:jc w:val="both"/>
        <w:ind w:firstLine="1288"/>
        <w:spacing w:after="0" w:line="251" w:lineRule="auto"/>
        <w:rPr>
          <w:sz w:val="20"/>
          <w:szCs w:val="20"/>
          <w:color w:val="auto"/>
        </w:rPr>
      </w:pPr>
      <w:r>
        <w:rPr>
          <w:rFonts w:ascii="Times New Roman" w:cs="Times New Roman" w:eastAsia="Times New Roman" w:hAnsi="Times New Roman"/>
          <w:sz w:val="21"/>
          <w:szCs w:val="21"/>
          <w:color w:val="auto"/>
        </w:rPr>
        <w:t>(au) “</w:t>
      </w:r>
      <w:r>
        <w:rPr>
          <w:rFonts w:ascii="Times New Roman" w:cs="Times New Roman" w:eastAsia="Times New Roman" w:hAnsi="Times New Roman"/>
          <w:sz w:val="21"/>
          <w:szCs w:val="21"/>
          <w:u w:val="single" w:color="auto"/>
          <w:color w:val="auto"/>
        </w:rPr>
        <w:t>Trading Day</w:t>
      </w:r>
      <w:r>
        <w:rPr>
          <w:rFonts w:ascii="Times New Roman" w:cs="Times New Roman" w:eastAsia="Times New Roman" w:hAnsi="Times New Roman"/>
          <w:sz w:val="21"/>
          <w:szCs w:val="21"/>
          <w:color w:val="auto"/>
        </w:rPr>
        <w:t>” means any day on which the exchange or market on which shares of Common Stock are listed is open for trading.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080"/>
          </w:cols>
          <w:pgMar w:left="480" w:top="1440"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EXECUTIVE OFFICER PURSUANT TO RULE 13A -14(A) UNDER THE SECURITIES EXCHANGE ACT OF 1934, 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Michael Osanloo, certify that:</w:t>
      </w:r>
    </w:p>
    <w:p>
      <w:pPr>
        <w:spacing w:after="0" w:line="48" w:lineRule="exact"/>
        <w:rPr>
          <w:sz w:val="20"/>
          <w:szCs w:val="20"/>
          <w:color w:val="auto"/>
        </w:rPr>
      </w:pPr>
    </w:p>
    <w:p>
      <w:pPr>
        <w:ind w:left="1380" w:hanging="912"/>
        <w:spacing w:after="0"/>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26, 2022 of Portillo's Inc.;</w:t>
      </w:r>
    </w:p>
    <w:p>
      <w:pPr>
        <w:spacing w:after="0" w:line="28" w:lineRule="exact"/>
        <w:rPr>
          <w:rFonts w:ascii="Arial" w:cs="Arial" w:eastAsia="Arial" w:hAnsi="Arial"/>
          <w:sz w:val="18"/>
          <w:szCs w:val="18"/>
          <w:color w:val="auto"/>
        </w:rPr>
      </w:pPr>
    </w:p>
    <w:p>
      <w:pPr>
        <w:ind w:left="1380" w:right="140" w:hanging="912"/>
        <w:spacing w:after="0" w:line="223" w:lineRule="auto"/>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8"/>
          <w:szCs w:val="18"/>
          <w:color w:val="auto"/>
        </w:rPr>
      </w:pPr>
    </w:p>
    <w:p>
      <w:pPr>
        <w:ind w:left="1380" w:right="140" w:hanging="912"/>
        <w:spacing w:after="0" w:line="226" w:lineRule="auto"/>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 w:lineRule="exact"/>
        <w:rPr>
          <w:rFonts w:ascii="Arial" w:cs="Arial" w:eastAsia="Arial" w:hAnsi="Arial"/>
          <w:sz w:val="18"/>
          <w:szCs w:val="18"/>
          <w:color w:val="auto"/>
        </w:rPr>
      </w:pPr>
    </w:p>
    <w:p>
      <w:pPr>
        <w:ind w:left="1380" w:right="700" w:hanging="912"/>
        <w:spacing w:after="0" w:line="237" w:lineRule="auto"/>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 w:lineRule="exact"/>
        <w:rPr>
          <w:rFonts w:ascii="Arial" w:cs="Arial" w:eastAsia="Arial" w:hAnsi="Arial"/>
          <w:sz w:val="18"/>
          <w:szCs w:val="18"/>
          <w:color w:val="auto"/>
        </w:rPr>
      </w:pPr>
    </w:p>
    <w:p>
      <w:pPr>
        <w:ind w:left="1380" w:right="80" w:hanging="456"/>
        <w:spacing w:after="0" w:line="226"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Arial" w:cs="Arial" w:eastAsia="Arial" w:hAnsi="Arial"/>
          <w:sz w:val="18"/>
          <w:szCs w:val="18"/>
          <w:color w:val="auto"/>
        </w:rPr>
      </w:pPr>
    </w:p>
    <w:p>
      <w:pPr>
        <w:ind w:left="1380" w:hanging="456"/>
        <w:spacing w:after="0"/>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[Omitted];</w:t>
      </w:r>
    </w:p>
    <w:p>
      <w:pPr>
        <w:spacing w:after="0" w:line="28" w:lineRule="exact"/>
        <w:rPr>
          <w:rFonts w:ascii="Arial" w:cs="Arial" w:eastAsia="Arial" w:hAnsi="Arial"/>
          <w:sz w:val="18"/>
          <w:szCs w:val="18"/>
          <w:color w:val="auto"/>
        </w:rPr>
      </w:pPr>
    </w:p>
    <w:p>
      <w:pPr>
        <w:ind w:left="1380" w:right="280" w:hanging="456"/>
        <w:spacing w:after="0" w:line="223"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5" w:lineRule="exact"/>
        <w:rPr>
          <w:rFonts w:ascii="Arial" w:cs="Arial" w:eastAsia="Arial" w:hAnsi="Arial"/>
          <w:sz w:val="18"/>
          <w:szCs w:val="18"/>
          <w:color w:val="auto"/>
        </w:rPr>
      </w:pPr>
    </w:p>
    <w:p>
      <w:pPr>
        <w:ind w:left="1380" w:right="40" w:hanging="456"/>
        <w:spacing w:after="0" w:line="226"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Arial" w:cs="Arial" w:eastAsia="Arial" w:hAnsi="Arial"/>
          <w:sz w:val="18"/>
          <w:szCs w:val="18"/>
          <w:color w:val="auto"/>
        </w:rPr>
      </w:pPr>
    </w:p>
    <w:p>
      <w:pPr>
        <w:ind w:left="1380" w:right="380" w:hanging="912"/>
        <w:spacing w:after="0" w:line="226" w:lineRule="auto"/>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8"/>
          <w:szCs w:val="18"/>
          <w:color w:val="auto"/>
        </w:rPr>
      </w:pPr>
    </w:p>
    <w:p>
      <w:pPr>
        <w:jc w:val="both"/>
        <w:ind w:left="1380" w:right="420" w:hanging="456"/>
        <w:spacing w:after="0" w:line="226"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8"/>
          <w:szCs w:val="18"/>
          <w:color w:val="auto"/>
        </w:rPr>
      </w:pPr>
    </w:p>
    <w:p>
      <w:pPr>
        <w:ind w:left="1380" w:right="760" w:hanging="456"/>
        <w:spacing w:after="0" w:line="237"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440" w:val="left"/>
          <w:tab w:leader="none" w:pos="61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17145</wp:posOffset>
            </wp:positionV>
            <wp:extent cx="32302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Osanloo</w:t>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Chief Executive Officer and Director</w:t>
      </w: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CERTIFICATION OF CHIEF FINANCIAL OFFICER PURSUANT TO RULE 13A -14(A) UNDER THE SECURITIES EXCHANGE ACT OF 1934, AS ADOPTED 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Michelle Hook, certify that:</w:t>
      </w:r>
    </w:p>
    <w:p>
      <w:pPr>
        <w:spacing w:after="0" w:line="48" w:lineRule="exact"/>
        <w:rPr>
          <w:sz w:val="20"/>
          <w:szCs w:val="20"/>
          <w:color w:val="auto"/>
        </w:rPr>
      </w:pPr>
    </w:p>
    <w:p>
      <w:pPr>
        <w:ind w:left="1300" w:hanging="859"/>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26, 2022 of Portillo's Inc.;</w:t>
      </w:r>
    </w:p>
    <w:p>
      <w:pPr>
        <w:spacing w:after="0" w:line="28" w:lineRule="exact"/>
        <w:rPr>
          <w:rFonts w:ascii="Arial" w:cs="Arial" w:eastAsia="Arial" w:hAnsi="Arial"/>
          <w:sz w:val="18"/>
          <w:szCs w:val="18"/>
          <w:color w:val="auto"/>
        </w:rPr>
      </w:pPr>
    </w:p>
    <w:p>
      <w:pPr>
        <w:ind w:left="1300" w:right="220"/>
        <w:spacing w:after="0" w:line="208" w:lineRule="auto"/>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w:t>
      </w:r>
    </w:p>
    <w:p>
      <w:pPr>
        <w:ind w:left="1300" w:hanging="859"/>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misleading with respect to the period covered by this report;</w:t>
      </w:r>
    </w:p>
    <w:p>
      <w:pPr>
        <w:spacing w:after="0" w:line="24" w:lineRule="exact"/>
        <w:rPr>
          <w:rFonts w:ascii="Arial" w:cs="Arial" w:eastAsia="Arial" w:hAnsi="Arial"/>
          <w:sz w:val="18"/>
          <w:szCs w:val="18"/>
          <w:color w:val="auto"/>
        </w:rPr>
      </w:pPr>
    </w:p>
    <w:p>
      <w:pPr>
        <w:ind w:left="1300" w:right="220"/>
        <w:spacing w:after="0" w:line="220" w:lineRule="auto"/>
        <w:rPr>
          <w:rFonts w:ascii="Arial" w:cs="Arial" w:eastAsia="Arial" w:hAnsi="Arial"/>
          <w:sz w:val="18"/>
          <w:szCs w:val="18"/>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w:t>
      </w:r>
    </w:p>
    <w:p>
      <w:pPr>
        <w:ind w:left="1300" w:hanging="859"/>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presented in this report;</w:t>
      </w:r>
    </w:p>
    <w:p>
      <w:pPr>
        <w:spacing w:after="0" w:line="24" w:lineRule="exact"/>
        <w:rPr>
          <w:rFonts w:ascii="Arial" w:cs="Arial" w:eastAsia="Arial" w:hAnsi="Arial"/>
          <w:sz w:val="18"/>
          <w:szCs w:val="18"/>
          <w:color w:val="auto"/>
        </w:rPr>
      </w:pPr>
    </w:p>
    <w:p>
      <w:pPr>
        <w:ind w:left="1300"/>
        <w:spacing w:after="0" w:line="214" w:lineRule="auto"/>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w:t>
      </w:r>
    </w:p>
    <w:p>
      <w:pPr>
        <w:ind w:left="1300" w:hanging="859"/>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procedures (as defined in Exchange Act Rules 13a-15(e) and 15d-15(e)) for the registrant and have:</w:t>
      </w:r>
    </w:p>
    <w:p>
      <w:pPr>
        <w:spacing w:after="0" w:line="24" w:lineRule="exact"/>
        <w:rPr>
          <w:rFonts w:ascii="Arial" w:cs="Arial" w:eastAsia="Arial" w:hAnsi="Arial"/>
          <w:sz w:val="18"/>
          <w:szCs w:val="18"/>
          <w:color w:val="auto"/>
        </w:rPr>
      </w:pPr>
    </w:p>
    <w:p>
      <w:pPr>
        <w:ind w:left="1300" w:right="60" w:hanging="429"/>
        <w:spacing w:after="0" w:line="223"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Arial" w:cs="Arial" w:eastAsia="Arial" w:hAnsi="Arial"/>
          <w:sz w:val="18"/>
          <w:szCs w:val="18"/>
          <w:color w:val="auto"/>
        </w:rPr>
      </w:pPr>
    </w:p>
    <w:p>
      <w:pPr>
        <w:ind w:left="1300" w:hanging="429"/>
        <w:spacing w:after="0"/>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[Omitted];</w:t>
      </w:r>
    </w:p>
    <w:p>
      <w:pPr>
        <w:spacing w:after="0" w:line="28" w:lineRule="exact"/>
        <w:rPr>
          <w:rFonts w:ascii="Arial" w:cs="Arial" w:eastAsia="Arial" w:hAnsi="Arial"/>
          <w:sz w:val="18"/>
          <w:szCs w:val="18"/>
          <w:color w:val="auto"/>
        </w:rPr>
      </w:pPr>
    </w:p>
    <w:p>
      <w:pPr>
        <w:ind w:left="1300" w:right="360" w:hanging="429"/>
        <w:spacing w:after="0" w:line="223"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5" w:lineRule="exact"/>
        <w:rPr>
          <w:rFonts w:ascii="Arial" w:cs="Arial" w:eastAsia="Arial" w:hAnsi="Arial"/>
          <w:sz w:val="18"/>
          <w:szCs w:val="18"/>
          <w:color w:val="auto"/>
        </w:rPr>
      </w:pPr>
    </w:p>
    <w:p>
      <w:pPr>
        <w:ind w:left="1300" w:right="120" w:hanging="429"/>
        <w:spacing w:after="0" w:line="226"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Arial" w:cs="Arial" w:eastAsia="Arial" w:hAnsi="Arial"/>
          <w:sz w:val="18"/>
          <w:szCs w:val="18"/>
          <w:color w:val="auto"/>
        </w:rPr>
      </w:pPr>
    </w:p>
    <w:p>
      <w:pPr>
        <w:ind w:left="1300" w:right="460"/>
        <w:spacing w:after="0" w:line="225" w:lineRule="auto"/>
        <w:rPr>
          <w:rFonts w:ascii="Arial" w:cs="Arial" w:eastAsia="Arial" w:hAnsi="Arial"/>
          <w:sz w:val="18"/>
          <w:szCs w:val="18"/>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w:t>
      </w:r>
    </w:p>
    <w:p>
      <w:pPr>
        <w:ind w:left="1300" w:hanging="859"/>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performing the equivalent functions):</w:t>
      </w:r>
    </w:p>
    <w:p>
      <w:pPr>
        <w:spacing w:after="0" w:line="24" w:lineRule="exact"/>
        <w:rPr>
          <w:rFonts w:ascii="Arial" w:cs="Arial" w:eastAsia="Arial" w:hAnsi="Arial"/>
          <w:sz w:val="18"/>
          <w:szCs w:val="18"/>
          <w:color w:val="auto"/>
        </w:rPr>
      </w:pPr>
    </w:p>
    <w:p>
      <w:pPr>
        <w:jc w:val="both"/>
        <w:ind w:left="1300" w:right="500" w:hanging="429"/>
        <w:spacing w:after="0" w:line="223"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8"/>
          <w:szCs w:val="18"/>
          <w:color w:val="auto"/>
        </w:rPr>
      </w:pPr>
    </w:p>
    <w:p>
      <w:pPr>
        <w:ind w:left="1300" w:right="840" w:hanging="429"/>
        <w:spacing w:after="0" w:line="237"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440" w:val="left"/>
          <w:tab w:leader="none" w:pos="61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17145</wp:posOffset>
            </wp:positionV>
            <wp:extent cx="32302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24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and Treasurer</w:t>
      </w:r>
    </w:p>
    <w:p>
      <w:pP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connection with the Quarterly Report on Form 10-Q of Portillo's Inc. (the “Company”), for the quarterly period ended June 26, 2022,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2" w:lineRule="exact"/>
        <w:rPr>
          <w:sz w:val="20"/>
          <w:szCs w:val="20"/>
          <w:color w:val="auto"/>
        </w:rPr>
      </w:pPr>
    </w:p>
    <w:p>
      <w:pPr>
        <w:ind w:left="900" w:hanging="44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 w:lineRule="exact"/>
        <w:rPr>
          <w:sz w:val="20"/>
          <w:szCs w:val="20"/>
          <w:color w:val="auto"/>
        </w:rPr>
      </w:pPr>
    </w:p>
    <w:p>
      <w:pPr>
        <w:ind w:left="900" w:right="140" w:hanging="445"/>
        <w:spacing w:after="0" w:line="233"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color w:val="auto"/>
              </w:rPr>
              <w:t>Date: August 4, 2022</w:t>
            </w:r>
          </w:p>
        </w:tc>
        <w:tc>
          <w:tcPr>
            <w:tcW w:w="2620" w:type="dxa"/>
            <w:vAlign w:val="bottom"/>
          </w:tcPr>
          <w:p>
            <w:pPr>
              <w:ind w:left="18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Michael Osanloo</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Michael Osanloo</w:t>
            </w:r>
          </w:p>
        </w:tc>
      </w:tr>
      <w:tr>
        <w:trPr>
          <w:trHeight w:val="188"/>
        </w:trPr>
        <w:tc>
          <w:tcPr>
            <w:tcW w:w="35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40" w:type="dxa"/>
            <w:vAlign w:val="bottom"/>
            <w:gridSpan w:val="2"/>
          </w:tcPr>
          <w:p>
            <w:pPr>
              <w:ind w:left="20"/>
              <w:spacing w:after="0" w:line="188" w:lineRule="exact"/>
              <w:rPr>
                <w:sz w:val="20"/>
                <w:szCs w:val="20"/>
                <w:color w:val="auto"/>
              </w:rPr>
            </w:pPr>
            <w:r>
              <w:rPr>
                <w:rFonts w:ascii="Arial" w:cs="Arial" w:eastAsia="Arial" w:hAnsi="Arial"/>
                <w:sz w:val="18"/>
                <w:szCs w:val="18"/>
                <w:color w:val="auto"/>
              </w:rPr>
              <w:t>President, Chief Executive Officer and Director</w:t>
            </w:r>
          </w:p>
        </w:tc>
      </w:tr>
      <w:tr>
        <w:trPr>
          <w:trHeight w:val="236"/>
        </w:trPr>
        <w:tc>
          <w:tcPr>
            <w:tcW w:w="3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75"/>
        </w:trPr>
        <w:tc>
          <w:tcPr>
            <w:tcW w:w="3560" w:type="dxa"/>
            <w:vAlign w:val="bottom"/>
          </w:tcPr>
          <w:p>
            <w:pPr>
              <w:spacing w:after="0"/>
              <w:rPr>
                <w:sz w:val="20"/>
                <w:szCs w:val="20"/>
                <w:color w:val="auto"/>
              </w:rPr>
            </w:pPr>
            <w:r>
              <w:rPr>
                <w:rFonts w:ascii="Arial" w:cs="Arial" w:eastAsia="Arial" w:hAnsi="Arial"/>
                <w:sz w:val="18"/>
                <w:szCs w:val="18"/>
                <w:color w:val="auto"/>
              </w:rPr>
              <w:t>Date: August 4, 2022</w:t>
            </w:r>
          </w:p>
        </w:tc>
        <w:tc>
          <w:tcPr>
            <w:tcW w:w="2620" w:type="dxa"/>
            <w:vAlign w:val="bottom"/>
          </w:tcPr>
          <w:p>
            <w:pPr>
              <w:ind w:left="18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Hook</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Michelle Hook</w:t>
            </w:r>
          </w:p>
        </w:tc>
      </w:tr>
      <w:tr>
        <w:trPr>
          <w:trHeight w:val="180"/>
        </w:trPr>
        <w:tc>
          <w:tcPr>
            <w:tcW w:w="35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Pr>
          <w:p>
            <w:pPr>
              <w:ind w:left="20"/>
              <w:spacing w:after="0" w:line="180" w:lineRule="exact"/>
              <w:rPr>
                <w:sz w:val="20"/>
                <w:szCs w:val="20"/>
                <w:color w:val="auto"/>
              </w:rPr>
            </w:pPr>
            <w:r>
              <w:rPr>
                <w:rFonts w:ascii="Arial" w:cs="Arial" w:eastAsia="Arial" w:hAnsi="Arial"/>
                <w:sz w:val="18"/>
                <w:szCs w:val="18"/>
                <w:color w:val="auto"/>
              </w:rPr>
              <w:t>Chief Financial Officer and Treasurer</w:t>
            </w:r>
          </w:p>
        </w:tc>
      </w:tr>
      <w:tr>
        <w:trPr>
          <w:trHeight w:val="236"/>
        </w:trPr>
        <w:tc>
          <w:tcPr>
            <w:tcW w:w="3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lvl w:ilvl="1">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lvl w:ilvl="1">
      <w:lvlJc w:val="left"/>
      <w:lvlText w:val="•"/>
      <w:numFmt w:val="bullet"/>
      <w:start w:val="1"/>
    </w:lvl>
  </w:abstractNum>
  <w:abstractNum w:abstractNumId="6">
    <w:nsid w:val="12E685FB"/>
    <w:multiLevelType w:val="hybridMultilevel"/>
    <w:lvl w:ilvl="0">
      <w:lvlJc w:val="left"/>
      <w:lvlText w:val="(%1)"/>
      <w:numFmt w:val="lowerLetter"/>
      <w:start w:val="1"/>
    </w:lvl>
  </w:abstractNum>
  <w:abstractNum w:abstractNumId="7">
    <w:nsid w:val="70C6A529"/>
    <w:multiLevelType w:val="hybridMultilevel"/>
    <w:lvl w:ilvl="0">
      <w:lvlJc w:val="left"/>
      <w:lvlText w:val="(%1)"/>
      <w:numFmt w:val="lowerRoman"/>
      <w:start w:val="2"/>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1)"/>
      <w:numFmt w:val="lowerRoman"/>
      <w:start w:val="1"/>
    </w:lvl>
  </w:abstractNum>
  <w:abstractNum w:abstractNumId="15">
    <w:nsid w:val="1CF10FD8"/>
    <w:multiLevelType w:val="hybridMultilevel"/>
    <w:lvl w:ilvl="0">
      <w:lvlJc w:val="left"/>
      <w:lvlText w:val="%1."/>
      <w:numFmt w:val="decimal"/>
      <w:start w:val="5"/>
    </w:lvl>
  </w:abstractNum>
  <w:abstractNum w:abstractNumId="16">
    <w:nsid w:val="180115BE"/>
    <w:multiLevelType w:val="hybridMultilevel"/>
    <w:lvl w:ilvl="0">
      <w:lvlJc w:val="left"/>
      <w:lvlText w:val="(%1)"/>
      <w:numFmt w:val="lowerRoman"/>
      <w:start w:val="1"/>
    </w:lvl>
    <w:lvl w:ilvl="1">
      <w:lvlJc w:val="left"/>
      <w:lvlText w:val="(%2)"/>
      <w:numFmt w:val="decimal"/>
      <w:start w:val="1"/>
    </w:lvl>
  </w:abstractNum>
  <w:abstractNum w:abstractNumId="17">
    <w:nsid w:val="235BA861"/>
    <w:multiLevelType w:val="hybridMultilevel"/>
    <w:lvl w:ilvl="0">
      <w:lvlJc w:val="left"/>
      <w:lvlText w:val="(%1)"/>
      <w:numFmt w:val="decimal"/>
      <w:start w:val="2"/>
    </w:lvl>
  </w:abstractNum>
  <w:abstractNum w:abstractNumId="18">
    <w:nsid w:val="47398C89"/>
    <w:multiLevelType w:val="hybridMultilevel"/>
    <w:lvl w:ilvl="0">
      <w:lvlJc w:val="left"/>
      <w:lvlText w:val="(%1)"/>
      <w:numFmt w:val="lowerRoman"/>
      <w:start w:val="2"/>
    </w:lvl>
    <w:lvl w:ilvl="1">
      <w:lvlJc w:val="left"/>
      <w:lvlText w:val="(%2)"/>
      <w:numFmt w:val="decimal"/>
      <w:start w:val="1"/>
    </w:lvl>
  </w:abstractNum>
  <w:abstractNum w:abstractNumId="19">
    <w:nsid w:val="354FE9F9"/>
    <w:multiLevelType w:val="hybridMultilevel"/>
    <w:lvl w:ilvl="0">
      <w:lvlJc w:val="left"/>
      <w:lvlText w:val="%1."/>
      <w:numFmt w:val="decimal"/>
      <w:start w:val="6"/>
    </w:lvl>
  </w:abstractNum>
  <w:abstractNum w:abstractNumId="20">
    <w:nsid w:val="15B5AF5C"/>
    <w:multiLevelType w:val="hybridMultilevel"/>
    <w:lvl w:ilvl="0">
      <w:lvlJc w:val="left"/>
      <w:lvlText w:val="%1."/>
      <w:numFmt w:val="decimal"/>
      <w:start w:val="7"/>
    </w:lvl>
  </w:abstractNum>
  <w:abstractNum w:abstractNumId="21">
    <w:nsid w:val="741226BB"/>
    <w:multiLevelType w:val="hybridMultilevel"/>
    <w:lvl w:ilvl="0">
      <w:lvlJc w:val="left"/>
      <w:lvlText w:val="%1."/>
      <w:numFmt w:val="decimal"/>
      <w:start w:val="8"/>
    </w:lvl>
  </w:abstractNum>
  <w:abstractNum w:abstractNumId="22">
    <w:nsid w:val="D34B6A8"/>
    <w:multiLevelType w:val="hybridMultilevel"/>
    <w:lvl w:ilvl="0">
      <w:lvlJc w:val="left"/>
      <w:lvlText w:val="%1."/>
      <w:numFmt w:val="decimal"/>
      <w:start w:val="9"/>
    </w:lvl>
  </w:abstractNum>
  <w:abstractNum w:abstractNumId="23">
    <w:nsid w:val="10233C99"/>
    <w:multiLevelType w:val="hybridMultilevel"/>
    <w:lvl w:ilvl="0">
      <w:lvlJc w:val="left"/>
      <w:lvlText w:val="%1."/>
      <w:numFmt w:val="decimal"/>
      <w:start w:val="10"/>
    </w:lvl>
  </w:abstractNum>
  <w:abstractNum w:abstractNumId="24">
    <w:nsid w:val="3F6AB60F"/>
    <w:multiLevelType w:val="hybridMultilevel"/>
    <w:lvl w:ilvl="0">
      <w:lvlJc w:val="left"/>
      <w:lvlText w:val="(%1)"/>
      <w:numFmt w:val="lowerRoman"/>
      <w:start w:val="1"/>
    </w:lvl>
  </w:abstractNum>
  <w:abstractNum w:abstractNumId="25">
    <w:nsid w:val="61574095"/>
    <w:multiLevelType w:val="hybridMultilevel"/>
    <w:lvl w:ilvl="0">
      <w:lvlJc w:val="left"/>
      <w:lvlText w:val="(%1)"/>
      <w:numFmt w:val="lowerRoman"/>
      <w:start w:val="1"/>
    </w:lvl>
  </w:abstractNum>
  <w:abstractNum w:abstractNumId="26">
    <w:nsid w:val="7E0C57B1"/>
    <w:multiLevelType w:val="hybridMultilevel"/>
    <w:lvl w:ilvl="0">
      <w:lvlJc w:val="left"/>
      <w:lvlText w:val="(%1)"/>
      <w:numFmt w:val="lowerLetter"/>
      <w:start w:val="26"/>
    </w:lvl>
  </w:abstractNum>
  <w:abstractNum w:abstractNumId="27">
    <w:nsid w:val="77AE35EB"/>
    <w:multiLevelType w:val="hybridMultilevel"/>
    <w:lvl w:ilvl="0">
      <w:lvlJc w:val="left"/>
      <w:lvlText w:val="(%1)"/>
      <w:numFmt w:val="lowerRoman"/>
      <w:start w:val="1"/>
    </w:lvl>
    <w:lvl w:ilvl="1">
      <w:lvlJc w:val="left"/>
      <w:lvlText w:val="(%2)"/>
      <w:numFmt w:val="decimal"/>
      <w:start w:val="1"/>
    </w:lvl>
  </w:abstractNum>
  <w:abstractNum w:abstractNumId="28">
    <w:nsid w:val="579BE4F1"/>
    <w:multiLevelType w:val="hybridMultilevel"/>
    <w:lvl w:ilvl="0">
      <w:lvlJc w:val="left"/>
      <w:lvlText w:val="%1"/>
      <w:numFmt w:val="lowerRoman"/>
      <w:start w:val="1"/>
    </w:lvl>
    <w:lvl w:ilvl="1">
      <w:lvlJc w:val="left"/>
      <w:lvlText w:val="(%2)"/>
      <w:numFmt w:val="decimal"/>
      <w:start w:val="4"/>
    </w:lvl>
  </w:abstractNum>
  <w:abstractNum w:abstractNumId="29">
    <w:nsid w:val="310C50B3"/>
    <w:multiLevelType w:val="hybridMultilevel"/>
    <w:lvl w:ilvl="0">
      <w:lvlJc w:val="left"/>
      <w:lvlText w:val="(%1)"/>
      <w:numFmt w:val="lowerRoman"/>
      <w:start w:val="3"/>
    </w:lvl>
    <w:lvl w:ilvl="1">
      <w:lvlJc w:val="left"/>
      <w:lvlText w:val="%2"/>
      <w:numFmt w:val="decimal"/>
      <w:start w:val="1"/>
    </w:lvl>
  </w:abstractNum>
  <w:abstractNum w:abstractNumId="30">
    <w:nsid w:val="5FF87E05"/>
    <w:multiLevelType w:val="hybridMultilevel"/>
    <w:lvl w:ilvl="0">
      <w:lvlJc w:val="left"/>
      <w:lvlText w:val="(%1)"/>
      <w:numFmt w:val="lowerRoman"/>
      <w:start w:val="5"/>
    </w:lvl>
    <w:lvl w:ilvl="1">
      <w:lvlJc w:val="left"/>
      <w:lvlText w:val="(%2)"/>
      <w:numFmt w:val="decimal"/>
      <w:start w:val="1"/>
    </w:lvl>
  </w:abstractNum>
  <w:abstractNum w:abstractNumId="31">
    <w:nsid w:val="2F305DEF"/>
    <w:multiLevelType w:val="hybridMultilevel"/>
    <w:lvl w:ilvl="0">
      <w:lvlJc w:val="left"/>
      <w:lvlText w:val="%1."/>
      <w:numFmt w:val="decimal"/>
      <w:start w:val="11"/>
    </w:lvl>
  </w:abstractNum>
  <w:abstractNum w:abstractNumId="32">
    <w:nsid w:val="25A70BF7"/>
    <w:multiLevelType w:val="hybridMultilevel"/>
    <w:lvl w:ilvl="0">
      <w:lvlJc w:val="left"/>
      <w:lvlText w:val="%1"/>
      <w:numFmt w:val="decimal"/>
      <w:start w:val="12"/>
    </w:lvl>
  </w:abstractNum>
  <w:abstractNum w:abstractNumId="33">
    <w:nsid w:val="1DBABF00"/>
    <w:multiLevelType w:val="hybridMultilevel"/>
    <w:lvl w:ilvl="0">
      <w:lvlJc w:val="left"/>
      <w:lvlText w:val="%1."/>
      <w:numFmt w:val="decimal"/>
      <w:start w:val="13"/>
    </w:lvl>
  </w:abstractNum>
  <w:abstractNum w:abstractNumId="34">
    <w:nsid w:val="4AD084E9"/>
    <w:multiLevelType w:val="hybridMultilevel"/>
    <w:lvl w:ilvl="0">
      <w:lvlJc w:val="left"/>
      <w:lvlText w:val="%1."/>
      <w:numFmt w:val="decimal"/>
      <w:start w:val="14"/>
    </w:lvl>
  </w:abstractNum>
  <w:abstractNum w:abstractNumId="35">
    <w:nsid w:val="1F48EAA1"/>
    <w:multiLevelType w:val="hybridMultilevel"/>
    <w:lvl w:ilvl="0">
      <w:lvlJc w:val="left"/>
      <w:lvlText w:val="%1."/>
      <w:numFmt w:val="decimal"/>
      <w:start w:val="16"/>
    </w:lvl>
  </w:abstractNum>
  <w:abstractNum w:abstractNumId="36">
    <w:nsid w:val="1381823A"/>
    <w:multiLevelType w:val="hybridMultilevel"/>
    <w:lvl w:ilvl="0">
      <w:lvlJc w:val="left"/>
      <w:lvlText w:val="%1."/>
      <w:numFmt w:val="decimal"/>
      <w:start w:val="17"/>
    </w:lvl>
    <w:lvl w:ilvl="1">
      <w:lvlJc w:val="left"/>
      <w:lvlText w:val="(%2)"/>
      <w:numFmt w:val="lowerLetter"/>
      <w:start w:val="1"/>
    </w:lvl>
  </w:abstractNum>
  <w:abstractNum w:abstractNumId="37">
    <w:nsid w:val="5DB70AE5"/>
    <w:multiLevelType w:val="hybridMultilevel"/>
    <w:lvl w:ilvl="0">
      <w:lvlJc w:val="left"/>
      <w:lvlText w:val="%1"/>
      <w:numFmt w:val="decimal"/>
      <w:start w:val="1"/>
    </w:lvl>
    <w:lvl w:ilvl="1">
      <w:lvlJc w:val="left"/>
      <w:lvlText w:val="(%2)"/>
      <w:numFmt w:val="lowerLetter"/>
      <w:start w:val="6"/>
    </w:lvl>
  </w:abstractNum>
  <w:abstractNum w:abstractNumId="38">
    <w:nsid w:val="100F8FCA"/>
    <w:multiLevelType w:val="hybridMultilevel"/>
    <w:lvl w:ilvl="0">
      <w:lvlJc w:val="left"/>
      <w:lvlText w:val="(%1)"/>
      <w:numFmt w:val="decimal"/>
      <w:start w:val="3"/>
    </w:lvl>
    <w:lvl w:ilvl="1">
      <w:lvlJc w:val="left"/>
      <w:lvlText w:val="(%2)"/>
      <w:numFmt w:val="lowerLetter"/>
      <w:start w:val="12"/>
    </w:lvl>
  </w:abstractNum>
  <w:abstractNum w:abstractNumId="39">
    <w:nsid w:val="6590700B"/>
    <w:multiLevelType w:val="hybridMultilevel"/>
    <w:lvl w:ilvl="0">
      <w:lvlJc w:val="left"/>
      <w:lvlText w:val="(%1)"/>
      <w:numFmt w:val="lowerLetter"/>
      <w:start w:val="14"/>
    </w:lvl>
  </w:abstractNum>
  <w:abstractNum w:abstractNumId="40">
    <w:nsid w:val="15014ACB"/>
    <w:multiLevelType w:val="hybridMultilevel"/>
    <w:lvl w:ilvl="0">
      <w:lvlJc w:val="left"/>
      <w:lvlText w:val="(%1)"/>
      <w:numFmt w:val="lowerLetter"/>
      <w:start w:val="1"/>
    </w:lvl>
  </w:abstractNum>
  <w:abstractNum w:abstractNumId="41">
    <w:nsid w:val="5F5E7FD0"/>
    <w:multiLevelType w:val="hybridMultilevel"/>
    <w:lvl w:ilvl="0">
      <w:lvlJc w:val="left"/>
      <w:lvlText w:val="(%1)"/>
      <w:numFmt w:val="lowerLetter"/>
      <w:start w:val="2"/>
    </w:lvl>
  </w:abstractNum>
  <w:abstractNum w:abstractNumId="42">
    <w:nsid w:val="98A3148"/>
    <w:multiLevelType w:val="hybridMultilevel"/>
    <w:lvl w:ilvl="0">
      <w:lvlJc w:val="left"/>
      <w:lvlText w:val="(%1)"/>
      <w:numFmt w:val="lowerLetter"/>
      <w:start w:val="1"/>
    </w:lvl>
  </w:abstractNum>
  <w:abstractNum w:abstractNumId="43">
    <w:nsid w:val="799D0247"/>
    <w:multiLevelType w:val="hybridMultilevel"/>
    <w:lvl w:ilvl="0">
      <w:lvlJc w:val="left"/>
      <w:lvlText w:val="(%1)"/>
      <w:numFmt w:val="lowerLetter"/>
      <w:start w:val="1"/>
    </w:lvl>
  </w:abstractNum>
  <w:abstractNum w:abstractNumId="44">
    <w:nsid w:val="6B94764"/>
    <w:multiLevelType w:val="hybridMultilevel"/>
    <w:lvl w:ilvl="0">
      <w:lvlJc w:val="left"/>
      <w:lvlText w:val="(%1)"/>
      <w:numFmt w:val="lowerLetter"/>
      <w:start w:val="1"/>
    </w:lvl>
    <w:lvl w:ilvl="1">
      <w:lvlJc w:val="left"/>
      <w:lvlText w:val="(%2)"/>
      <w:numFmt w:val="lowerRoman"/>
      <w:start w:val="1"/>
    </w:lvl>
  </w:abstractNum>
  <w:abstractNum w:abstractNumId="45">
    <w:nsid w:val="42C296B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6">
    <w:nsid w:val="168E121F"/>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47">
    <w:nsid w:val="1EBA5D23"/>
    <w:multiLevelType w:val="hybridMultilevel"/>
    <w:lvl w:ilvl="0">
      <w:lvlJc w:val="left"/>
      <w:lvlText w:val="(%1)"/>
      <w:numFmt w:val="upperLetter"/>
      <w:start w:val="6"/>
    </w:lvl>
  </w:abstractNum>
  <w:abstractNum w:abstractNumId="48">
    <w:nsid w:val="661E3F1E"/>
    <w:multiLevelType w:val="hybridMultilevel"/>
    <w:lvl w:ilvl="0">
      <w:lvlJc w:val="left"/>
      <w:lvlText w:val="(%1)"/>
      <w:numFmt w:val="upperLetter"/>
      <w:start w:val="13"/>
    </w:lvl>
  </w:abstractNum>
  <w:abstractNum w:abstractNumId="49">
    <w:nsid w:val="5DC79EA8"/>
    <w:multiLevelType w:val="hybridMultilevel"/>
    <w:lvl w:ilvl="0">
      <w:lvlJc w:val="left"/>
      <w:lvlText w:val="(%1)"/>
      <w:numFmt w:val="lowerRoman"/>
      <w:start w:val="2"/>
    </w:lvl>
    <w:lvl w:ilvl="1">
      <w:lvlJc w:val="left"/>
      <w:lvlText w:val="(%2)"/>
      <w:numFmt w:val="upperLetter"/>
      <w:start w:val="1"/>
    </w:lvl>
  </w:abstractNum>
  <w:abstractNum w:abstractNumId="50">
    <w:nsid w:val="540A471C"/>
    <w:multiLevelType w:val="hybridMultilevel"/>
    <w:lvl w:ilvl="0">
      <w:lvlJc w:val="left"/>
      <w:lvlText w:val="%1"/>
      <w:numFmt w:val="lowerLetter"/>
      <w:start w:val="1"/>
    </w:lvl>
    <w:lvl w:ilvl="1">
      <w:lvlJc w:val="left"/>
      <w:lvlText w:val="(%2)"/>
      <w:numFmt w:val="lowerRoman"/>
      <w:start w:val="4"/>
    </w:lvl>
  </w:abstractNum>
  <w:abstractNum w:abstractNumId="51">
    <w:nsid w:val="7BD3EE7B"/>
    <w:multiLevelType w:val="hybridMultilevel"/>
    <w:lvl w:ilvl="0">
      <w:lvlJc w:val="left"/>
      <w:lvlText w:val="(%1)"/>
      <w:numFmt w:val="lowerLetter"/>
      <w:start w:val="3"/>
    </w:lvl>
    <w:lvl w:ilvl="1">
      <w:lvlJc w:val="left"/>
      <w:lvlText w:val="(%2)"/>
      <w:numFmt w:val="lowerRoman"/>
      <w:start w:val="1"/>
    </w:lvl>
  </w:abstractNum>
  <w:abstractNum w:abstractNumId="52">
    <w:nsid w:val="51D9C564"/>
    <w:multiLevelType w:val="hybridMultilevel"/>
    <w:lvl w:ilvl="0">
      <w:lvlJc w:val="left"/>
      <w:lvlText w:val="(%1)"/>
      <w:numFmt w:val="lowerLetter"/>
      <w:start w:val="4"/>
    </w:lvl>
  </w:abstractNum>
  <w:abstractNum w:abstractNumId="53">
    <w:nsid w:val="613EFDC5"/>
    <w:multiLevelType w:val="hybridMultilevel"/>
    <w:lvl w:ilvl="0">
      <w:lvlJc w:val="left"/>
      <w:lvlText w:val="(%1)"/>
      <w:numFmt w:val="lowerLetter"/>
      <w:start w:val="1"/>
    </w:lvl>
  </w:abstractNum>
  <w:abstractNum w:abstractNumId="54">
    <w:nsid w:val="BF72B14"/>
    <w:multiLevelType w:val="hybridMultilevel"/>
    <w:lvl w:ilvl="0">
      <w:lvlJc w:val="left"/>
      <w:lvlText w:val="%1"/>
      <w:numFmt w:val="lowerLetter"/>
      <w:start w:val="1"/>
    </w:lvl>
    <w:lvl w:ilvl="1">
      <w:lvlJc w:val="left"/>
      <w:lvlText w:val="(%2)"/>
      <w:numFmt w:val="lowerRoman"/>
      <w:start w:val="1"/>
    </w:lvl>
  </w:abstractNum>
  <w:abstractNum w:abstractNumId="55">
    <w:nsid w:val="11447B73"/>
    <w:multiLevelType w:val="hybridMultilevel"/>
    <w:lvl w:ilvl="0">
      <w:lvlJc w:val="left"/>
      <w:lvlText w:val="(%1)"/>
      <w:numFmt w:val="lowerLetter"/>
      <w:start w:val="2"/>
    </w:lvl>
    <w:lvl w:ilvl="1">
      <w:lvlJc w:val="left"/>
      <w:lvlText w:val="%2"/>
      <w:numFmt w:val="lowerRoman"/>
      <w:start w:val="1"/>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lowerLetter"/>
      <w:start w:val="8"/>
    </w:lvl>
  </w:abstractNum>
  <w:abstractNum w:abstractNumId="58">
    <w:nsid w:val="8F2B15E"/>
    <w:multiLevelType w:val="hybridMultilevel"/>
    <w:lvl w:ilvl="0">
      <w:lvlJc w:val="left"/>
      <w:lvlText w:val="(%1)"/>
      <w:numFmt w:val="lowerLetter"/>
      <w:start w:val="1"/>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Letter"/>
      <w:start w:val="2"/>
    </w:lvl>
  </w:abstractNum>
  <w:abstractNum w:abstractNumId="61">
    <w:nsid w:val="68EB2F63"/>
    <w:multiLevelType w:val="hybridMultilevel"/>
    <w:lvl w:ilvl="0">
      <w:lvlJc w:val="left"/>
      <w:lvlText w:val="(%1)"/>
      <w:numFmt w:val="lowerLetter"/>
      <w:start w:val="1"/>
    </w:lvl>
  </w:abstractNum>
  <w:abstractNum w:abstractNumId="62">
    <w:nsid w:val="4962813B"/>
    <w:multiLevelType w:val="hybridMultilevel"/>
    <w:lvl w:ilvl="0">
      <w:lvlJc w:val="left"/>
      <w:lvlText w:val="(%1)"/>
      <w:numFmt w:val="lowerLetter"/>
      <w:start w:val="1"/>
    </w:lvl>
  </w:abstractNum>
  <w:abstractNum w:abstractNumId="63">
    <w:nsid w:val="60B6DF70"/>
    <w:multiLevelType w:val="hybridMultilevel"/>
    <w:lvl w:ilvl="0">
      <w:lvlJc w:val="left"/>
      <w:lvlText w:val="(%1)"/>
      <w:numFmt w:val="lowerLetter"/>
      <w:start w:val="3"/>
    </w:lvl>
  </w:abstractNum>
  <w:abstractNum w:abstractNumId="64">
    <w:nsid w:val="6A5EE64"/>
    <w:multiLevelType w:val="hybridMultilevel"/>
    <w:lvl w:ilvl="0">
      <w:lvlJc w:val="left"/>
      <w:lvlText w:val="(%1)"/>
      <w:numFmt w:val="lowerLetter"/>
      <w:start w:val="1"/>
    </w:lvl>
  </w:abstractNum>
  <w:abstractNum w:abstractNumId="65">
    <w:nsid w:val="14330624"/>
    <w:multiLevelType w:val="hybridMultilevel"/>
    <w:lvl w:ilvl="0">
      <w:lvlJc w:val="left"/>
      <w:lvlText w:val="(%1)"/>
      <w:numFmt w:val="lowerLetter"/>
      <w:start w:val="1"/>
    </w:lvl>
  </w:abstractNum>
  <w:abstractNum w:abstractNumId="66">
    <w:nsid w:val="7FFFCA11"/>
    <w:multiLevelType w:val="hybridMultilevel"/>
    <w:lvl w:ilvl="0">
      <w:lvlJc w:val="left"/>
      <w:lvlText w:val="(%1)"/>
      <w:numFmt w:val="lowerLetter"/>
      <w:start w:val="3"/>
    </w:lvl>
  </w:abstractNum>
  <w:abstractNum w:abstractNumId="67">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71EA110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9">
    <w:nsid w:val="100F59DC"/>
    <w:multiLevelType w:val="hybridMultilevel"/>
    <w:lvl w:ilvl="0">
      <w:lvlJc w:val="left"/>
      <w:lvlText w:val="(%1)"/>
      <w:numFmt w:val="lowerRoman"/>
      <w:start w:val="5"/>
    </w:lvl>
  </w:abstractNum>
  <w:abstractNum w:abstractNumId="70">
    <w:nsid w:val="7FB7E0AA"/>
    <w:multiLevelType w:val="hybridMultilevel"/>
    <w:lvl w:ilvl="0">
      <w:lvlJc w:val="left"/>
      <w:lvlText w:val="(%1)"/>
      <w:numFmt w:val="lowerRoman"/>
      <w:start w:val="7"/>
    </w:lvl>
  </w:abstractNum>
  <w:abstractNum w:abstractNumId="71">
    <w:nsid w:val="6EB5BD4"/>
    <w:multiLevelType w:val="hybridMultilevel"/>
    <w:lvl w:ilvl="0">
      <w:lvlJc w:val="left"/>
      <w:lvlText w:val="%1"/>
      <w:numFmt w:val="decimal"/>
      <w:start w:val="1"/>
    </w:lvl>
    <w:lvl w:ilvl="1">
      <w:lvlJc w:val="left"/>
      <w:lvlText w:val="(%2)"/>
      <w:numFmt w:val="lowerLetter"/>
      <w:start w:val="6"/>
    </w:lvl>
  </w:abstractNum>
  <w:abstractNum w:abstractNumId="72">
    <w:nsid w:val="6F6DD9AC"/>
    <w:multiLevelType w:val="hybridMultilevel"/>
    <w:lvl w:ilvl="0">
      <w:lvlJc w:val="left"/>
      <w:lvlText w:val="%1."/>
      <w:numFmt w:val="decimal"/>
      <w:start w:val="3"/>
    </w:lvl>
    <w:lvl w:ilvl="1">
      <w:lvlJc w:val="left"/>
      <w:lvlText w:val="%2"/>
      <w:numFmt w:val="lowerLetter"/>
      <w:start w:val="1"/>
    </w:lvl>
  </w:abstractNum>
  <w:abstractNum w:abstractNumId="73">
    <w:nsid w:val="94211F2"/>
    <w:multiLevelType w:val="hybridMultilevel"/>
    <w:lvl w:ilvl="0">
      <w:lvlJc w:val="left"/>
      <w:lvlText w:val="%1"/>
      <w:numFmt w:val="decimal"/>
      <w:start w:val="1"/>
    </w:lvl>
    <w:lvl w:ilvl="1">
      <w:lvlJc w:val="left"/>
      <w:lvlText w:val="(%2)"/>
      <w:numFmt w:val="lowerLetter"/>
      <w:start w:val="8"/>
    </w:lvl>
  </w:abstractNum>
  <w:abstractNum w:abstractNumId="74">
    <w:nsid w:val="885E1B"/>
    <w:multiLevelType w:val="hybridMultilevel"/>
    <w:lvl w:ilvl="0">
      <w:lvlJc w:val="left"/>
      <w:lvlText w:val="%1."/>
      <w:numFmt w:val="decimal"/>
      <w:start w:val="4"/>
    </w:lvl>
    <w:lvl w:ilvl="1">
      <w:lvlJc w:val="left"/>
      <w:lvlText w:val="(%2)"/>
      <w:numFmt w:val="lowerLetter"/>
      <w:start w:val="12"/>
    </w:lvl>
  </w:abstractNum>
  <w:abstractNum w:abstractNumId="75">
    <w:nsid w:val="76272110"/>
    <w:multiLevelType w:val="hybridMultilevel"/>
    <w:lvl w:ilvl="0">
      <w:lvlJc w:val="left"/>
      <w:lvlText w:val="%1"/>
      <w:numFmt w:val="decimal"/>
      <w:start w:val="1"/>
    </w:lvl>
    <w:lvl w:ilvl="1">
      <w:lvlJc w:val="left"/>
      <w:lvlText w:val="(%2)"/>
      <w:numFmt w:val="lowerLetter"/>
      <w:start w:val="15"/>
    </w:lvl>
  </w:abstractNum>
  <w:abstractNum w:abstractNumId="76">
    <w:nsid w:val="4C04A8AF"/>
    <w:multiLevelType w:val="hybridMultilevel"/>
    <w:lvl w:ilvl="0">
      <w:lvlJc w:val="left"/>
      <w:lvlText w:val="%1."/>
      <w:numFmt w:val="decimal"/>
      <w:start w:val="6"/>
    </w:lvl>
    <w:lvl w:ilvl="1">
      <w:lvlJc w:val="left"/>
      <w:lvlText w:val="(%2)"/>
      <w:numFmt w:val="lowerLetter"/>
      <w:start w:val="21"/>
    </w:lvl>
  </w:abstractNum>
  <w:abstractNum w:abstractNumId="77">
    <w:nsid w:val="1716703B"/>
    <w:multiLevelType w:val="hybridMultilevel"/>
    <w:lvl w:ilvl="0">
      <w:lvlJc w:val="left"/>
      <w:lvlText w:val="(%1)"/>
      <w:numFmt w:val="lowerLetter"/>
      <w:start w:val="22"/>
    </w:lvl>
    <w:lvl w:ilvl="1">
      <w:lvlJc w:val="left"/>
      <w:lvlText w:val="(%2)"/>
      <w:numFmt w:val="lowerRoman"/>
      <w:start w:val="1"/>
    </w:lvl>
  </w:abstractNum>
  <w:abstractNum w:abstractNumId="78">
    <w:nsid w:val="14E17E33"/>
    <w:multiLevelType w:val="hybridMultilevel"/>
    <w:lvl w:ilvl="0">
      <w:lvlJc w:val="left"/>
      <w:lvlText w:val="%1."/>
      <w:numFmt w:val="decimal"/>
      <w:start w:val="7"/>
    </w:lvl>
    <w:lvl w:ilvl="1">
      <w:lvlJc w:val="left"/>
      <w:lvlText w:val="(%2)"/>
      <w:numFmt w:val="lowerLetter"/>
      <w:start w:val="1"/>
    </w:lvl>
  </w:abstractNum>
  <w:abstractNum w:abstractNumId="79">
    <w:nsid w:val="3222E7CD"/>
    <w:multiLevelType w:val="hybridMultilevel"/>
    <w:lvl w:ilvl="0">
      <w:lvlJc w:val="left"/>
      <w:lvlText w:val="%1"/>
      <w:numFmt w:val="decimal"/>
      <w:start w:val="1"/>
    </w:lvl>
    <w:lvl w:ilvl="1">
      <w:lvlJc w:val="left"/>
      <w:lvlText w:val="(%2)"/>
      <w:numFmt w:val="lowerLetter"/>
      <w:start w:val="3"/>
    </w:lvl>
  </w:abstractNum>
  <w:abstractNum w:abstractNumId="80">
    <w:nsid w:val="74DE0EE3"/>
    <w:multiLevelType w:val="hybridMultilevel"/>
    <w:lvl w:ilvl="0">
      <w:lvlJc w:val="left"/>
      <w:lvlText w:val="%1."/>
      <w:numFmt w:val="decimal"/>
      <w:start w:val="8"/>
    </w:lvl>
    <w:lvl w:ilvl="1">
      <w:lvlJc w:val="left"/>
      <w:lvlText w:val="(%2)"/>
      <w:numFmt w:val="lowerLetter"/>
      <w:start w:val="1"/>
    </w:lvl>
  </w:abstractNum>
  <w:abstractNum w:abstractNumId="81">
    <w:nsid w:val="68EBC550"/>
    <w:multiLevelType w:val="hybridMultilevel"/>
    <w:lvl w:ilvl="0">
      <w:lvlJc w:val="left"/>
      <w:lvlText w:val="(%1)"/>
      <w:numFmt w:val="decimal"/>
      <w:start w:val="3"/>
    </w:lvl>
    <w:lvl w:ilvl="1">
      <w:lvlJc w:val="left"/>
      <w:lvlText w:val="%2."/>
      <w:numFmt w:val="decimal"/>
      <w:start w:val="9"/>
    </w:lvl>
    <w:lvl w:ilvl="2">
      <w:lvlJc w:val="left"/>
      <w:lvlText w:val="(%3)"/>
      <w:numFmt w:val="lowerLetter"/>
      <w:start w:val="7"/>
    </w:lvl>
  </w:abstractNum>
  <w:abstractNum w:abstractNumId="82">
    <w:nsid w:val="2DF6D64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3">
    <w:nsid w:val="46B7D4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84">
    <w:nsid w:val="4A2AC315"/>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9"/>
    </w:lvl>
  </w:abstractNum>
  <w:abstractNum w:abstractNumId="85">
    <w:nsid w:val="39EE015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0"/>
    </w:lvl>
  </w:abstractNum>
  <w:abstractNum w:abstractNumId="86">
    <w:nsid w:val="57FC4FBB"/>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4"/>
    </w:lvl>
  </w:abstractNum>
  <w:abstractNum w:abstractNumId="87">
    <w:nsid w:val="CC1016F"/>
    <w:multiLevelType w:val="hybridMultilevel"/>
    <w:lvl w:ilvl="0">
      <w:lvlJc w:val="left"/>
      <w:lvlText w:val="(%1)"/>
      <w:numFmt w:val="lowerLetter"/>
      <w:start w:val="9"/>
    </w:lvl>
    <w:lvl w:ilvl="1">
      <w:lvlJc w:val="left"/>
      <w:lvlText w:val="%2."/>
      <w:numFmt w:val="decimal"/>
      <w:start w:val="13"/>
    </w:lvl>
    <w:lvl w:ilvl="2">
      <w:lvlJc w:val="left"/>
      <w:lvlText w:val="(%3)"/>
      <w:numFmt w:val="lowerLetter"/>
      <w:start w:val="6"/>
    </w:lvl>
  </w:abstractNum>
  <w:abstractNum w:abstractNumId="88">
    <w:nsid w:val="43F18422"/>
    <w:multiLevelType w:val="hybridMultilevel"/>
    <w:lvl w:ilvl="0">
      <w:lvlJc w:val="left"/>
      <w:lvlText w:val="%1."/>
      <w:numFmt w:val="decimal"/>
      <w:start w:val="15"/>
    </w:lvl>
    <w:lvl w:ilvl="1">
      <w:lvlJc w:val="left"/>
      <w:lvlText w:val="(%2)"/>
      <w:numFmt w:val="lowerLetter"/>
      <w:start w:val="12"/>
    </w:lvl>
  </w:abstractNum>
  <w:abstractNum w:abstractNumId="89">
    <w:nsid w:val="60EF0119"/>
    <w:multiLevelType w:val="hybridMultilevel"/>
    <w:lvl w:ilvl="0">
      <w:lvlJc w:val="left"/>
      <w:lvlText w:val="%1"/>
      <w:numFmt w:val="decimal"/>
      <w:start w:val="1"/>
    </w:lvl>
    <w:lvl w:ilvl="1">
      <w:lvlJc w:val="left"/>
      <w:lvlText w:val="(%2)"/>
      <w:numFmt w:val="lowerLetter"/>
      <w:start w:val="1"/>
    </w:lvl>
  </w:abstractNum>
  <w:abstractNum w:abstractNumId="90">
    <w:nsid w:val="26F324BA"/>
    <w:multiLevelType w:val="hybridMultilevel"/>
    <w:lvl w:ilvl="0">
      <w:lvlJc w:val="left"/>
      <w:lvlText w:val="(%1)"/>
      <w:numFmt w:val="lowerLetter"/>
      <w:start w:val="5"/>
    </w:lvl>
    <w:lvl w:ilvl="1">
      <w:lvlJc w:val="left"/>
      <w:lvlText w:val="(%2)"/>
      <w:numFmt w:val="lowerRoman"/>
      <w:start w:val="1"/>
    </w:lvl>
  </w:abstractNum>
  <w:abstractNum w:abstractNumId="91">
    <w:nsid w:val="7F01579B"/>
    <w:multiLevelType w:val="hybridMultilevel"/>
    <w:lvl w:ilvl="0">
      <w:lvlJc w:val="left"/>
      <w:lvlText w:val="(%1)"/>
      <w:numFmt w:val="lowerLetter"/>
      <w:start w:val="18"/>
    </w:lvl>
  </w:abstractNum>
  <w:abstractNum w:abstractNumId="92">
    <w:nsid w:val="49DA307D"/>
    <w:multiLevelType w:val="hybridMultilevel"/>
    <w:lvl w:ilvl="0">
      <w:lvlJc w:val="left"/>
      <w:lvlText w:val="(%1)"/>
      <w:numFmt w:val="lowerLetter"/>
      <w:start w:val="20"/>
    </w:lvl>
  </w:abstractNum>
  <w:abstractNum w:abstractNumId="93">
    <w:nsid w:val="7055A5F5"/>
    <w:multiLevelType w:val="hybridMultilevel"/>
    <w:lvl w:ilvl="0">
      <w:lvlJc w:val="left"/>
      <w:lvlText w:val="(%1)"/>
      <w:numFmt w:val="lowerLetter"/>
      <w:start w:val="27"/>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bullet"/>
      <w:start w:val="1"/>
    </w:lvl>
  </w:abstractNum>
  <w:abstractNum w:abstractNumId="97">
    <w:nsid w:val="5FB8011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2022-08-04T07:13:29Z</dcterms:created>
  <dcterms:modified xsi:type="dcterms:W3CDTF">2022-08-04T07:13:29Z</dcterms:modified>
</cp:coreProperties>
</file>