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
        <w:spacing w:after="0"/>
        <w:rPr>
          <w:sz w:val="20"/>
          <w:szCs w:val="20"/>
          <w:color w:val="auto"/>
        </w:rPr>
      </w:pPr>
      <w:r>
        <w:rPr>
          <w:rFonts w:ascii="Arial" w:cs="Arial" w:eastAsia="Arial" w:hAnsi="Arial"/>
          <w:sz w:val="14"/>
          <w:szCs w:val="14"/>
          <w:b w:val="1"/>
          <w:bCs w:val="1"/>
          <w:color w:val="auto"/>
        </w:rPr>
        <w:t>UNITED STATES</w:t>
      </w:r>
    </w:p>
    <w:p>
      <w:pPr>
        <w:spacing w:after="0" w:line="24" w:lineRule="exact"/>
        <w:rPr>
          <w:sz w:val="24"/>
          <w:szCs w:val="24"/>
          <w:color w:val="auto"/>
        </w:rPr>
      </w:pPr>
    </w:p>
    <w:p>
      <w:pPr>
        <w:jc w:val="center"/>
        <w:ind w:right="-67"/>
        <w:spacing w:after="0"/>
        <w:rPr>
          <w:sz w:val="20"/>
          <w:szCs w:val="20"/>
          <w:color w:val="auto"/>
        </w:rPr>
      </w:pPr>
      <w:r>
        <w:rPr>
          <w:rFonts w:ascii="Arial" w:cs="Arial" w:eastAsia="Arial" w:hAnsi="Arial"/>
          <w:sz w:val="14"/>
          <w:szCs w:val="14"/>
          <w:b w:val="1"/>
          <w:bCs w:val="1"/>
          <w:color w:val="auto"/>
        </w:rPr>
        <w:t>SECURITIES AND EXCHANGE COMMISSION</w:t>
      </w:r>
    </w:p>
    <w:p>
      <w:pPr>
        <w:spacing w:after="0" w:line="10" w:lineRule="exact"/>
        <w:rPr>
          <w:sz w:val="24"/>
          <w:szCs w:val="24"/>
          <w:color w:val="auto"/>
        </w:rPr>
      </w:pPr>
    </w:p>
    <w:p>
      <w:pPr>
        <w:jc w:val="center"/>
        <w:ind w:right="-67"/>
        <w:spacing w:after="0"/>
        <w:rPr>
          <w:sz w:val="20"/>
          <w:szCs w:val="20"/>
          <w:color w:val="auto"/>
        </w:rPr>
      </w:pPr>
      <w:r>
        <w:rPr>
          <w:rFonts w:ascii="Arial" w:cs="Arial" w:eastAsia="Arial" w:hAnsi="Arial"/>
          <w:sz w:val="14"/>
          <w:szCs w:val="14"/>
          <w:b w:val="1"/>
          <w:bCs w:val="1"/>
          <w:color w:val="auto"/>
        </w:rPr>
        <w:t>WASHINGTON, D.C. 20549</w:t>
      </w:r>
    </w:p>
    <w:p>
      <w:pPr>
        <w:spacing w:after="0" w:line="181" w:lineRule="exact"/>
        <w:rPr>
          <w:sz w:val="24"/>
          <w:szCs w:val="24"/>
          <w:color w:val="auto"/>
        </w:rPr>
      </w:pPr>
    </w:p>
    <w:p>
      <w:pPr>
        <w:jc w:val="center"/>
        <w:ind w:right="-67"/>
        <w:spacing w:after="0"/>
        <w:rPr>
          <w:sz w:val="20"/>
          <w:szCs w:val="20"/>
          <w:color w:val="auto"/>
        </w:rPr>
      </w:pPr>
      <w:r>
        <w:rPr>
          <w:rFonts w:ascii="Arial" w:cs="Arial" w:eastAsia="Arial" w:hAnsi="Arial"/>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2800350</wp:posOffset>
            </wp:positionH>
            <wp:positionV relativeFrom="paragraph">
              <wp:posOffset>12700</wp:posOffset>
            </wp:positionV>
            <wp:extent cx="15830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3055" cy="5715"/>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-180975</wp:posOffset>
            </wp:positionV>
            <wp:extent cx="15830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3055" cy="5715"/>
                    </a:xfrm>
                    <a:prstGeom prst="rect">
                      <a:avLst/>
                    </a:prstGeom>
                    <a:noFill/>
                  </pic:spPr>
                </pic:pic>
              </a:graphicData>
            </a:graphic>
          </wp:anchor>
        </w:drawing>
      </w:r>
    </w:p>
    <w:p>
      <w:pPr>
        <w:spacing w:after="0" w:line="210" w:lineRule="exact"/>
        <w:rPr>
          <w:sz w:val="24"/>
          <w:szCs w:val="24"/>
          <w:color w:val="auto"/>
        </w:rPr>
      </w:pPr>
    </w:p>
    <w:p>
      <w:pPr>
        <w:jc w:val="center"/>
        <w:ind w:right="-67"/>
        <w:spacing w:after="0"/>
        <w:rPr>
          <w:sz w:val="20"/>
          <w:szCs w:val="20"/>
          <w:color w:val="auto"/>
        </w:rPr>
      </w:pPr>
      <w:r>
        <w:rPr>
          <w:rFonts w:ascii="Arial" w:cs="Arial" w:eastAsia="Arial" w:hAnsi="Arial"/>
          <w:sz w:val="13"/>
          <w:szCs w:val="13"/>
          <w:color w:val="auto"/>
        </w:rPr>
        <w:t>CURRENT REPORT</w:t>
      </w:r>
    </w:p>
    <w:p>
      <w:pPr>
        <w:spacing w:after="0" w:line="24" w:lineRule="exact"/>
        <w:rPr>
          <w:sz w:val="24"/>
          <w:szCs w:val="24"/>
          <w:color w:val="auto"/>
        </w:rPr>
      </w:pPr>
    </w:p>
    <w:p>
      <w:pPr>
        <w:jc w:val="center"/>
        <w:ind w:right="-67"/>
        <w:spacing w:after="0"/>
        <w:rPr>
          <w:sz w:val="20"/>
          <w:szCs w:val="20"/>
          <w:color w:val="auto"/>
        </w:rPr>
      </w:pPr>
      <w:r>
        <w:rPr>
          <w:rFonts w:ascii="Arial" w:cs="Arial" w:eastAsia="Arial" w:hAnsi="Arial"/>
          <w:sz w:val="13"/>
          <w:szCs w:val="13"/>
          <w:color w:val="auto"/>
        </w:rPr>
        <w:t>PURSUANT TO SECTION 13 OR 15(d) OF THE SECURITIES EXCHANGE ACT OF 1934</w:t>
      </w:r>
    </w:p>
    <w:p>
      <w:pPr>
        <w:spacing w:after="0" w:line="154" w:lineRule="exact"/>
        <w:rPr>
          <w:sz w:val="24"/>
          <w:szCs w:val="24"/>
          <w:color w:val="auto"/>
        </w:rPr>
      </w:pPr>
    </w:p>
    <w:p>
      <w:pPr>
        <w:jc w:val="center"/>
        <w:ind w:right="-67"/>
        <w:spacing w:after="0"/>
        <w:rPr>
          <w:sz w:val="20"/>
          <w:szCs w:val="20"/>
          <w:color w:val="auto"/>
        </w:rPr>
      </w:pPr>
      <w:r>
        <w:rPr>
          <w:rFonts w:ascii="Arial" w:cs="Arial" w:eastAsia="Arial" w:hAnsi="Arial"/>
          <w:sz w:val="13"/>
          <w:szCs w:val="13"/>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120015</wp:posOffset>
            </wp:positionV>
            <wp:extent cx="1520190" cy="434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0190" cy="434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67"/>
        <w:spacing w:after="0"/>
        <w:rPr>
          <w:sz w:val="20"/>
          <w:szCs w:val="20"/>
          <w:color w:val="auto"/>
        </w:rPr>
      </w:pPr>
      <w:r>
        <w:rPr>
          <w:rFonts w:ascii="Arial" w:cs="Arial" w:eastAsia="Arial" w:hAnsi="Arial"/>
          <w:sz w:val="17"/>
          <w:szCs w:val="17"/>
          <w:b w:val="1"/>
          <w:bCs w:val="1"/>
          <w:color w:val="auto"/>
        </w:rPr>
        <w:t>PORTILLO'S INC.</w:t>
      </w:r>
    </w:p>
    <w:p>
      <w:pPr>
        <w:spacing w:after="0" w:line="21" w:lineRule="exact"/>
        <w:rPr>
          <w:sz w:val="24"/>
          <w:szCs w:val="24"/>
          <w:color w:val="auto"/>
        </w:rPr>
      </w:pPr>
    </w:p>
    <w:p>
      <w:pPr>
        <w:jc w:val="center"/>
        <w:ind w:right="-67"/>
        <w:spacing w:after="0"/>
        <w:rPr>
          <w:sz w:val="20"/>
          <w:szCs w:val="20"/>
          <w:color w:val="auto"/>
        </w:rPr>
      </w:pPr>
      <w:r>
        <w:rPr>
          <w:rFonts w:ascii="Arial" w:cs="Arial" w:eastAsia="Arial" w:hAnsi="Arial"/>
          <w:sz w:val="10"/>
          <w:szCs w:val="10"/>
          <w:color w:val="auto"/>
        </w:rPr>
        <w:t>(Exact name of registrant as specified in its charter)</w:t>
      </w:r>
    </w:p>
    <w:p>
      <w:pPr>
        <w:sectPr>
          <w:pgSz w:w="11900" w:h="16838" w:orient="portrait"/>
          <w:cols w:equalWidth="0" w:num="1">
            <w:col w:w="11248"/>
          </w:cols>
          <w:pgMar w:left="292" w:top="1066" w:right="359" w:bottom="1440" w:gutter="0" w:footer="0" w:header="0"/>
        </w:sectPr>
      </w:pPr>
    </w:p>
    <w:p>
      <w:pPr>
        <w:spacing w:after="0" w:line="12" w:lineRule="exact"/>
        <w:rPr>
          <w:sz w:val="24"/>
          <w:szCs w:val="24"/>
          <w:color w:val="auto"/>
        </w:rPr>
      </w:pPr>
    </w:p>
    <w:p>
      <w:pPr>
        <w:ind w:left="2088"/>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2"/>
          <w:szCs w:val="12"/>
          <w:b w:val="1"/>
          <w:bCs w:val="1"/>
          <w:color w:val="auto"/>
        </w:rPr>
        <w:t>001-40951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87-1104304</w:t>
      </w:r>
    </w:p>
    <w:p>
      <w:pPr>
        <w:spacing w:after="0" w:line="40" w:lineRule="exact"/>
        <w:rPr>
          <w:sz w:val="24"/>
          <w:szCs w:val="24"/>
          <w:color w:val="auto"/>
        </w:rPr>
      </w:pPr>
    </w:p>
    <w:p>
      <w:pPr>
        <w:sectPr>
          <w:pgSz w:w="11900" w:h="16838" w:orient="portrait"/>
          <w:cols w:equalWidth="0" w:num="3">
            <w:col w:w="4748" w:space="720"/>
            <w:col w:w="2580" w:space="720"/>
            <w:col w:w="2480"/>
          </w:cols>
          <w:pgMar w:left="292" w:top="1066" w:right="359" w:bottom="1440" w:gutter="0" w:footer="0" w:header="0"/>
          <w:type w:val="continuous"/>
        </w:sectPr>
      </w:pPr>
    </w:p>
    <w:p>
      <w:pPr>
        <w:ind w:left="1108"/>
        <w:spacing w:after="0"/>
        <w:rPr>
          <w:sz w:val="20"/>
          <w:szCs w:val="20"/>
          <w:color w:val="auto"/>
        </w:rPr>
      </w:pPr>
      <w:r>
        <w:rPr>
          <w:rFonts w:ascii="Arial" w:cs="Arial" w:eastAsia="Arial" w:hAnsi="Arial"/>
          <w:sz w:val="8"/>
          <w:szCs w:val="8"/>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(I.R.S. Employer Identification No.)</w:t>
      </w:r>
    </w:p>
    <w:p>
      <w:pPr>
        <w:spacing w:after="0" w:line="93" w:lineRule="exact"/>
        <w:rPr>
          <w:sz w:val="24"/>
          <w:szCs w:val="24"/>
          <w:color w:val="auto"/>
        </w:rPr>
      </w:pPr>
    </w:p>
    <w:p>
      <w:pPr>
        <w:sectPr>
          <w:pgSz w:w="11900" w:h="16838" w:orient="portrait"/>
          <w:cols w:equalWidth="0" w:num="3">
            <w:col w:w="4468" w:space="720"/>
            <w:col w:w="2420" w:space="720"/>
            <w:col w:w="2920"/>
          </w:cols>
          <w:pgMar w:left="292" w:top="1066" w:right="359" w:bottom="1440" w:gutter="0" w:footer="0" w:header="0"/>
          <w:type w:val="continuous"/>
        </w:sectPr>
      </w:pPr>
    </w:p>
    <w:p>
      <w:pPr>
        <w:jc w:val="center"/>
        <w:ind w:right="-67"/>
        <w:spacing w:after="0"/>
        <w:rPr>
          <w:sz w:val="20"/>
          <w:szCs w:val="20"/>
          <w:color w:val="auto"/>
        </w:rPr>
      </w:pPr>
      <w:r>
        <w:rPr>
          <w:rFonts w:ascii="Arial" w:cs="Arial" w:eastAsia="Arial" w:hAnsi="Arial"/>
          <w:sz w:val="11"/>
          <w:szCs w:val="11"/>
          <w:b w:val="1"/>
          <w:bCs w:val="1"/>
          <w:color w:val="auto"/>
        </w:rPr>
        <w:t>2001 Spring Road, Suite 400, Oak Brook, Illinois 60523</w:t>
      </w:r>
    </w:p>
    <w:p>
      <w:pPr>
        <w:spacing w:after="0" w:line="36" w:lineRule="exact"/>
        <w:rPr>
          <w:sz w:val="24"/>
          <w:szCs w:val="24"/>
          <w:color w:val="auto"/>
        </w:rPr>
      </w:pPr>
    </w:p>
    <w:p>
      <w:pPr>
        <w:jc w:val="center"/>
        <w:ind w:right="-67"/>
        <w:spacing w:after="0"/>
        <w:rPr>
          <w:sz w:val="20"/>
          <w:szCs w:val="20"/>
          <w:color w:val="auto"/>
        </w:rPr>
      </w:pPr>
      <w:r>
        <w:rPr>
          <w:rFonts w:ascii="Arial" w:cs="Arial" w:eastAsia="Arial" w:hAnsi="Arial"/>
          <w:sz w:val="10"/>
          <w:szCs w:val="10"/>
          <w:color w:val="auto"/>
        </w:rPr>
        <w:t>(Address of principal executive offices)</w:t>
      </w:r>
    </w:p>
    <w:p>
      <w:pPr>
        <w:spacing w:after="0" w:line="70" w:lineRule="exact"/>
        <w:rPr>
          <w:sz w:val="24"/>
          <w:szCs w:val="24"/>
          <w:color w:val="auto"/>
        </w:rPr>
      </w:pPr>
    </w:p>
    <w:p>
      <w:pPr>
        <w:jc w:val="center"/>
        <w:ind w:right="-67"/>
        <w:spacing w:after="0"/>
        <w:rPr>
          <w:sz w:val="20"/>
          <w:szCs w:val="20"/>
          <w:color w:val="auto"/>
        </w:rPr>
      </w:pPr>
      <w:r>
        <w:rPr>
          <w:rFonts w:ascii="Arial" w:cs="Arial" w:eastAsia="Arial" w:hAnsi="Arial"/>
          <w:sz w:val="14"/>
          <w:szCs w:val="14"/>
          <w:b w:val="1"/>
          <w:bCs w:val="1"/>
          <w:color w:val="auto"/>
        </w:rPr>
        <w:t>(630)-954-3773</w:t>
      </w:r>
    </w:p>
    <w:p>
      <w:pPr>
        <w:spacing w:after="0" w:line="23" w:lineRule="exact"/>
        <w:rPr>
          <w:sz w:val="24"/>
          <w:szCs w:val="24"/>
          <w:color w:val="auto"/>
        </w:rPr>
      </w:pPr>
    </w:p>
    <w:p>
      <w:pPr>
        <w:jc w:val="center"/>
        <w:ind w:right="-67"/>
        <w:spacing w:after="0"/>
        <w:rPr>
          <w:sz w:val="20"/>
          <w:szCs w:val="20"/>
          <w:color w:val="auto"/>
        </w:rPr>
      </w:pPr>
      <w:r>
        <w:rPr>
          <w:rFonts w:ascii="Arial" w:cs="Arial" w:eastAsia="Arial" w:hAnsi="Arial"/>
          <w:sz w:val="10"/>
          <w:szCs w:val="10"/>
          <w:color w:val="auto"/>
        </w:rPr>
        <w:t>(Registrant’s telephone number, including area code)</w:t>
      </w:r>
    </w:p>
    <w:p>
      <w:pPr>
        <w:spacing w:after="0" w:line="4" w:lineRule="exact"/>
        <w:rPr>
          <w:sz w:val="24"/>
          <w:szCs w:val="24"/>
          <w:color w:val="auto"/>
        </w:rPr>
      </w:pPr>
    </w:p>
    <w:p>
      <w:pPr>
        <w:jc w:val="center"/>
        <w:ind w:right="-67"/>
        <w:spacing w:after="0"/>
        <w:rPr>
          <w:sz w:val="20"/>
          <w:szCs w:val="20"/>
          <w:color w:val="auto"/>
        </w:rPr>
      </w:pPr>
      <w:r>
        <w:rPr>
          <w:rFonts w:ascii="Arial" w:cs="Arial" w:eastAsia="Arial" w:hAnsi="Arial"/>
          <w:sz w:val="12"/>
          <w:szCs w:val="12"/>
          <w:b w:val="1"/>
          <w:bCs w:val="1"/>
          <w:color w:val="auto"/>
        </w:rPr>
        <w:t>N/A</w:t>
      </w:r>
    </w:p>
    <w:p>
      <w:pPr>
        <w:spacing w:after="0" w:line="27" w:lineRule="exact"/>
        <w:rPr>
          <w:sz w:val="24"/>
          <w:szCs w:val="24"/>
          <w:color w:val="auto"/>
        </w:rPr>
      </w:pPr>
    </w:p>
    <w:p>
      <w:pPr>
        <w:jc w:val="center"/>
        <w:ind w:right="-67"/>
        <w:spacing w:after="0"/>
        <w:rPr>
          <w:sz w:val="20"/>
          <w:szCs w:val="20"/>
          <w:color w:val="auto"/>
        </w:rPr>
      </w:pPr>
      <w:r>
        <w:rPr>
          <w:rFonts w:ascii="Arial" w:cs="Arial" w:eastAsia="Arial" w:hAnsi="Arial"/>
          <w:sz w:val="10"/>
          <w:szCs w:val="10"/>
          <w:color w:val="auto"/>
        </w:rPr>
        <w:t>(Former name or former address, if changed since last report)</w:t>
      </w:r>
    </w:p>
    <w:p>
      <w:pPr>
        <w:sectPr>
          <w:pgSz w:w="11900" w:h="16838" w:orient="portrait"/>
          <w:cols w:equalWidth="0" w:num="1">
            <w:col w:w="11248"/>
          </w:cols>
          <w:pgMar w:left="292" w:top="1066" w:right="359" w:bottom="1440" w:gutter="0" w:footer="0" w:header="0"/>
          <w:type w:val="continuous"/>
        </w:sectPr>
      </w:pPr>
    </w:p>
    <w:p>
      <w:pPr>
        <w:spacing w:after="0" w:line="228" w:lineRule="exact"/>
        <w:rPr>
          <w:sz w:val="24"/>
          <w:szCs w:val="24"/>
          <w:color w:val="auto"/>
        </w:rPr>
      </w:pPr>
    </w:p>
    <w:p>
      <w:pPr>
        <w:ind w:left="8"/>
        <w:spacing w:after="0"/>
        <w:rPr>
          <w:sz w:val="20"/>
          <w:szCs w:val="20"/>
          <w:color w:val="auto"/>
        </w:rPr>
      </w:pPr>
      <w:r>
        <w:rPr>
          <w:rFonts w:ascii="Arial" w:cs="Arial" w:eastAsia="Arial" w:hAnsi="Arial"/>
          <w:sz w:val="10"/>
          <w:szCs w:val="10"/>
          <w:color w:val="auto"/>
        </w:rPr>
        <w:t>Check the appropriate box below if the Form 8-K filing is intended to simultaneously satisfy the filing obligation of the registrant under any of the following provisions (</w:t>
      </w:r>
      <w:r>
        <w:rPr>
          <w:rFonts w:ascii="Arial" w:cs="Arial" w:eastAsia="Arial" w:hAnsi="Arial"/>
          <w:sz w:val="10"/>
          <w:szCs w:val="10"/>
          <w:u w:val="single" w:color="auto"/>
          <w:color w:val="auto"/>
        </w:rPr>
        <w:t>see</w:t>
      </w:r>
      <w:r>
        <w:rPr>
          <w:rFonts w:ascii="Arial" w:cs="Arial" w:eastAsia="Arial" w:hAnsi="Arial"/>
          <w:sz w:val="10"/>
          <w:szCs w:val="10"/>
          <w:color w:val="auto"/>
        </w:rPr>
        <w:t xml:space="preserve"> General Instruction A.2. below):</w:t>
      </w:r>
    </w:p>
    <w:p>
      <w:pPr>
        <w:spacing w:after="0" w:line="182" w:lineRule="exact"/>
        <w:rPr>
          <w:sz w:val="24"/>
          <w:szCs w:val="24"/>
          <w:color w:val="auto"/>
        </w:rPr>
      </w:pPr>
    </w:p>
    <w:p>
      <w:pPr>
        <w:ind w:left="128" w:hanging="128"/>
        <w:spacing w:after="0"/>
        <w:tabs>
          <w:tab w:leader="none" w:pos="12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161" w:lineRule="exact"/>
        <w:rPr>
          <w:rFonts w:ascii="MS PGothic" w:cs="MS PGothic" w:eastAsia="MS PGothic" w:hAnsi="MS PGothic"/>
          <w:sz w:val="11"/>
          <w:szCs w:val="11"/>
          <w:color w:val="auto"/>
        </w:rPr>
      </w:pPr>
    </w:p>
    <w:p>
      <w:pPr>
        <w:ind w:left="128" w:hanging="128"/>
        <w:spacing w:after="0"/>
        <w:tabs>
          <w:tab w:leader="none" w:pos="12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61" w:lineRule="exact"/>
        <w:rPr>
          <w:rFonts w:ascii="MS PGothic" w:cs="MS PGothic" w:eastAsia="MS PGothic" w:hAnsi="MS PGothic"/>
          <w:sz w:val="11"/>
          <w:szCs w:val="11"/>
          <w:color w:val="auto"/>
        </w:rPr>
      </w:pPr>
    </w:p>
    <w:p>
      <w:pPr>
        <w:ind w:left="128" w:hanging="128"/>
        <w:spacing w:after="0"/>
        <w:tabs>
          <w:tab w:leader="none" w:pos="12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51" w:lineRule="exact"/>
        <w:rPr>
          <w:rFonts w:ascii="MS PGothic" w:cs="MS PGothic" w:eastAsia="MS PGothic" w:hAnsi="MS PGothic"/>
          <w:sz w:val="11"/>
          <w:szCs w:val="11"/>
          <w:color w:val="auto"/>
        </w:rPr>
      </w:pPr>
    </w:p>
    <w:p>
      <w:pPr>
        <w:ind w:left="128" w:hanging="128"/>
        <w:spacing w:after="0"/>
        <w:tabs>
          <w:tab w:leader="none" w:pos="128"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280" w:lineRule="exact"/>
        <w:rPr>
          <w:sz w:val="24"/>
          <w:szCs w:val="24"/>
          <w:color w:val="auto"/>
        </w:rPr>
      </w:pPr>
    </w:p>
    <w:p>
      <w:pPr>
        <w:ind w:left="8"/>
        <w:spacing w:after="0"/>
        <w:rPr>
          <w:sz w:val="20"/>
          <w:szCs w:val="20"/>
          <w:color w:val="auto"/>
        </w:rPr>
      </w:pPr>
      <w:r>
        <w:rPr>
          <w:rFonts w:ascii="Arial" w:cs="Arial" w:eastAsia="Arial" w:hAnsi="Arial"/>
          <w:sz w:val="11"/>
          <w:szCs w:val="11"/>
          <w:color w:val="auto"/>
        </w:rPr>
        <w:t>Securities registered pursuant to Section 12(b) of the Act:</w:t>
      </w:r>
    </w:p>
    <w:p>
      <w:pPr>
        <w:sectPr>
          <w:pgSz w:w="11900" w:h="16838" w:orient="portrait"/>
          <w:cols w:equalWidth="0" w:num="1">
            <w:col w:w="11248"/>
          </w:cols>
          <w:pgMar w:left="292" w:top="1066" w:right="359" w:bottom="1440" w:gutter="0" w:footer="0" w:header="0"/>
          <w:type w:val="continuous"/>
        </w:sectPr>
      </w:pPr>
    </w:p>
    <w:p>
      <w:pPr>
        <w:spacing w:after="0" w:line="27" w:lineRule="exact"/>
        <w:rPr>
          <w:sz w:val="24"/>
          <w:szCs w:val="24"/>
          <w:color w:val="auto"/>
        </w:rPr>
      </w:pPr>
    </w:p>
    <w:p>
      <w:pPr>
        <w:ind w:left="2128"/>
        <w:spacing w:after="0"/>
        <w:rPr>
          <w:sz w:val="20"/>
          <w:szCs w:val="20"/>
          <w:color w:val="auto"/>
        </w:rPr>
      </w:pPr>
      <w:r>
        <w:rPr>
          <w:rFonts w:ascii="Arial" w:cs="Arial" w:eastAsia="Arial" w:hAnsi="Arial"/>
          <w:sz w:val="10"/>
          <w:szCs w:val="10"/>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Trading Symbol</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Name of each exchange on which registered</w:t>
      </w:r>
    </w:p>
    <w:p>
      <w:pPr>
        <w:spacing w:after="0" w:line="38" w:lineRule="exact"/>
        <w:rPr>
          <w:sz w:val="24"/>
          <w:szCs w:val="24"/>
          <w:color w:val="auto"/>
        </w:rPr>
      </w:pPr>
    </w:p>
    <w:p>
      <w:pPr>
        <w:sectPr>
          <w:pgSz w:w="11900" w:h="16838" w:orient="portrait"/>
          <w:cols w:equalWidth="0" w:num="3">
            <w:col w:w="4808" w:space="720"/>
            <w:col w:w="1600" w:space="720"/>
            <w:col w:w="3400"/>
          </w:cols>
          <w:pgMar w:left="292" w:top="1066" w:right="359" w:bottom="1440" w:gutter="0" w:footer="0" w:header="0"/>
          <w:type w:val="continuous"/>
        </w:sectPr>
      </w:pPr>
    </w:p>
    <w:p>
      <w:pPr>
        <w:ind w:left="1388"/>
        <w:spacing w:after="0"/>
        <w:rPr>
          <w:sz w:val="20"/>
          <w:szCs w:val="20"/>
          <w:color w:val="auto"/>
        </w:rPr>
      </w:pPr>
      <w:r>
        <w:rPr>
          <w:rFonts w:ascii="Arial" w:cs="Arial" w:eastAsia="Arial" w:hAnsi="Arial"/>
          <w:sz w:val="10"/>
          <w:szCs w:val="10"/>
          <w:color w:val="auto"/>
        </w:rPr>
        <w:t>Class A 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PTLO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Nasdaq Global Select Market</w:t>
      </w:r>
    </w:p>
    <w:p>
      <w:pPr>
        <w:spacing w:after="0" w:line="200" w:lineRule="exact"/>
        <w:rPr>
          <w:sz w:val="24"/>
          <w:szCs w:val="24"/>
          <w:color w:val="auto"/>
        </w:rPr>
      </w:pPr>
    </w:p>
    <w:p>
      <w:pPr>
        <w:sectPr>
          <w:pgSz w:w="11900" w:h="16838" w:orient="portrait"/>
          <w:cols w:equalWidth="0" w:num="3">
            <w:col w:w="5068" w:space="720"/>
            <w:col w:w="1780" w:space="720"/>
            <w:col w:w="2960"/>
          </w:cols>
          <w:pgMar w:left="292" w:top="1066" w:right="359" w:bottom="1440" w:gutter="0" w:footer="0" w:header="0"/>
          <w:type w:val="continuous"/>
        </w:sectPr>
      </w:pPr>
    </w:p>
    <w:p>
      <w:pPr>
        <w:spacing w:after="0" w:line="54" w:lineRule="exact"/>
        <w:rPr>
          <w:sz w:val="24"/>
          <w:szCs w:val="24"/>
          <w:color w:val="auto"/>
        </w:rPr>
      </w:pPr>
    </w:p>
    <w:p>
      <w:pPr>
        <w:ind w:left="8" w:right="260"/>
        <w:spacing w:after="0" w:line="254" w:lineRule="auto"/>
        <w:rPr>
          <w:sz w:val="20"/>
          <w:szCs w:val="20"/>
          <w:color w:val="auto"/>
        </w:rPr>
      </w:pPr>
      <w:r>
        <w:rPr>
          <w:rFonts w:ascii="Arial" w:cs="Arial" w:eastAsia="Arial" w:hAnsi="Arial"/>
          <w:sz w:val="11"/>
          <w:szCs w:val="1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 w:lineRule="exact"/>
        <w:rPr>
          <w:sz w:val="24"/>
          <w:szCs w:val="24"/>
          <w:color w:val="auto"/>
        </w:rPr>
      </w:pPr>
    </w:p>
    <w:p>
      <w:pPr>
        <w:ind w:left="8"/>
        <w:spacing w:after="0" w:line="141"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568325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066"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414042"/>
        </w:rPr>
        <w:t>Item 2.02 Results of Operations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On May 5, 2026, Portillo’s Inc. (NASDAQ: PTLO) issued a press release reporting results for the first quarter ended March 29, 2026. A copy of the earnings press release is attached hereto as Exhibit 99.1.</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414042"/>
        </w:rPr>
        <w:t>Item 5.02. Departure of Directors or Certain Officers; Election of Directors; Appointment of Certain Officers; Compensatory Arrangements of Certain Officers.</w:t>
      </w:r>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414042"/>
        </w:rPr>
        <w:t>Departure of Michelle Hook as Chief Financial Officer</w:t>
      </w:r>
    </w:p>
    <w:p>
      <w:pPr>
        <w:spacing w:after="0" w:line="157" w:lineRule="exact"/>
        <w:rPr>
          <w:sz w:val="20"/>
          <w:szCs w:val="20"/>
          <w:color w:val="auto"/>
        </w:rPr>
      </w:pPr>
    </w:p>
    <w:p>
      <w:pPr>
        <w:spacing w:after="0" w:line="270" w:lineRule="auto"/>
        <w:rPr>
          <w:sz w:val="20"/>
          <w:szCs w:val="20"/>
          <w:color w:val="auto"/>
        </w:rPr>
      </w:pPr>
      <w:r>
        <w:rPr>
          <w:rFonts w:ascii="Arial" w:cs="Arial" w:eastAsia="Arial" w:hAnsi="Arial"/>
          <w:sz w:val="12"/>
          <w:szCs w:val="12"/>
          <w:color w:val="auto"/>
        </w:rPr>
        <w:t>On April 30, 2026, Michelle Hook informed the Chief Executive Officer and General Counsel and Secretary of Portillo’s Inc. (the “Company”) that she will depart from her role as Chief Financial Officer of the Company, effective May 5, 2026.</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The Board has initiated a process to identify her successor and has engaged a leading global executive search firm to assist in the search process.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414042"/>
        </w:rPr>
        <w:t>Item 7.01 Regulation FD Disclosure.</w:t>
      </w:r>
    </w:p>
    <w:p>
      <w:pPr>
        <w:spacing w:after="0" w:line="159" w:lineRule="exact"/>
        <w:rPr>
          <w:sz w:val="20"/>
          <w:szCs w:val="20"/>
          <w:color w:val="auto"/>
        </w:rPr>
      </w:pPr>
    </w:p>
    <w:p>
      <w:pPr>
        <w:ind w:right="120"/>
        <w:spacing w:after="0" w:line="246" w:lineRule="auto"/>
        <w:rPr>
          <w:sz w:val="20"/>
          <w:szCs w:val="20"/>
          <w:color w:val="auto"/>
        </w:rPr>
      </w:pPr>
      <w:r>
        <w:rPr>
          <w:rFonts w:ascii="Arial" w:cs="Arial" w:eastAsia="Arial" w:hAnsi="Arial"/>
          <w:sz w:val="12"/>
          <w:szCs w:val="12"/>
          <w:color w:val="auto"/>
        </w:rPr>
        <w:t>The Company has also posted a supplemental earnings presentation to its website, which is attached hereto as Exhibit 99.2 and incorporated herein by reference. The information furnished in this Current Report on Form 8-K, including Exhibit 99.1 and Exhibit 99.2, shall not be deemed to be “filed” for the purposes of Section 18 of the Securities Exchange Act of 1934, as amended, or otherwise subject to the liabilities of that section, and shall not be deemed to be incorporated by reference into any filing pursuant to the Securities Act of 1933, as amended, unless specifically identified therein as being incorporated therein by reference.</w:t>
      </w:r>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b w:val="1"/>
          <w:bCs w:val="1"/>
          <w:color w:val="414042"/>
        </w:rPr>
        <w:t>Item 9.01 Financial Statements and Exhibits.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414042"/>
        </w:rPr>
        <w:t>(d) Exhibits.</w:t>
      </w:r>
    </w:p>
    <w:p>
      <w:pPr>
        <w:spacing w:after="0" w:line="33" w:lineRule="exact"/>
        <w:rPr>
          <w:sz w:val="20"/>
          <w:szCs w:val="20"/>
          <w:color w:val="auto"/>
        </w:rPr>
      </w:pPr>
    </w:p>
    <w:p>
      <w:pPr>
        <w:ind w:left="660"/>
        <w:spacing w:after="0"/>
        <w:tabs>
          <w:tab w:leader="none" w:pos="6460" w:val="left"/>
        </w:tabs>
        <w:rPr>
          <w:sz w:val="20"/>
          <w:szCs w:val="20"/>
          <w:color w:val="auto"/>
        </w:rPr>
      </w:pPr>
      <w:r>
        <w:rPr>
          <w:rFonts w:ascii="Arial" w:cs="Arial" w:eastAsia="Arial" w:hAnsi="Arial"/>
          <w:sz w:val="12"/>
          <w:szCs w:val="12"/>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7" w:lineRule="exact"/>
        <w:rPr>
          <w:sz w:val="20"/>
          <w:szCs w:val="20"/>
          <w:color w:val="auto"/>
        </w:rPr>
      </w:pPr>
    </w:p>
    <w:p>
      <w:pPr>
        <w:ind w:left="1980"/>
        <w:spacing w:after="0"/>
        <w:rPr>
          <w:sz w:val="20"/>
          <w:szCs w:val="20"/>
          <w:color w:val="auto"/>
        </w:rPr>
      </w:pPr>
      <w:r>
        <w:rPr>
          <w:rFonts w:ascii="Arial" w:cs="Arial" w:eastAsia="Arial" w:hAnsi="Arial"/>
          <w:sz w:val="12"/>
          <w:szCs w:val="12"/>
          <w:u w:val="single" w:color="auto"/>
          <w:color w:val="auto"/>
        </w:rPr>
        <w:t>99.1  Portillo’s Inc. press release dated May 5, 2026 announcing financial results for the first quarter ended March 29, 2026</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u w:val="single" w:color="auto"/>
          <w:color w:val="auto"/>
        </w:rPr>
        <w:t>99.2  Portillo’s Inc. Supplemental Earnings Presentation</w:t>
      </w:r>
    </w:p>
    <w:p>
      <w:pPr>
        <w:spacing w:after="0" w:line="15" w:lineRule="exact"/>
        <w:rPr>
          <w:sz w:val="20"/>
          <w:szCs w:val="20"/>
          <w:color w:val="auto"/>
        </w:rPr>
      </w:pPr>
    </w:p>
    <w:p>
      <w:pPr>
        <w:ind w:left="2020"/>
        <w:spacing w:after="0"/>
        <w:rPr>
          <w:sz w:val="20"/>
          <w:szCs w:val="20"/>
          <w:color w:val="auto"/>
        </w:rPr>
      </w:pPr>
      <w:r>
        <w:rPr>
          <w:rFonts w:ascii="Arial" w:cs="Arial" w:eastAsia="Arial" w:hAnsi="Arial"/>
          <w:sz w:val="12"/>
          <w:szCs w:val="12"/>
          <w:color w:val="auto"/>
        </w:rPr>
        <w:t>104  Cover Page Interactive Data File (embedded within the Inline XBRL document)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414042"/>
        </w:rPr>
        <w:t>SIGNATURES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thereto duly authorized.</w:t>
      </w:r>
    </w:p>
    <w:p>
      <w:pPr>
        <w:spacing w:after="0" w:line="321"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Portillo's Inc.</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(Registrant)</w:t>
      </w:r>
    </w:p>
    <w:p>
      <w:pPr>
        <w:spacing w:after="0" w:line="183" w:lineRule="exact"/>
        <w:rPr>
          <w:sz w:val="20"/>
          <w:szCs w:val="20"/>
          <w:color w:val="auto"/>
        </w:rPr>
      </w:pPr>
    </w:p>
    <w:p>
      <w:pPr>
        <w:spacing w:after="0"/>
        <w:tabs>
          <w:tab w:leader="none" w:pos="4640" w:val="left"/>
          <w:tab w:leader="none" w:pos="5220" w:val="left"/>
        </w:tabs>
        <w:rPr>
          <w:sz w:val="20"/>
          <w:szCs w:val="20"/>
          <w:color w:val="auto"/>
        </w:rPr>
      </w:pPr>
      <w:r>
        <w:rPr>
          <w:rFonts w:ascii="Arial" w:cs="Arial" w:eastAsia="Arial" w:hAnsi="Arial"/>
          <w:sz w:val="12"/>
          <w:szCs w:val="12"/>
          <w:color w:val="auto"/>
        </w:rPr>
        <w:t>Date: May 5, 2026</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Kelly Kaiser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3321050</wp:posOffset>
            </wp:positionH>
            <wp:positionV relativeFrom="paragraph">
              <wp:posOffset>12065</wp:posOffset>
            </wp:positionV>
            <wp:extent cx="38519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51910" cy="5715"/>
                    </a:xfrm>
                    <a:prstGeom prst="rect">
                      <a:avLst/>
                    </a:prstGeom>
                    <a:noFill/>
                  </pic:spPr>
                </pic:pic>
              </a:graphicData>
            </a:graphic>
          </wp:anchor>
        </w:drawing>
      </w:r>
    </w:p>
    <w:p>
      <w:pPr>
        <w:spacing w:after="0" w:line="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Kelly Kaiser</w:t>
      </w:r>
    </w:p>
    <w:p>
      <w:pPr>
        <w:spacing w:after="0" w:line="24"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General Counsel and Corporate Secretary</w:t>
      </w:r>
    </w:p>
    <w:p>
      <w:pPr>
        <w:sectPr>
          <w:pgSz w:w="11900" w:h="16838" w:orient="portrait"/>
          <w:cols w:equalWidth="0" w:num="1">
            <w:col w:w="11280"/>
          </w:cols>
          <w:pgMar w:left="300" w:top="1144" w:right="319" w:bottom="1440" w:gutter="0" w:footer="0" w:header="0"/>
        </w:sectPr>
      </w:pPr>
    </w:p>
    <w:bookmarkStart w:id="2" w:name="page3"/>
    <w:bookmarkEnd w:id="2"/>
    <w:p>
      <w:pPr>
        <w:spacing w:after="0" w:line="1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3134360</wp:posOffset>
            </wp:positionH>
            <wp:positionV relativeFrom="page">
              <wp:posOffset>568960</wp:posOffset>
            </wp:positionV>
            <wp:extent cx="128016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80160" cy="308610"/>
                    </a:xfrm>
                    <a:prstGeom prst="rect">
                      <a:avLst/>
                    </a:prstGeom>
                    <a:noFill/>
                  </pic:spPr>
                </pic:pic>
              </a:graphicData>
            </a:graphic>
          </wp:anchor>
        </w:drawing>
      </w:r>
    </w:p>
    <w:p>
      <w:pPr>
        <w:jc w:val="center"/>
        <w:ind w:right="-7"/>
        <w:spacing w:after="0"/>
        <w:rPr>
          <w:sz w:val="20"/>
          <w:szCs w:val="20"/>
          <w:color w:val="auto"/>
        </w:rPr>
      </w:pPr>
      <w:r>
        <w:rPr>
          <w:rFonts w:ascii="Arial" w:cs="Arial" w:eastAsia="Arial" w:hAnsi="Arial"/>
          <w:sz w:val="17"/>
          <w:szCs w:val="17"/>
          <w:b w:val="1"/>
          <w:bCs w:val="1"/>
          <w:color w:val="auto"/>
        </w:rPr>
        <w:t>Portillo’s Inc. Announces First Quarter 2026 Financial Results</w:t>
      </w:r>
    </w:p>
    <w:p>
      <w:pPr>
        <w:spacing w:after="0" w:line="167" w:lineRule="exact"/>
        <w:rPr>
          <w:sz w:val="20"/>
          <w:szCs w:val="20"/>
          <w:color w:val="auto"/>
        </w:rPr>
      </w:pPr>
    </w:p>
    <w:p>
      <w:pPr>
        <w:ind w:left="8" w:right="60"/>
        <w:spacing w:after="0" w:line="286" w:lineRule="auto"/>
        <w:rPr>
          <w:sz w:val="20"/>
          <w:szCs w:val="20"/>
          <w:color w:val="auto"/>
        </w:rPr>
      </w:pPr>
      <w:r>
        <w:rPr>
          <w:rFonts w:ascii="Arial" w:cs="Arial" w:eastAsia="Arial" w:hAnsi="Arial"/>
          <w:sz w:val="12"/>
          <w:szCs w:val="12"/>
          <w:color w:val="auto"/>
        </w:rPr>
        <w:t>Oak Brook, IL— May 5, 2026—Portillo’s Inc. (“Portillo’s” or the “Company”) (NASDAQ: PTLO), the one-of-a-kind restaurant concept known for its menu of Chicago-style favorites, today reported financial results for the first quarter ended March 29, 2026.</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D22630"/>
        </w:rPr>
        <w:t>First Quarter 2026 Performance Highlights (vs. First Quarter 2025):</w:t>
      </w:r>
    </w:p>
    <w:p>
      <w:pPr>
        <w:spacing w:after="0" w:line="176" w:lineRule="exact"/>
        <w:rPr>
          <w:sz w:val="20"/>
          <w:szCs w:val="20"/>
          <w:color w:val="auto"/>
        </w:rPr>
      </w:pPr>
    </w:p>
    <w:p>
      <w:pPr>
        <w:ind w:left="448" w:hanging="232"/>
        <w:spacing w:after="0"/>
        <w:tabs>
          <w:tab w:leader="none" w:pos="448" w:val="left"/>
        </w:tabs>
        <w:numPr>
          <w:ilvl w:val="1"/>
          <w:numId w:val="2"/>
        </w:numPr>
        <w:rPr>
          <w:rFonts w:ascii="Arial" w:cs="Arial" w:eastAsia="Arial" w:hAnsi="Arial"/>
          <w:sz w:val="12"/>
          <w:szCs w:val="12"/>
          <w:color w:val="auto"/>
        </w:rPr>
      </w:pPr>
      <w:r>
        <w:rPr>
          <w:rFonts w:ascii="Arial" w:cs="Arial" w:eastAsia="Arial" w:hAnsi="Arial"/>
          <w:sz w:val="12"/>
          <w:szCs w:val="12"/>
          <w:color w:val="auto"/>
        </w:rPr>
        <w:t>Total revenue of $182.6 million, an increase of 3.5% or $6.2 million</w:t>
      </w:r>
    </w:p>
    <w:p>
      <w:pPr>
        <w:spacing w:after="0" w:line="18" w:lineRule="exact"/>
        <w:rPr>
          <w:rFonts w:ascii="Arial" w:cs="Arial" w:eastAsia="Arial" w:hAnsi="Arial"/>
          <w:sz w:val="12"/>
          <w:szCs w:val="12"/>
          <w:color w:val="auto"/>
        </w:rPr>
      </w:pPr>
    </w:p>
    <w:p>
      <w:pPr>
        <w:ind w:left="448" w:hanging="232"/>
        <w:spacing w:after="0"/>
        <w:tabs>
          <w:tab w:leader="none" w:pos="448" w:val="left"/>
        </w:tabs>
        <w:numPr>
          <w:ilvl w:val="1"/>
          <w:numId w:val="2"/>
        </w:numPr>
        <w:rPr>
          <w:rFonts w:ascii="Arial" w:cs="Arial" w:eastAsia="Arial" w:hAnsi="Arial"/>
          <w:sz w:val="12"/>
          <w:szCs w:val="12"/>
          <w:color w:val="auto"/>
        </w:rPr>
      </w:pPr>
      <w:r>
        <w:rPr>
          <w:rFonts w:ascii="Arial" w:cs="Arial" w:eastAsia="Arial" w:hAnsi="Arial"/>
          <w:sz w:val="12"/>
          <w:szCs w:val="12"/>
          <w:color w:val="auto"/>
        </w:rPr>
        <w:t>Same-restaurant sales decrease of -0.1%</w:t>
      </w:r>
    </w:p>
    <w:p>
      <w:pPr>
        <w:spacing w:after="0" w:line="6" w:lineRule="exact"/>
        <w:rPr>
          <w:rFonts w:ascii="Arial" w:cs="Arial" w:eastAsia="Arial" w:hAnsi="Arial"/>
          <w:sz w:val="12"/>
          <w:szCs w:val="12"/>
          <w:color w:val="auto"/>
        </w:rPr>
      </w:pPr>
    </w:p>
    <w:p>
      <w:pPr>
        <w:ind w:left="448" w:hanging="232"/>
        <w:spacing w:after="0"/>
        <w:tabs>
          <w:tab w:leader="none" w:pos="448" w:val="left"/>
        </w:tabs>
        <w:numPr>
          <w:ilvl w:val="1"/>
          <w:numId w:val="2"/>
        </w:numPr>
        <w:rPr>
          <w:rFonts w:ascii="Arial" w:cs="Arial" w:eastAsia="Arial" w:hAnsi="Arial"/>
          <w:sz w:val="12"/>
          <w:szCs w:val="12"/>
          <w:color w:val="auto"/>
        </w:rPr>
      </w:pPr>
      <w:r>
        <w:rPr>
          <w:rFonts w:ascii="Arial" w:cs="Arial" w:eastAsia="Arial" w:hAnsi="Arial"/>
          <w:sz w:val="12"/>
          <w:szCs w:val="12"/>
          <w:color w:val="auto"/>
        </w:rPr>
        <w:t>Operating income of $4.5 million, a decrease of $5.9 million</w:t>
      </w:r>
    </w:p>
    <w:p>
      <w:pPr>
        <w:spacing w:after="0" w:line="6" w:lineRule="exact"/>
        <w:rPr>
          <w:rFonts w:ascii="Arial" w:cs="Arial" w:eastAsia="Arial" w:hAnsi="Arial"/>
          <w:sz w:val="12"/>
          <w:szCs w:val="12"/>
          <w:color w:val="auto"/>
        </w:rPr>
      </w:pPr>
    </w:p>
    <w:p>
      <w:pPr>
        <w:ind w:left="448" w:hanging="232"/>
        <w:spacing w:after="0"/>
        <w:tabs>
          <w:tab w:leader="none" w:pos="448" w:val="left"/>
        </w:tabs>
        <w:numPr>
          <w:ilvl w:val="1"/>
          <w:numId w:val="2"/>
        </w:numPr>
        <w:rPr>
          <w:rFonts w:ascii="Arial" w:cs="Arial" w:eastAsia="Arial" w:hAnsi="Arial"/>
          <w:sz w:val="12"/>
          <w:szCs w:val="12"/>
          <w:color w:val="auto"/>
        </w:rPr>
      </w:pPr>
      <w:r>
        <w:rPr>
          <w:rFonts w:ascii="Arial" w:cs="Arial" w:eastAsia="Arial" w:hAnsi="Arial"/>
          <w:sz w:val="12"/>
          <w:szCs w:val="12"/>
          <w:color w:val="auto"/>
        </w:rPr>
        <w:t>Net loss of $0.5 million, a decrease of $4.5 million from net income of $4.0 million</w:t>
      </w:r>
    </w:p>
    <w:p>
      <w:pPr>
        <w:spacing w:after="0" w:line="6" w:lineRule="exact"/>
        <w:rPr>
          <w:rFonts w:ascii="Arial" w:cs="Arial" w:eastAsia="Arial" w:hAnsi="Arial"/>
          <w:sz w:val="12"/>
          <w:szCs w:val="12"/>
          <w:color w:val="auto"/>
        </w:rPr>
      </w:pPr>
    </w:p>
    <w:p>
      <w:pPr>
        <w:ind w:left="448" w:hanging="232"/>
        <w:spacing w:after="0" w:line="200" w:lineRule="auto"/>
        <w:tabs>
          <w:tab w:leader="none" w:pos="448" w:val="left"/>
        </w:tabs>
        <w:numPr>
          <w:ilvl w:val="1"/>
          <w:numId w:val="2"/>
        </w:numPr>
        <w:rPr>
          <w:rFonts w:ascii="Arial" w:cs="Arial" w:eastAsia="Arial" w:hAnsi="Arial"/>
          <w:sz w:val="12"/>
          <w:szCs w:val="12"/>
          <w:color w:val="auto"/>
        </w:rPr>
      </w:pPr>
      <w:r>
        <w:rPr>
          <w:rFonts w:ascii="Arial" w:cs="Arial" w:eastAsia="Arial" w:hAnsi="Arial"/>
          <w:sz w:val="12"/>
          <w:szCs w:val="12"/>
          <w:color w:val="auto"/>
        </w:rPr>
        <w:t>Restaurant-Level Adjusted EBITDA</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$34.8 million, a decrease of $1.8 million</w:t>
      </w:r>
    </w:p>
    <w:p>
      <w:pPr>
        <w:ind w:left="448" w:hanging="232"/>
        <w:spacing w:after="0"/>
        <w:tabs>
          <w:tab w:leader="none" w:pos="448" w:val="left"/>
        </w:tabs>
        <w:numPr>
          <w:ilvl w:val="1"/>
          <w:numId w:val="2"/>
        </w:numPr>
        <w:rPr>
          <w:rFonts w:ascii="Arial" w:cs="Arial" w:eastAsia="Arial" w:hAnsi="Arial"/>
          <w:sz w:val="12"/>
          <w:szCs w:val="12"/>
          <w:color w:val="auto"/>
        </w:rPr>
      </w:pPr>
      <w:r>
        <w:rPr>
          <w:rFonts w:ascii="Arial" w:cs="Arial" w:eastAsia="Arial" w:hAnsi="Arial"/>
          <w:sz w:val="12"/>
          <w:szCs w:val="12"/>
          <w:color w:val="auto"/>
        </w:rPr>
        <w:t>Adjusted EBITDA</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$18.5 million, a decrease of $2.8 million</w:t>
      </w:r>
    </w:p>
    <w:p>
      <w:pPr>
        <w:spacing w:after="0" w:line="125" w:lineRule="exact"/>
        <w:rPr>
          <w:rFonts w:ascii="Arial" w:cs="Arial" w:eastAsia="Arial" w:hAnsi="Arial"/>
          <w:sz w:val="12"/>
          <w:szCs w:val="12"/>
          <w:color w:val="auto"/>
        </w:rPr>
      </w:pPr>
    </w:p>
    <w:p>
      <w:pPr>
        <w:ind w:left="168" w:hanging="168"/>
        <w:spacing w:after="0"/>
        <w:tabs>
          <w:tab w:leader="none" w:pos="168" w:val="left"/>
        </w:tabs>
        <w:numPr>
          <w:ilvl w:val="0"/>
          <w:numId w:val="2"/>
        </w:numPr>
        <w:rPr>
          <w:rFonts w:ascii="Arial" w:cs="Arial" w:eastAsia="Arial" w:hAnsi="Arial"/>
          <w:sz w:val="11"/>
          <w:szCs w:val="11"/>
          <w:i w:val="1"/>
          <w:iCs w:val="1"/>
          <w:color w:val="auto"/>
        </w:rPr>
      </w:pPr>
      <w:r>
        <w:rPr>
          <w:rFonts w:ascii="Arial" w:cs="Arial" w:eastAsia="Arial" w:hAnsi="Arial"/>
          <w:sz w:val="11"/>
          <w:szCs w:val="11"/>
          <w:i w:val="1"/>
          <w:iCs w:val="1"/>
          <w:color w:val="auto"/>
        </w:rPr>
        <w:t>Restaurant-Level Adjusted EBITDA and Adjusted EBITDA are non-GAAP measures. Please see definitions and the reconciliations of these non-GAAP measures accompanying this release.</w:t>
      </w:r>
    </w:p>
    <w:p>
      <w:pPr>
        <w:spacing w:after="0" w:line="158" w:lineRule="exact"/>
        <w:rPr>
          <w:sz w:val="20"/>
          <w:szCs w:val="20"/>
          <w:color w:val="auto"/>
        </w:rPr>
      </w:pPr>
    </w:p>
    <w:p>
      <w:pPr>
        <w:ind w:left="8" w:right="40"/>
        <w:spacing w:after="0" w:line="268" w:lineRule="auto"/>
        <w:rPr>
          <w:sz w:val="20"/>
          <w:szCs w:val="20"/>
          <w:color w:val="auto"/>
        </w:rPr>
      </w:pPr>
      <w:r>
        <w:rPr>
          <w:rFonts w:ascii="Arial" w:cs="Arial" w:eastAsia="Arial" w:hAnsi="Arial"/>
          <w:sz w:val="12"/>
          <w:szCs w:val="12"/>
          <w:color w:val="auto"/>
        </w:rPr>
        <w:t>“My first couple of months as CEO of Portillo’s have been productive and encouraging, and our team is making progress in identifying the priorities that will drive our growth strategy,” said Brett Patterson, President and Chief Executive Officer. “Our focus is on building a sustainable, long-term plan centered on three priorities: consistently great operations, an integrated marketing strategy, and a disciplined development strategy that creates compelling shareholder value. I’m optimistic about Portillo’s future and look forward to sharing more as our plan takes shape.”</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D22630"/>
        </w:rPr>
        <w:t>First Quarter 2026 Financial and Operating Results</w:t>
      </w:r>
    </w:p>
    <w:p>
      <w:pPr>
        <w:spacing w:after="0" w:line="176" w:lineRule="exact"/>
        <w:rPr>
          <w:sz w:val="20"/>
          <w:szCs w:val="20"/>
          <w:color w:val="auto"/>
        </w:rPr>
      </w:pPr>
    </w:p>
    <w:p>
      <w:pPr>
        <w:ind w:left="8" w:right="140"/>
        <w:spacing w:after="0" w:line="257" w:lineRule="auto"/>
        <w:rPr>
          <w:sz w:val="20"/>
          <w:szCs w:val="20"/>
          <w:color w:val="auto"/>
        </w:rPr>
      </w:pPr>
      <w:r>
        <w:rPr>
          <w:rFonts w:ascii="Arial" w:cs="Arial" w:eastAsia="Arial" w:hAnsi="Arial"/>
          <w:sz w:val="12"/>
          <w:szCs w:val="12"/>
          <w:color w:val="auto"/>
        </w:rPr>
        <w:t>Revenues for the quarter ended March 29, 2026 were $182.6 million compared to $176.4 million for the quarter ended March 30, 2025, an increase of $6.2 million or 3.5%. The increase in revenues was primarily attributed to the opening of eight restaurants in fiscal 2025 and four restaurants during the quarter ended March 29, 2026, partially offset by a decrease in our same-restaurant sales. Restaurants not in our Comparable Restaurant Base (as defined below) contributed $7.7 million of the total year-over-year increase. Same-restaurant sales decreased 0.1%, or $0.2 million in the quarter. The same-restaurant sales decline was attributable to a decrease in average check of 0.9%, partially offset by an increase in transactions of 0.8%. The lower average check was driven by an approximate 1.0% decrease in product mix, partially offset by a 0.1% increase in certain menu prices, net of increased promotional offers. For the purpose of calculating same-restaurant sales for the quarter ended March 29, 2026, sales for 83 restaurants that were open for at least 24 full fiscal periods were included in the Comparable Restaurant Base.</w:t>
      </w:r>
    </w:p>
    <w:p>
      <w:pPr>
        <w:spacing w:after="0" w:line="139" w:lineRule="exact"/>
        <w:rPr>
          <w:sz w:val="20"/>
          <w:szCs w:val="20"/>
          <w:color w:val="auto"/>
        </w:rPr>
      </w:pPr>
    </w:p>
    <w:p>
      <w:pPr>
        <w:ind w:left="8" w:right="160"/>
        <w:spacing w:after="0" w:line="262" w:lineRule="auto"/>
        <w:rPr>
          <w:sz w:val="20"/>
          <w:szCs w:val="20"/>
          <w:color w:val="auto"/>
        </w:rPr>
      </w:pPr>
      <w:r>
        <w:rPr>
          <w:rFonts w:ascii="Arial" w:cs="Arial" w:eastAsia="Arial" w:hAnsi="Arial"/>
          <w:sz w:val="12"/>
          <w:szCs w:val="12"/>
          <w:color w:val="auto"/>
        </w:rPr>
        <w:t>Total restaurant operating expenses for the quarter ended March 29, 2026 were $147.8 million compared to $139.8 million for the quarter ended March 30, 2025, an increase of $8.0 million or 5.7%. The increase was primarily driven by the opening of eight restaurants in fiscal 2025 and four restaurants during the quarter ended March 29, 2026. Additionally, a 1.8% increase in commodity prices negatively impacted food, beverage, and packaging costs. The increase in labor expense was driven by incremental investments to support our team members. Lastly, the increase in other operating expenses was primarily driven by the aforementioned opening of new restaurants, and an increase in repairs and maintenance, operating supplies, and insurance expense, partially offset by lower cleaning expenses.</w:t>
      </w:r>
    </w:p>
    <w:p>
      <w:pPr>
        <w:spacing w:after="0" w:line="90" w:lineRule="exact"/>
        <w:rPr>
          <w:sz w:val="20"/>
          <w:szCs w:val="20"/>
          <w:color w:val="auto"/>
        </w:rPr>
      </w:pPr>
    </w:p>
    <w:p>
      <w:pPr>
        <w:ind w:left="8" w:right="120"/>
        <w:spacing w:after="0" w:line="149" w:lineRule="exact"/>
        <w:rPr>
          <w:sz w:val="20"/>
          <w:szCs w:val="20"/>
          <w:color w:val="auto"/>
        </w:rPr>
      </w:pPr>
      <w:r>
        <w:rPr>
          <w:rFonts w:ascii="Arial" w:cs="Arial" w:eastAsia="Arial" w:hAnsi="Arial"/>
          <w:sz w:val="12"/>
          <w:szCs w:val="12"/>
          <w:color w:val="auto"/>
        </w:rPr>
        <w:t>General and administrative expenses for the quarter ended March 29, 2026 were $20.4 million compared to $18.9 million for the quarter ended March 30, 2025, an increase of $1.5 million or 7.7%. This increase was primarily driven by higher equity</w:t>
      </w:r>
      <w:r>
        <w:rPr>
          <w:rFonts w:ascii="MS PGothic" w:cs="MS PGothic" w:eastAsia="MS PGothic" w:hAnsi="MS PGothic"/>
          <w:sz w:val="12"/>
          <w:szCs w:val="12"/>
          <w:color w:val="auto"/>
        </w:rPr>
        <w:t>‑</w:t>
      </w:r>
      <w:r>
        <w:rPr>
          <w:rFonts w:ascii="Arial" w:cs="Arial" w:eastAsia="Arial" w:hAnsi="Arial"/>
          <w:sz w:val="12"/>
          <w:szCs w:val="12"/>
          <w:color w:val="auto"/>
        </w:rPr>
        <w:t>based compensation and an increase in advertising and professional fees, including $0.5 million of dead site costs. The increase was partially offset by lower vacation-related wage expense, software licensing and legal expenses.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8"/>
          </w:cols>
          <w:pgMar w:left="292" w:top="1440" w:right="299" w:bottom="1440" w:gutter="0" w:footer="0" w:header="0"/>
        </w:sectPr>
      </w:pPr>
    </w:p>
    <w:bookmarkStart w:id="3" w:name="page4"/>
    <w:bookmarkEnd w:id="3"/>
    <w:p>
      <w:pPr>
        <w:ind w:right="260"/>
        <w:spacing w:after="0" w:line="286" w:lineRule="auto"/>
        <w:rPr>
          <w:sz w:val="20"/>
          <w:szCs w:val="20"/>
          <w:color w:val="auto"/>
        </w:rPr>
      </w:pPr>
      <w:r>
        <w:rPr>
          <w:rFonts w:ascii="Arial" w:cs="Arial" w:eastAsia="Arial" w:hAnsi="Arial"/>
          <w:sz w:val="12"/>
          <w:szCs w:val="12"/>
          <w:color w:val="auto"/>
        </w:rPr>
        <w:t>Operating income for the quarter ended March 29, 2026 was $4.5 million compared to $10.4 million for the quarter ended March 30, 2025, a decrease of $5.9 million or 56.7% as higher revenue was more than offset by the aforementioned expense factors.</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2"/>
          <w:szCs w:val="12"/>
          <w:color w:val="auto"/>
        </w:rPr>
        <w:t>Net loss for the quarter ended March 29, 2026 was $ 0.5 million compared to a net income of $ 4.0 million for the quarter ended March 30, 2025, a decrease of $4.5 million or 112.8%. The decrease in net income was primarily due to a decrease in operating income of $5.9 million due to the aforementioned factors, partially offset by a decrease in income taxes of $1.5 million.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Restaurant-Level Adjusted EBITDA* for the quarter ended March 29, 2026 was $34.8 million compared to $36.7 million for the quarter ended March 30, 2025, a decrease of $1.8 million or 4.9%.</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Adjusted EBITDA* for the quarter ended March 29, 2026 was $18.5 million compared to $21.2 million for the quarter ended March 30, 2025, a decrease of $2.8 million or 13.0%.</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*A reconciliation of Restaurant-Level Adjusted EBITDA and Adjusted EBITDA and the nearest GAAP financial measure is included under “Non-GAAP Measures” in the accompanying financial data below.</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D22630"/>
        </w:rPr>
        <w:t>Development Highlights</w:t>
      </w:r>
    </w:p>
    <w:p>
      <w:pPr>
        <w:spacing w:after="0" w:line="176" w:lineRule="exact"/>
        <w:rPr>
          <w:sz w:val="20"/>
          <w:szCs w:val="20"/>
          <w:color w:val="auto"/>
        </w:rPr>
      </w:pPr>
    </w:p>
    <w:p>
      <w:pPr>
        <w:jc w:val="both"/>
        <w:ind w:right="160"/>
        <w:spacing w:after="0" w:line="268" w:lineRule="auto"/>
        <w:rPr>
          <w:sz w:val="20"/>
          <w:szCs w:val="20"/>
          <w:color w:val="auto"/>
        </w:rPr>
      </w:pPr>
      <w:r>
        <w:rPr>
          <w:rFonts w:ascii="Arial" w:cs="Arial" w:eastAsia="Arial" w:hAnsi="Arial"/>
          <w:sz w:val="12"/>
          <w:szCs w:val="12"/>
          <w:color w:val="auto"/>
        </w:rPr>
        <w:t>During the quarter ended March 29, 2026, we opened four restaurants. Subsequent to March 29, 2026, we opened one additional restaurant, bringing our total restaurant count to 107, as of the filing of this press release, including a restaurant owned by C&amp;O, of which Portillo’s owns 50% of the equity. We plan to open three additional restaurants in the remainder of fiscal 2026, including our first airport location at Dallas– Fort Worth International Airport and our second in-line location which will be in Chicago.</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Below are the restaurants opened thus far in fiscal 2026:</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Location</w:t>
            </w:r>
          </w:p>
        </w:tc>
        <w:tc>
          <w:tcPr>
            <w:tcW w:w="4480" w:type="dxa"/>
            <w:vAlign w:val="bottom"/>
            <w:tcBorders>
              <w:bottom w:val="single" w:sz="8" w:color="auto"/>
            </w:tcBorders>
          </w:tcPr>
          <w:p>
            <w:pPr>
              <w:ind w:left="2920"/>
              <w:spacing w:after="0"/>
              <w:rPr>
                <w:sz w:val="20"/>
                <w:szCs w:val="20"/>
                <w:color w:val="auto"/>
              </w:rPr>
            </w:pPr>
            <w:r>
              <w:rPr>
                <w:rFonts w:ascii="Arial" w:cs="Arial" w:eastAsia="Arial" w:hAnsi="Arial"/>
                <w:sz w:val="11"/>
                <w:szCs w:val="11"/>
                <w:b w:val="1"/>
                <w:bCs w:val="1"/>
                <w:color w:val="auto"/>
              </w:rPr>
              <w:t>Opening Month</w:t>
            </w:r>
          </w:p>
        </w:tc>
        <w:tc>
          <w:tcPr>
            <w:tcW w:w="3060" w:type="dxa"/>
            <w:vAlign w:val="bottom"/>
            <w:tcBorders>
              <w:bottom w:val="single" w:sz="8" w:color="auto"/>
            </w:tcBorders>
          </w:tcPr>
          <w:p>
            <w:pPr>
              <w:ind w:left="760"/>
              <w:spacing w:after="0"/>
              <w:rPr>
                <w:sz w:val="20"/>
                <w:szCs w:val="20"/>
                <w:color w:val="auto"/>
              </w:rPr>
            </w:pPr>
            <w:r>
              <w:rPr>
                <w:rFonts w:ascii="Arial" w:cs="Arial" w:eastAsia="Arial" w:hAnsi="Arial"/>
                <w:sz w:val="11"/>
                <w:szCs w:val="11"/>
                <w:b w:val="1"/>
                <w:bCs w:val="1"/>
                <w:color w:val="auto"/>
              </w:rPr>
              <w:t>Fiscal Quarter Opened</w:t>
            </w:r>
          </w:p>
        </w:tc>
      </w:tr>
      <w:tr>
        <w:trPr>
          <w:trHeight w:val="133"/>
        </w:trPr>
        <w:tc>
          <w:tcPr>
            <w:tcW w:w="3760" w:type="dxa"/>
            <w:vAlign w:val="bottom"/>
            <w:shd w:val="clear" w:color="auto" w:fill="DBDBDB"/>
          </w:tcPr>
          <w:p>
            <w:pPr>
              <w:spacing w:after="0"/>
              <w:rPr>
                <w:sz w:val="20"/>
                <w:szCs w:val="20"/>
                <w:color w:val="auto"/>
              </w:rPr>
            </w:pPr>
            <w:r>
              <w:rPr>
                <w:rFonts w:ascii="Arial" w:cs="Arial" w:eastAsia="Arial" w:hAnsi="Arial"/>
                <w:sz w:val="11"/>
                <w:szCs w:val="11"/>
                <w:color w:val="auto"/>
              </w:rPr>
              <w:t>Fort Worth, Texas</w:t>
            </w:r>
          </w:p>
        </w:tc>
        <w:tc>
          <w:tcPr>
            <w:tcW w:w="4480" w:type="dxa"/>
            <w:vAlign w:val="bottom"/>
            <w:shd w:val="clear" w:color="auto" w:fill="DBDBDB"/>
          </w:tcPr>
          <w:p>
            <w:pPr>
              <w:ind w:left="2920"/>
              <w:spacing w:after="0"/>
              <w:rPr>
                <w:sz w:val="20"/>
                <w:szCs w:val="20"/>
                <w:color w:val="auto"/>
              </w:rPr>
            </w:pPr>
            <w:r>
              <w:rPr>
                <w:rFonts w:ascii="Arial" w:cs="Arial" w:eastAsia="Arial" w:hAnsi="Arial"/>
                <w:sz w:val="11"/>
                <w:szCs w:val="11"/>
                <w:color w:val="auto"/>
              </w:rPr>
              <w:t>January 2026</w:t>
            </w:r>
          </w:p>
        </w:tc>
        <w:tc>
          <w:tcPr>
            <w:tcW w:w="3060" w:type="dxa"/>
            <w:vAlign w:val="bottom"/>
            <w:shd w:val="clear" w:color="auto" w:fill="DBDBDB"/>
          </w:tcPr>
          <w:p>
            <w:pPr>
              <w:ind w:left="760"/>
              <w:spacing w:after="0"/>
              <w:rPr>
                <w:sz w:val="20"/>
                <w:szCs w:val="20"/>
                <w:color w:val="auto"/>
              </w:rPr>
            </w:pPr>
            <w:r>
              <w:rPr>
                <w:rFonts w:ascii="Arial" w:cs="Arial" w:eastAsia="Arial" w:hAnsi="Arial"/>
                <w:sz w:val="11"/>
                <w:szCs w:val="11"/>
                <w:color w:val="auto"/>
              </w:rPr>
              <w:t>Q1 2026</w:t>
            </w:r>
          </w:p>
        </w:tc>
      </w:tr>
      <w:tr>
        <w:trPr>
          <w:trHeight w:val="143"/>
        </w:trPr>
        <w:tc>
          <w:tcPr>
            <w:tcW w:w="3760" w:type="dxa"/>
            <w:vAlign w:val="bottom"/>
          </w:tcPr>
          <w:p>
            <w:pPr>
              <w:spacing w:after="0"/>
              <w:rPr>
                <w:sz w:val="20"/>
                <w:szCs w:val="20"/>
                <w:color w:val="auto"/>
              </w:rPr>
            </w:pPr>
            <w:r>
              <w:rPr>
                <w:rFonts w:ascii="Arial" w:cs="Arial" w:eastAsia="Arial" w:hAnsi="Arial"/>
                <w:sz w:val="11"/>
                <w:szCs w:val="11"/>
                <w:color w:val="auto"/>
              </w:rPr>
              <w:t>Humble, Texas</w:t>
            </w:r>
          </w:p>
        </w:tc>
        <w:tc>
          <w:tcPr>
            <w:tcW w:w="4480" w:type="dxa"/>
            <w:vAlign w:val="bottom"/>
          </w:tcPr>
          <w:p>
            <w:pPr>
              <w:ind w:left="2920"/>
              <w:spacing w:after="0"/>
              <w:rPr>
                <w:sz w:val="20"/>
                <w:szCs w:val="20"/>
                <w:color w:val="auto"/>
              </w:rPr>
            </w:pPr>
            <w:r>
              <w:rPr>
                <w:rFonts w:ascii="Arial" w:cs="Arial" w:eastAsia="Arial" w:hAnsi="Arial"/>
                <w:sz w:val="11"/>
                <w:szCs w:val="11"/>
                <w:color w:val="auto"/>
              </w:rPr>
              <w:t>February 2026</w:t>
            </w:r>
          </w:p>
        </w:tc>
        <w:tc>
          <w:tcPr>
            <w:tcW w:w="3060" w:type="dxa"/>
            <w:vAlign w:val="bottom"/>
          </w:tcPr>
          <w:p>
            <w:pPr>
              <w:ind w:left="760"/>
              <w:spacing w:after="0"/>
              <w:rPr>
                <w:sz w:val="20"/>
                <w:szCs w:val="20"/>
                <w:color w:val="auto"/>
              </w:rPr>
            </w:pPr>
            <w:r>
              <w:rPr>
                <w:rFonts w:ascii="Arial" w:cs="Arial" w:eastAsia="Arial" w:hAnsi="Arial"/>
                <w:sz w:val="11"/>
                <w:szCs w:val="11"/>
                <w:color w:val="auto"/>
              </w:rPr>
              <w:t>Q1 2026</w:t>
            </w:r>
          </w:p>
        </w:tc>
      </w:tr>
      <w:tr>
        <w:trPr>
          <w:trHeight w:val="145"/>
        </w:trPr>
        <w:tc>
          <w:tcPr>
            <w:tcW w:w="3760" w:type="dxa"/>
            <w:vAlign w:val="bottom"/>
            <w:shd w:val="clear" w:color="auto" w:fill="DBDBDB"/>
          </w:tcPr>
          <w:p>
            <w:pPr>
              <w:spacing w:after="0"/>
              <w:rPr>
                <w:sz w:val="20"/>
                <w:szCs w:val="20"/>
                <w:color w:val="auto"/>
              </w:rPr>
            </w:pPr>
            <w:r>
              <w:rPr>
                <w:rFonts w:ascii="Arial" w:cs="Arial" w:eastAsia="Arial" w:hAnsi="Arial"/>
                <w:sz w:val="11"/>
                <w:szCs w:val="11"/>
                <w:color w:val="auto"/>
              </w:rPr>
              <w:t>Dallas, Texas</w:t>
            </w:r>
          </w:p>
        </w:tc>
        <w:tc>
          <w:tcPr>
            <w:tcW w:w="4480" w:type="dxa"/>
            <w:vAlign w:val="bottom"/>
            <w:shd w:val="clear" w:color="auto" w:fill="DBDBDB"/>
          </w:tcPr>
          <w:p>
            <w:pPr>
              <w:ind w:left="2920"/>
              <w:spacing w:after="0"/>
              <w:rPr>
                <w:sz w:val="20"/>
                <w:szCs w:val="20"/>
                <w:color w:val="auto"/>
              </w:rPr>
            </w:pPr>
            <w:r>
              <w:rPr>
                <w:rFonts w:ascii="Arial" w:cs="Arial" w:eastAsia="Arial" w:hAnsi="Arial"/>
                <w:sz w:val="11"/>
                <w:szCs w:val="11"/>
                <w:color w:val="auto"/>
              </w:rPr>
              <w:t>March 2026</w:t>
            </w:r>
          </w:p>
        </w:tc>
        <w:tc>
          <w:tcPr>
            <w:tcW w:w="3060" w:type="dxa"/>
            <w:vAlign w:val="bottom"/>
            <w:shd w:val="clear" w:color="auto" w:fill="DBDBDB"/>
          </w:tcPr>
          <w:p>
            <w:pPr>
              <w:ind w:left="760"/>
              <w:spacing w:after="0"/>
              <w:rPr>
                <w:sz w:val="20"/>
                <w:szCs w:val="20"/>
                <w:color w:val="auto"/>
              </w:rPr>
            </w:pPr>
            <w:r>
              <w:rPr>
                <w:rFonts w:ascii="Arial" w:cs="Arial" w:eastAsia="Arial" w:hAnsi="Arial"/>
                <w:sz w:val="11"/>
                <w:szCs w:val="11"/>
                <w:color w:val="auto"/>
              </w:rPr>
              <w:t>Q1 2026</w:t>
            </w:r>
          </w:p>
        </w:tc>
      </w:tr>
      <w:tr>
        <w:trPr>
          <w:trHeight w:val="143"/>
        </w:trPr>
        <w:tc>
          <w:tcPr>
            <w:tcW w:w="3760" w:type="dxa"/>
            <w:vAlign w:val="bottom"/>
          </w:tcPr>
          <w:p>
            <w:pPr>
              <w:spacing w:after="0"/>
              <w:rPr>
                <w:sz w:val="20"/>
                <w:szCs w:val="20"/>
                <w:color w:val="auto"/>
              </w:rPr>
            </w:pPr>
            <w:r>
              <w:rPr>
                <w:rFonts w:ascii="Arial" w:cs="Arial" w:eastAsia="Arial" w:hAnsi="Arial"/>
                <w:sz w:val="11"/>
                <w:szCs w:val="11"/>
                <w:color w:val="auto"/>
              </w:rPr>
              <w:t>El Paso, Texas</w:t>
            </w:r>
          </w:p>
        </w:tc>
        <w:tc>
          <w:tcPr>
            <w:tcW w:w="4480" w:type="dxa"/>
            <w:vAlign w:val="bottom"/>
          </w:tcPr>
          <w:p>
            <w:pPr>
              <w:ind w:left="2920"/>
              <w:spacing w:after="0"/>
              <w:rPr>
                <w:sz w:val="20"/>
                <w:szCs w:val="20"/>
                <w:color w:val="auto"/>
              </w:rPr>
            </w:pPr>
            <w:r>
              <w:rPr>
                <w:rFonts w:ascii="Arial" w:cs="Arial" w:eastAsia="Arial" w:hAnsi="Arial"/>
                <w:sz w:val="11"/>
                <w:szCs w:val="11"/>
                <w:color w:val="auto"/>
              </w:rPr>
              <w:t>March 2026</w:t>
            </w:r>
          </w:p>
        </w:tc>
        <w:tc>
          <w:tcPr>
            <w:tcW w:w="3060" w:type="dxa"/>
            <w:vAlign w:val="bottom"/>
          </w:tcPr>
          <w:p>
            <w:pPr>
              <w:ind w:left="760"/>
              <w:spacing w:after="0"/>
              <w:rPr>
                <w:sz w:val="20"/>
                <w:szCs w:val="20"/>
                <w:color w:val="auto"/>
              </w:rPr>
            </w:pPr>
            <w:r>
              <w:rPr>
                <w:rFonts w:ascii="Arial" w:cs="Arial" w:eastAsia="Arial" w:hAnsi="Arial"/>
                <w:sz w:val="11"/>
                <w:szCs w:val="11"/>
                <w:color w:val="auto"/>
              </w:rPr>
              <w:t>Q1 2026</w:t>
            </w:r>
          </w:p>
        </w:tc>
      </w:tr>
      <w:tr>
        <w:trPr>
          <w:trHeight w:val="145"/>
        </w:trPr>
        <w:tc>
          <w:tcPr>
            <w:tcW w:w="3760" w:type="dxa"/>
            <w:vAlign w:val="bottom"/>
            <w:shd w:val="clear" w:color="auto" w:fill="DBDBDB"/>
          </w:tcPr>
          <w:p>
            <w:pPr>
              <w:spacing w:after="0"/>
              <w:rPr>
                <w:sz w:val="20"/>
                <w:szCs w:val="20"/>
                <w:color w:val="auto"/>
              </w:rPr>
            </w:pPr>
            <w:r>
              <w:rPr>
                <w:rFonts w:ascii="Arial" w:cs="Arial" w:eastAsia="Arial" w:hAnsi="Arial"/>
                <w:sz w:val="11"/>
                <w:szCs w:val="11"/>
                <w:color w:val="auto"/>
              </w:rPr>
              <w:t>Frisco, Texas</w:t>
            </w:r>
          </w:p>
        </w:tc>
        <w:tc>
          <w:tcPr>
            <w:tcW w:w="4480" w:type="dxa"/>
            <w:vAlign w:val="bottom"/>
            <w:shd w:val="clear" w:color="auto" w:fill="DBDBDB"/>
          </w:tcPr>
          <w:p>
            <w:pPr>
              <w:ind w:left="2920"/>
              <w:spacing w:after="0"/>
              <w:rPr>
                <w:sz w:val="20"/>
                <w:szCs w:val="20"/>
                <w:color w:val="auto"/>
              </w:rPr>
            </w:pPr>
            <w:r>
              <w:rPr>
                <w:rFonts w:ascii="Arial" w:cs="Arial" w:eastAsia="Arial" w:hAnsi="Arial"/>
                <w:sz w:val="11"/>
                <w:szCs w:val="11"/>
                <w:color w:val="auto"/>
              </w:rPr>
              <w:t>April 2026</w:t>
            </w:r>
          </w:p>
        </w:tc>
        <w:tc>
          <w:tcPr>
            <w:tcW w:w="3060" w:type="dxa"/>
            <w:vAlign w:val="bottom"/>
            <w:shd w:val="clear" w:color="auto" w:fill="DBDBDB"/>
          </w:tcPr>
          <w:p>
            <w:pPr>
              <w:ind w:left="760"/>
              <w:spacing w:after="0"/>
              <w:rPr>
                <w:sz w:val="20"/>
                <w:szCs w:val="20"/>
                <w:color w:val="auto"/>
              </w:rPr>
            </w:pPr>
            <w:r>
              <w:rPr>
                <w:rFonts w:ascii="Arial" w:cs="Arial" w:eastAsia="Arial" w:hAnsi="Arial"/>
                <w:sz w:val="11"/>
                <w:szCs w:val="11"/>
                <w:color w:val="auto"/>
              </w:rPr>
              <w:t>Q2 2026</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D22630"/>
        </w:rPr>
        <w:t>Fiscal 2026 Financial Targets</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Based on current expectations, fiscal 2026 outlook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280" w:type="dxa"/>
            <w:vAlign w:val="bottom"/>
            <w:tcBorders>
              <w:bottom w:val="single" w:sz="8" w:color="DBDBDB"/>
            </w:tcBorders>
          </w:tcPr>
          <w:p>
            <w:pPr>
              <w:spacing w:after="0"/>
              <w:rPr>
                <w:sz w:val="12"/>
                <w:szCs w:val="12"/>
                <w:color w:val="auto"/>
              </w:rPr>
            </w:pPr>
          </w:p>
        </w:tc>
        <w:tc>
          <w:tcPr>
            <w:tcW w:w="2020" w:type="dxa"/>
            <w:vAlign w:val="bottom"/>
            <w:tcBorders>
              <w:bottom w:val="single" w:sz="8" w:color="auto"/>
            </w:tcBorders>
          </w:tcPr>
          <w:p>
            <w:pPr>
              <w:ind w:left="600"/>
              <w:spacing w:after="0"/>
              <w:rPr>
                <w:sz w:val="20"/>
                <w:szCs w:val="20"/>
                <w:color w:val="auto"/>
              </w:rPr>
            </w:pPr>
            <w:r>
              <w:rPr>
                <w:rFonts w:ascii="Arial" w:cs="Arial" w:eastAsia="Arial" w:hAnsi="Arial"/>
                <w:sz w:val="11"/>
                <w:szCs w:val="11"/>
                <w:b w:val="1"/>
                <w:bCs w:val="1"/>
                <w:color w:val="auto"/>
              </w:rPr>
              <w:t>Current Targets</w:t>
            </w:r>
          </w:p>
        </w:tc>
      </w:tr>
      <w:tr>
        <w:trPr>
          <w:trHeight w:val="133"/>
        </w:trPr>
        <w:tc>
          <w:tcPr>
            <w:tcW w:w="9280" w:type="dxa"/>
            <w:vAlign w:val="bottom"/>
            <w:shd w:val="clear" w:color="auto" w:fill="DBDBDB"/>
          </w:tcPr>
          <w:p>
            <w:pPr>
              <w:spacing w:after="0"/>
              <w:rPr>
                <w:sz w:val="20"/>
                <w:szCs w:val="20"/>
                <w:color w:val="auto"/>
              </w:rPr>
            </w:pPr>
            <w:r>
              <w:rPr>
                <w:rFonts w:ascii="Arial" w:cs="Arial" w:eastAsia="Arial" w:hAnsi="Arial"/>
                <w:sz w:val="11"/>
                <w:szCs w:val="11"/>
                <w:color w:val="auto"/>
              </w:rPr>
              <w:t>New Units</w:t>
            </w:r>
          </w:p>
        </w:tc>
        <w:tc>
          <w:tcPr>
            <w:tcW w:w="2020" w:type="dxa"/>
            <w:vAlign w:val="bottom"/>
            <w:shd w:val="clear" w:color="auto" w:fill="DBDBDB"/>
          </w:tcPr>
          <w:p>
            <w:pPr>
              <w:ind w:left="20"/>
              <w:spacing w:after="0"/>
              <w:rPr>
                <w:sz w:val="20"/>
                <w:szCs w:val="20"/>
                <w:color w:val="auto"/>
              </w:rPr>
            </w:pPr>
            <w:r>
              <w:rPr>
                <w:rFonts w:ascii="Arial" w:cs="Arial" w:eastAsia="Arial" w:hAnsi="Arial"/>
                <w:sz w:val="11"/>
                <w:szCs w:val="11"/>
                <w:color w:val="auto"/>
              </w:rPr>
              <w:t>8 new units</w:t>
            </w:r>
          </w:p>
        </w:tc>
      </w:tr>
      <w:tr>
        <w:trPr>
          <w:trHeight w:val="143"/>
        </w:trPr>
        <w:tc>
          <w:tcPr>
            <w:tcW w:w="9280" w:type="dxa"/>
            <w:vAlign w:val="bottom"/>
          </w:tcPr>
          <w:p>
            <w:pPr>
              <w:spacing w:after="0"/>
              <w:rPr>
                <w:sz w:val="20"/>
                <w:szCs w:val="20"/>
                <w:color w:val="auto"/>
              </w:rPr>
            </w:pPr>
            <w:r>
              <w:rPr>
                <w:rFonts w:ascii="Arial" w:cs="Arial" w:eastAsia="Arial" w:hAnsi="Arial"/>
                <w:sz w:val="11"/>
                <w:szCs w:val="11"/>
                <w:color w:val="auto"/>
              </w:rPr>
              <w:t>Commodity inflation</w:t>
            </w:r>
          </w:p>
        </w:tc>
        <w:tc>
          <w:tcPr>
            <w:tcW w:w="2020" w:type="dxa"/>
            <w:vAlign w:val="bottom"/>
          </w:tcPr>
          <w:p>
            <w:pPr>
              <w:ind w:left="20"/>
              <w:spacing w:after="0"/>
              <w:rPr>
                <w:sz w:val="20"/>
                <w:szCs w:val="20"/>
                <w:color w:val="auto"/>
              </w:rPr>
            </w:pPr>
            <w:r>
              <w:rPr>
                <w:rFonts w:ascii="Arial" w:cs="Arial" w:eastAsia="Arial" w:hAnsi="Arial"/>
                <w:sz w:val="11"/>
                <w:szCs w:val="11"/>
                <w:color w:val="auto"/>
              </w:rPr>
              <w:t>Mid single digit</w:t>
            </w:r>
          </w:p>
        </w:tc>
      </w:tr>
      <w:tr>
        <w:trPr>
          <w:trHeight w:val="145"/>
        </w:trPr>
        <w:tc>
          <w:tcPr>
            <w:tcW w:w="9280" w:type="dxa"/>
            <w:vAlign w:val="bottom"/>
            <w:shd w:val="clear" w:color="auto" w:fill="DBDBDB"/>
          </w:tcPr>
          <w:p>
            <w:pPr>
              <w:spacing w:after="0"/>
              <w:rPr>
                <w:sz w:val="20"/>
                <w:szCs w:val="20"/>
                <w:color w:val="auto"/>
              </w:rPr>
            </w:pPr>
            <w:r>
              <w:rPr>
                <w:rFonts w:ascii="Arial" w:cs="Arial" w:eastAsia="Arial" w:hAnsi="Arial"/>
                <w:sz w:val="11"/>
                <w:szCs w:val="11"/>
                <w:color w:val="auto"/>
              </w:rPr>
              <w:t>Labor inflation</w:t>
            </w:r>
          </w:p>
        </w:tc>
        <w:tc>
          <w:tcPr>
            <w:tcW w:w="2020" w:type="dxa"/>
            <w:vAlign w:val="bottom"/>
            <w:shd w:val="clear" w:color="auto" w:fill="DBDBDB"/>
          </w:tcPr>
          <w:p>
            <w:pPr>
              <w:ind w:left="20"/>
              <w:spacing w:after="0"/>
              <w:rPr>
                <w:sz w:val="20"/>
                <w:szCs w:val="20"/>
                <w:color w:val="auto"/>
              </w:rPr>
            </w:pPr>
            <w:r>
              <w:rPr>
                <w:rFonts w:ascii="Arial" w:cs="Arial" w:eastAsia="Arial" w:hAnsi="Arial"/>
                <w:sz w:val="11"/>
                <w:szCs w:val="11"/>
                <w:color w:val="auto"/>
              </w:rPr>
              <w:t>3% to 3.5%</w:t>
            </w:r>
          </w:p>
        </w:tc>
      </w:tr>
      <w:tr>
        <w:trPr>
          <w:trHeight w:val="143"/>
        </w:trPr>
        <w:tc>
          <w:tcPr>
            <w:tcW w:w="9280" w:type="dxa"/>
            <w:vAlign w:val="bottom"/>
          </w:tcPr>
          <w:p>
            <w:pPr>
              <w:spacing w:after="0"/>
              <w:rPr>
                <w:sz w:val="20"/>
                <w:szCs w:val="20"/>
                <w:color w:val="auto"/>
              </w:rPr>
            </w:pPr>
            <w:r>
              <w:rPr>
                <w:rFonts w:ascii="Arial" w:cs="Arial" w:eastAsia="Arial" w:hAnsi="Arial"/>
                <w:sz w:val="11"/>
                <w:szCs w:val="11"/>
                <w:color w:val="auto"/>
              </w:rPr>
              <w:t>Restaurant-level adjusted EBITDA margin*</w:t>
            </w:r>
          </w:p>
        </w:tc>
        <w:tc>
          <w:tcPr>
            <w:tcW w:w="2020" w:type="dxa"/>
            <w:vAlign w:val="bottom"/>
          </w:tcPr>
          <w:p>
            <w:pPr>
              <w:ind w:left="20"/>
              <w:spacing w:after="0"/>
              <w:rPr>
                <w:sz w:val="20"/>
                <w:szCs w:val="20"/>
                <w:color w:val="auto"/>
              </w:rPr>
            </w:pPr>
            <w:r>
              <w:rPr>
                <w:rFonts w:ascii="Arial" w:cs="Arial" w:eastAsia="Arial" w:hAnsi="Arial"/>
                <w:sz w:val="11"/>
                <w:szCs w:val="11"/>
                <w:color w:val="auto"/>
              </w:rPr>
              <w:t>20.5% to 21%</w:t>
            </w:r>
          </w:p>
        </w:tc>
      </w:tr>
      <w:tr>
        <w:trPr>
          <w:trHeight w:val="145"/>
        </w:trPr>
        <w:tc>
          <w:tcPr>
            <w:tcW w:w="9280" w:type="dxa"/>
            <w:vAlign w:val="bottom"/>
            <w:shd w:val="clear" w:color="auto" w:fill="DBDBDB"/>
          </w:tcPr>
          <w:p>
            <w:pPr>
              <w:spacing w:after="0"/>
              <w:rPr>
                <w:sz w:val="20"/>
                <w:szCs w:val="20"/>
                <w:color w:val="auto"/>
              </w:rPr>
            </w:pPr>
            <w:r>
              <w:rPr>
                <w:rFonts w:ascii="Arial" w:cs="Arial" w:eastAsia="Arial" w:hAnsi="Arial"/>
                <w:sz w:val="11"/>
                <w:szCs w:val="11"/>
                <w:color w:val="auto"/>
              </w:rPr>
              <w:t>General and administrative expenses</w:t>
            </w:r>
          </w:p>
        </w:tc>
        <w:tc>
          <w:tcPr>
            <w:tcW w:w="2020" w:type="dxa"/>
            <w:vAlign w:val="bottom"/>
            <w:shd w:val="clear" w:color="auto" w:fill="DBDBDB"/>
          </w:tcPr>
          <w:p>
            <w:pPr>
              <w:ind w:left="20"/>
              <w:spacing w:after="0"/>
              <w:rPr>
                <w:sz w:val="20"/>
                <w:szCs w:val="20"/>
                <w:color w:val="auto"/>
              </w:rPr>
            </w:pPr>
            <w:r>
              <w:rPr>
                <w:rFonts w:ascii="Arial" w:cs="Arial" w:eastAsia="Arial" w:hAnsi="Arial"/>
                <w:sz w:val="11"/>
                <w:szCs w:val="11"/>
                <w:color w:val="auto"/>
              </w:rPr>
              <w:t>$80-$82 million</w:t>
            </w:r>
          </w:p>
        </w:tc>
      </w:tr>
      <w:tr>
        <w:trPr>
          <w:trHeight w:val="143"/>
        </w:trPr>
        <w:tc>
          <w:tcPr>
            <w:tcW w:w="9280" w:type="dxa"/>
            <w:vAlign w:val="bottom"/>
          </w:tcPr>
          <w:p>
            <w:pPr>
              <w:spacing w:after="0"/>
              <w:rPr>
                <w:sz w:val="20"/>
                <w:szCs w:val="20"/>
                <w:color w:val="auto"/>
              </w:rPr>
            </w:pPr>
            <w:r>
              <w:rPr>
                <w:rFonts w:ascii="Arial" w:cs="Arial" w:eastAsia="Arial" w:hAnsi="Arial"/>
                <w:sz w:val="11"/>
                <w:szCs w:val="11"/>
                <w:color w:val="auto"/>
              </w:rPr>
              <w:t>Adjusted EBITDA*</w:t>
            </w:r>
          </w:p>
        </w:tc>
        <w:tc>
          <w:tcPr>
            <w:tcW w:w="2020" w:type="dxa"/>
            <w:vAlign w:val="bottom"/>
          </w:tcPr>
          <w:p>
            <w:pPr>
              <w:ind w:left="20"/>
              <w:spacing w:after="0"/>
              <w:rPr>
                <w:sz w:val="20"/>
                <w:szCs w:val="20"/>
                <w:color w:val="auto"/>
              </w:rPr>
            </w:pPr>
            <w:r>
              <w:rPr>
                <w:rFonts w:ascii="Arial" w:cs="Arial" w:eastAsia="Arial" w:hAnsi="Arial"/>
                <w:sz w:val="11"/>
                <w:szCs w:val="11"/>
                <w:color w:val="auto"/>
              </w:rPr>
              <w:t>Flat vs. 2025</w:t>
            </w:r>
          </w:p>
        </w:tc>
      </w:tr>
      <w:tr>
        <w:trPr>
          <w:trHeight w:val="145"/>
        </w:trPr>
        <w:tc>
          <w:tcPr>
            <w:tcW w:w="9280" w:type="dxa"/>
            <w:vAlign w:val="bottom"/>
            <w:shd w:val="clear" w:color="auto" w:fill="DBDBDB"/>
          </w:tcPr>
          <w:p>
            <w:pPr>
              <w:spacing w:after="0"/>
              <w:rPr>
                <w:sz w:val="20"/>
                <w:szCs w:val="20"/>
                <w:color w:val="auto"/>
              </w:rPr>
            </w:pPr>
            <w:r>
              <w:rPr>
                <w:rFonts w:ascii="Arial" w:cs="Arial" w:eastAsia="Arial" w:hAnsi="Arial"/>
                <w:sz w:val="11"/>
                <w:szCs w:val="11"/>
                <w:color w:val="auto"/>
              </w:rPr>
              <w:t>Capital expenditures</w:t>
            </w:r>
          </w:p>
        </w:tc>
        <w:tc>
          <w:tcPr>
            <w:tcW w:w="2020" w:type="dxa"/>
            <w:vAlign w:val="bottom"/>
            <w:shd w:val="clear" w:color="auto" w:fill="DBDBDB"/>
          </w:tcPr>
          <w:p>
            <w:pPr>
              <w:ind w:left="20"/>
              <w:spacing w:after="0"/>
              <w:rPr>
                <w:sz w:val="20"/>
                <w:szCs w:val="20"/>
                <w:color w:val="auto"/>
              </w:rPr>
            </w:pPr>
            <w:r>
              <w:rPr>
                <w:rFonts w:ascii="Arial" w:cs="Arial" w:eastAsia="Arial" w:hAnsi="Arial"/>
                <w:sz w:val="11"/>
                <w:szCs w:val="11"/>
                <w:color w:val="auto"/>
              </w:rPr>
              <w:t>$55-$60 million</w:t>
            </w:r>
          </w:p>
        </w:tc>
      </w:tr>
    </w:tbl>
    <w:p>
      <w:pPr>
        <w:spacing w:after="0" w:line="126" w:lineRule="exact"/>
        <w:rPr>
          <w:sz w:val="20"/>
          <w:szCs w:val="20"/>
          <w:color w:val="auto"/>
        </w:rPr>
      </w:pPr>
    </w:p>
    <w:p>
      <w:pPr>
        <w:ind w:right="40"/>
        <w:spacing w:after="0" w:line="300" w:lineRule="auto"/>
        <w:rPr>
          <w:sz w:val="20"/>
          <w:szCs w:val="20"/>
          <w:color w:val="auto"/>
        </w:rPr>
      </w:pPr>
      <w:r>
        <w:rPr>
          <w:rFonts w:ascii="Arial" w:cs="Arial" w:eastAsia="Arial" w:hAnsi="Arial"/>
          <w:sz w:val="10"/>
          <w:szCs w:val="10"/>
          <w:color w:val="auto"/>
        </w:rPr>
        <w:t>*We are unable to reconcile the financial target for adjusted EBITDA and restaurant-level adjusted EBITDA margin to net income/loss growth and operating income/loss margin, the respective corresponding U.S. GAAP measure, due to variability and difficulty in making accurate forecasts and projections and because not all information necessary to prepare the reconciliation is available to us without unreasonable efforts. For the same reasons, we are unable to address the probable significance of the unavailable information because we cannot accurately predict all of the components of the adjusted calculations and the non-GAAP measure may be materially different than the GAAP measure.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883" w:right="29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D22630"/>
        </w:rPr>
        <w:t>Chief Financial Officer Departure</w:t>
      </w:r>
    </w:p>
    <w:p>
      <w:pPr>
        <w:spacing w:after="0" w:line="176" w:lineRule="exact"/>
        <w:rPr>
          <w:sz w:val="20"/>
          <w:szCs w:val="20"/>
          <w:color w:val="auto"/>
        </w:rPr>
      </w:pPr>
    </w:p>
    <w:p>
      <w:pPr>
        <w:ind w:right="140"/>
        <w:spacing w:after="0" w:line="260" w:lineRule="auto"/>
        <w:rPr>
          <w:sz w:val="20"/>
          <w:szCs w:val="20"/>
          <w:color w:val="auto"/>
        </w:rPr>
      </w:pPr>
      <w:r>
        <w:rPr>
          <w:rFonts w:ascii="Arial" w:cs="Arial" w:eastAsia="Arial" w:hAnsi="Arial"/>
          <w:sz w:val="12"/>
          <w:szCs w:val="12"/>
          <w:color w:val="auto"/>
        </w:rPr>
        <w:t>Michelle Hook, Chief Financial Officer, will depart Portillo’s to pursue another opportunity, effective today, May 5, 2026. Since joining Portillo’s in 2020, she has led the Company’s financial function, helping drive a period of meaningful growth, including playing an important role in the Company’s 2021 IPO and expansion into new markets.</w:t>
      </w:r>
    </w:p>
    <w:p>
      <w:pPr>
        <w:spacing w:after="0" w:line="1" w:lineRule="exact"/>
        <w:rPr>
          <w:sz w:val="20"/>
          <w:szCs w:val="20"/>
          <w:color w:val="auto"/>
        </w:rPr>
      </w:pPr>
    </w:p>
    <w:p>
      <w:pPr>
        <w:ind w:right="180"/>
        <w:spacing w:after="0" w:line="265" w:lineRule="auto"/>
        <w:rPr>
          <w:sz w:val="20"/>
          <w:szCs w:val="20"/>
          <w:color w:val="auto"/>
        </w:rPr>
      </w:pPr>
      <w:r>
        <w:rPr>
          <w:rFonts w:ascii="Arial" w:cs="Arial" w:eastAsia="Arial" w:hAnsi="Arial"/>
          <w:sz w:val="12"/>
          <w:szCs w:val="12"/>
          <w:color w:val="auto"/>
        </w:rPr>
        <w:t>The Board has initiated a search for her successor and is focused on identifying a strategic leader with a demonstrated track record of delivering strong results and leading the finance function within high-growth brands to support the Company’s next phase of growth.</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D22630"/>
        </w:rPr>
        <w:t>The following definitions apply to these terms as used in this release:</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2"/>
          <w:szCs w:val="12"/>
          <w:b w:val="1"/>
          <w:bCs w:val="1"/>
          <w:color w:val="auto"/>
        </w:rPr>
        <w:t xml:space="preserve">Change in Same-Restaurant Sales - </w:t>
      </w:r>
      <w:r>
        <w:rPr>
          <w:rFonts w:ascii="Arial" w:cs="Arial" w:eastAsia="Arial" w:hAnsi="Arial"/>
          <w:sz w:val="12"/>
          <w:szCs w:val="12"/>
          <w:color w:val="auto"/>
        </w:rPr>
        <w:t>The change in same-restaurant sales is the percentage change in year-over-year revenue for the Comparable Restaurant Base, which is defined as the number of restaurants</w:t>
      </w:r>
      <w:r>
        <w:rPr>
          <w:rFonts w:ascii="Arial" w:cs="Arial" w:eastAsia="Arial" w:hAnsi="Arial"/>
          <w:sz w:val="12"/>
          <w:szCs w:val="12"/>
          <w:b w:val="1"/>
          <w:bCs w:val="1"/>
          <w:color w:val="auto"/>
        </w:rPr>
        <w:t xml:space="preserve"> </w:t>
      </w:r>
      <w:r>
        <w:rPr>
          <w:rFonts w:ascii="Arial" w:cs="Arial" w:eastAsia="Arial" w:hAnsi="Arial"/>
          <w:sz w:val="12"/>
          <w:szCs w:val="12"/>
          <w:color w:val="auto"/>
        </w:rPr>
        <w:t>open for at least 24 full fiscal periods. For the quarters ended March 29, 2026 and March 30, 2025, there were 83 and 74 restaurants in our Comparable Restaurant Base, respectively.</w:t>
      </w:r>
    </w:p>
    <w:p>
      <w:pPr>
        <w:spacing w:after="0" w:line="121" w:lineRule="exact"/>
        <w:rPr>
          <w:sz w:val="20"/>
          <w:szCs w:val="20"/>
          <w:color w:val="auto"/>
        </w:rPr>
      </w:pPr>
    </w:p>
    <w:p>
      <w:pPr>
        <w:ind w:right="240"/>
        <w:spacing w:after="0" w:line="262" w:lineRule="auto"/>
        <w:rPr>
          <w:sz w:val="20"/>
          <w:szCs w:val="20"/>
          <w:color w:val="auto"/>
        </w:rPr>
      </w:pPr>
      <w:r>
        <w:rPr>
          <w:rFonts w:ascii="Arial" w:cs="Arial" w:eastAsia="Arial" w:hAnsi="Arial"/>
          <w:sz w:val="12"/>
          <w:szCs w:val="12"/>
          <w:color w:val="auto"/>
        </w:rPr>
        <w:t>A change in same-restaurant sales is the result of a change in restaurant transactions, average guest check, or a combination of the two. We gather daily sales data and regularly analyze the guest transaction counts and the mix of menu items sold to strategically evaluate menu pricing and demand. Measuring our change in same-restaurant sales allows management to evaluate the performance of our existing restaurant base. We believe this measure provides a consistent comparison of restaurant sales results and trends across periods within our core, established restaurant base, unaffected by results of restaurant openings and enables investors to better understand and evaluate the Company’s historical and prospective operating performance.</w:t>
      </w:r>
    </w:p>
    <w:p>
      <w:pPr>
        <w:spacing w:after="0" w:line="135" w:lineRule="exact"/>
        <w:rPr>
          <w:sz w:val="20"/>
          <w:szCs w:val="20"/>
          <w:color w:val="auto"/>
        </w:rPr>
      </w:pPr>
    </w:p>
    <w:p>
      <w:pPr>
        <w:ind w:right="140"/>
        <w:spacing w:after="0" w:line="286" w:lineRule="auto"/>
        <w:rPr>
          <w:sz w:val="20"/>
          <w:szCs w:val="20"/>
          <w:color w:val="auto"/>
        </w:rPr>
      </w:pPr>
      <w:r>
        <w:rPr>
          <w:rFonts w:ascii="Arial" w:cs="Arial" w:eastAsia="Arial" w:hAnsi="Arial"/>
          <w:sz w:val="12"/>
          <w:szCs w:val="12"/>
          <w:b w:val="1"/>
          <w:bCs w:val="1"/>
          <w:color w:val="auto"/>
        </w:rPr>
        <w:t xml:space="preserve">Average Unit Volume - </w:t>
      </w:r>
      <w:r>
        <w:rPr>
          <w:rFonts w:ascii="Arial" w:cs="Arial" w:eastAsia="Arial" w:hAnsi="Arial"/>
          <w:sz w:val="12"/>
          <w:szCs w:val="12"/>
          <w:color w:val="auto"/>
        </w:rPr>
        <w:t>AUV is the total revenue (excluding gift card and Perks loyalty program breakage) recognized in the Comparable Restaurant Base, including C&amp;O, divided by the number of restaurants in</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Comparable Restaurant Base, including C&amp;O, by period.</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This key performance indicator allows management to assess changes in consumer spending patterns at our restaurants and the overall performance of our restaurant base.</w:t>
      </w:r>
    </w:p>
    <w:p>
      <w:pPr>
        <w:spacing w:after="0" w:line="168" w:lineRule="exact"/>
        <w:rPr>
          <w:sz w:val="20"/>
          <w:szCs w:val="20"/>
          <w:color w:val="auto"/>
        </w:rPr>
      </w:pPr>
    </w:p>
    <w:p>
      <w:pPr>
        <w:jc w:val="both"/>
        <w:ind w:right="320"/>
        <w:spacing w:after="0" w:line="268" w:lineRule="auto"/>
        <w:rPr>
          <w:sz w:val="20"/>
          <w:szCs w:val="20"/>
          <w:color w:val="auto"/>
        </w:rPr>
      </w:pPr>
      <w:r>
        <w:rPr>
          <w:rFonts w:ascii="Arial" w:cs="Arial" w:eastAsia="Arial" w:hAnsi="Arial"/>
          <w:sz w:val="12"/>
          <w:szCs w:val="12"/>
          <w:b w:val="1"/>
          <w:bCs w:val="1"/>
          <w:color w:val="auto"/>
        </w:rPr>
        <w:t xml:space="preserve">Adjusted EBITDA and Adjusted EBITDA Margin - </w:t>
      </w:r>
      <w:r>
        <w:rPr>
          <w:rFonts w:ascii="Arial" w:cs="Arial" w:eastAsia="Arial" w:hAnsi="Arial"/>
          <w:sz w:val="12"/>
          <w:szCs w:val="12"/>
          <w:color w:val="auto"/>
        </w:rPr>
        <w:t>Adjusted EBITDA represents net income (loss) before depreciation and amortization, interest expense, interest income, and income taxes, adjusted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impact of certain non-cash and other items that we do not consider in our evaluation of ongoing core operating performance as identified in the reconciliation of net income (loss), the most directly comparable GAAP measure to Adjusted EBITDA. Adjusted EBITDA Margin represents Adjusted EBITDA as a percentage of revenues, net. See also “Non-GAAP Financial Measures.”</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b w:val="1"/>
          <w:bCs w:val="1"/>
          <w:color w:val="auto"/>
        </w:rPr>
        <w:t xml:space="preserve">Restaurant-Level Adjusted EBITDA and Restaurant-Level Adjusted EBITDA Margin - </w:t>
      </w:r>
      <w:r>
        <w:rPr>
          <w:rFonts w:ascii="Arial" w:cs="Arial" w:eastAsia="Arial" w:hAnsi="Arial"/>
          <w:sz w:val="12"/>
          <w:szCs w:val="12"/>
          <w:color w:val="auto"/>
        </w:rPr>
        <w:t>Restaurant-Level Adjusted EBITDA is defined as revenue, less restaurant operating expenses, which include food,</w:t>
      </w:r>
      <w:r>
        <w:rPr>
          <w:rFonts w:ascii="Arial" w:cs="Arial" w:eastAsia="Arial" w:hAnsi="Arial"/>
          <w:sz w:val="12"/>
          <w:szCs w:val="12"/>
          <w:b w:val="1"/>
          <w:bCs w:val="1"/>
          <w:color w:val="auto"/>
        </w:rPr>
        <w:t xml:space="preserve"> </w:t>
      </w:r>
      <w:r>
        <w:rPr>
          <w:rFonts w:ascii="Arial" w:cs="Arial" w:eastAsia="Arial" w:hAnsi="Arial"/>
          <w:sz w:val="12"/>
          <w:szCs w:val="12"/>
          <w:color w:val="auto"/>
        </w:rPr>
        <w:t>beverage and packaging costs,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revenues, net. See also “Non-GAAP Financial Measures.”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For more information about the Company’s Non-GAAP measures, how they are calculated and reconciled and why management believes that they are useful, see “Non-GAAP Financial Measures” below.</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D22630"/>
        </w:rPr>
        <w:t>Earnings Conference Call</w:t>
      </w:r>
    </w:p>
    <w:p>
      <w:pPr>
        <w:spacing w:after="0" w:line="167"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The Company will host a conference call to discuss its financial results for the first quarter ended on Tuesday, May 5, 2026, at 10:00 AM ET. The conference call can be accessed live over the phone by dialing 877-407-3982. A telephone replay will be available shortly after the call has concluded and can be accessed by dialing 844-512-2921, and using passcode #13748480. The webcast replay will be available at investors.portillos.com shortly after the call has concluded.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0"/>
          </w:cols>
          <w:pgMar w:left="300" w:top="881" w:right="29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D22630"/>
        </w:rPr>
        <w:t>About Portillo’s</w:t>
      </w:r>
    </w:p>
    <w:p>
      <w:pPr>
        <w:spacing w:after="0" w:line="176" w:lineRule="exact"/>
        <w:rPr>
          <w:sz w:val="20"/>
          <w:szCs w:val="20"/>
          <w:color w:val="auto"/>
        </w:rPr>
      </w:pPr>
    </w:p>
    <w:p>
      <w:pPr>
        <w:ind w:right="180"/>
        <w:spacing w:after="0" w:line="262" w:lineRule="auto"/>
        <w:rPr>
          <w:sz w:val="20"/>
          <w:szCs w:val="20"/>
          <w:color w:val="auto"/>
        </w:rPr>
      </w:pPr>
      <w:r>
        <w:rPr>
          <w:rFonts w:ascii="Arial" w:cs="Arial" w:eastAsia="Arial" w:hAnsi="Arial"/>
          <w:sz w:val="12"/>
          <w:szCs w:val="12"/>
          <w:color w:val="auto"/>
        </w:rPr>
        <w:t>Portillo’s (NASDAQ: PTLO) is a one-of-a-kind brand that has grown from a small hot dog trailer in Chicago to more than 100 restaurants across 11 states. Known for its unique menu of craveable Italian beef sandwiches, Chicago-style hot dogs, char-grilled burgers, fresh salads and iconic chocolate cake, Portillo’s is beloved in both its home of Chicagoland and across new and growing markets. Portillo’s operates a company-owned model of not just restaurants – but experience-focused destinations that blend dine-in, drive-thru, takeout and delivery to serve our guests with the food they crave. And now, after six decades of success and counting, Portillo’s is on a mission to bring its iconic food and unforgettable dining experience to guests across the country.</w:t>
      </w:r>
    </w:p>
    <w:p>
      <w:pPr>
        <w:spacing w:after="0" w:line="135"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Guests can join Portillo’s Perks, the brand’s loyalty program, at Portillos.com/perks to earn and redeem delicious rewards. Every visit brings fans closer to exclusive perks, badges and surprise offers. Fans can also download the Portillo’s App for iOS or Android or visit Portillo’s website to order ahead for pickup or delivery and get the best dill on these bun-believably delicious Chicago-style favorites and more. Plus, Portillo’s ships its craveworthy food to all 50 states via its website.</w:t>
      </w: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0"/>
          </w:cols>
          <w:pgMar w:left="300" w:top="881" w:right="299"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D22630"/>
        </w:rPr>
        <w:t>Cautionary Note Regarding Forward-Looking Statements</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("PSLRA"). All statements other than statements of historical fact are forward-looking statements. Forward-looking statements discuss our current expectations and projections relating to our financial position, results of operations, plans, objectives, future performance and business, and are based on currently available operating, financial and competitive information which are subject to various risks and uncertainties, so you should not place undue reliance on forward-looking statements. You can identify forward-looking statements by the fact that they do not relate strictly to historical or current facts. These statements may include words such as "aim," "anticipate," "believe," "commit," "estimate," "expect," "forecast," "outlook," "potential," "project," "projection," "plan," "intend," "seek," "may," "could," "would," "will," "should," "can," "can have," "likely," the negatives thereof and other similar expressions.</w:t>
      </w:r>
    </w:p>
    <w:p>
      <w:pPr>
        <w:spacing w:after="0" w:line="137"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135" w:lineRule="exact"/>
        <w:rPr>
          <w:sz w:val="20"/>
          <w:szCs w:val="20"/>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risks related to or arising from our organizational structure;</w:t>
      </w:r>
    </w:p>
    <w:p>
      <w:pPr>
        <w:spacing w:after="0" w:line="18" w:lineRule="exact"/>
        <w:rPr>
          <w:rFonts w:ascii="Arial" w:cs="Arial" w:eastAsia="Arial" w:hAnsi="Arial"/>
          <w:sz w:val="12"/>
          <w:szCs w:val="12"/>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risks of food-borne illness and food safety and other health concerns about our food;</w:t>
      </w:r>
    </w:p>
    <w:p>
      <w:pPr>
        <w:spacing w:after="0" w:line="6" w:lineRule="exact"/>
        <w:rPr>
          <w:rFonts w:ascii="Arial" w:cs="Arial" w:eastAsia="Arial" w:hAnsi="Arial"/>
          <w:sz w:val="12"/>
          <w:szCs w:val="12"/>
          <w:color w:val="auto"/>
        </w:rPr>
      </w:pPr>
    </w:p>
    <w:p>
      <w:pPr>
        <w:ind w:left="420" w:right="260" w:hanging="212"/>
        <w:spacing w:after="0" w:line="250" w:lineRule="auto"/>
        <w:tabs>
          <w:tab w:leader="none" w:pos="426" w:val="left"/>
        </w:tabs>
        <w:numPr>
          <w:ilvl w:val="0"/>
          <w:numId w:val="3"/>
        </w:numPr>
        <w:rPr>
          <w:rFonts w:ascii="Arial" w:cs="Arial" w:eastAsia="Arial" w:hAnsi="Arial"/>
          <w:sz w:val="12"/>
          <w:szCs w:val="12"/>
          <w:color w:val="auto"/>
        </w:rPr>
      </w:pPr>
      <w:r>
        <w:rPr>
          <w:rFonts w:ascii="Arial" w:cs="Arial" w:eastAsia="Arial" w:hAnsi="Arial"/>
          <w:sz w:val="12"/>
          <w:szCs w:val="12"/>
          <w:color w:val="auto"/>
        </w:rPr>
        <w:t>risks relating to the economy and financial markets, including in relation to trade and tax policy changes and other macroeconomic uncertainty, including, inflation, fluctuating interest rates, stock market volatility, recession concerns, and other factors;</w:t>
      </w: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risks associated with onboarding new members of management, including the Chief Executive Officer;</w:t>
      </w:r>
    </w:p>
    <w:p>
      <w:pPr>
        <w:spacing w:after="0" w:line="6" w:lineRule="exact"/>
        <w:rPr>
          <w:rFonts w:ascii="Arial" w:cs="Arial" w:eastAsia="Arial" w:hAnsi="Arial"/>
          <w:sz w:val="12"/>
          <w:szCs w:val="12"/>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unionization activities of our Team Members on our reputation, operations and profitability;</w:t>
      </w:r>
    </w:p>
    <w:p>
      <w:pPr>
        <w:spacing w:after="0" w:line="6" w:lineRule="exact"/>
        <w:rPr>
          <w:rFonts w:ascii="Arial" w:cs="Arial" w:eastAsia="Arial" w:hAnsi="Arial"/>
          <w:sz w:val="12"/>
          <w:szCs w:val="12"/>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risks associated with our reliance on certain information technology systems, and potential failures or interruptions;</w:t>
      </w:r>
    </w:p>
    <w:p>
      <w:pPr>
        <w:spacing w:after="0" w:line="6" w:lineRule="exact"/>
        <w:rPr>
          <w:rFonts w:ascii="Arial" w:cs="Arial" w:eastAsia="Arial" w:hAnsi="Arial"/>
          <w:sz w:val="12"/>
          <w:szCs w:val="12"/>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risks associated with data, privacy, cyber security and the use and implementation of information technology systems, including our digital ordering and payment platforms for our delivery business;</w:t>
      </w:r>
    </w:p>
    <w:p>
      <w:pPr>
        <w:spacing w:after="0" w:line="6" w:lineRule="exact"/>
        <w:rPr>
          <w:rFonts w:ascii="Arial" w:cs="Arial" w:eastAsia="Arial" w:hAnsi="Arial"/>
          <w:sz w:val="12"/>
          <w:szCs w:val="12"/>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risks associated with increased adoption, implementation and use of artificial intelligence technologies across our business;</w:t>
      </w:r>
    </w:p>
    <w:p>
      <w:pPr>
        <w:spacing w:after="0" w:line="6" w:lineRule="exact"/>
        <w:rPr>
          <w:rFonts w:ascii="Arial" w:cs="Arial" w:eastAsia="Arial" w:hAnsi="Arial"/>
          <w:sz w:val="12"/>
          <w:szCs w:val="12"/>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competition, including from our competitors in the restaurant industry or our own restaurants;</w:t>
      </w:r>
    </w:p>
    <w:p>
      <w:pPr>
        <w:spacing w:after="0" w:line="6" w:lineRule="exact"/>
        <w:rPr>
          <w:rFonts w:ascii="Arial" w:cs="Arial" w:eastAsia="Arial" w:hAnsi="Arial"/>
          <w:sz w:val="12"/>
          <w:szCs w:val="12"/>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increasingly competitive labor market and our ability to attract and retain the best talent and qualified employees;</w:t>
      </w:r>
    </w:p>
    <w:p>
      <w:pPr>
        <w:spacing w:after="0" w:line="6" w:lineRule="exact"/>
        <w:rPr>
          <w:rFonts w:ascii="Arial" w:cs="Arial" w:eastAsia="Arial" w:hAnsi="Arial"/>
          <w:sz w:val="12"/>
          <w:szCs w:val="12"/>
          <w:color w:val="auto"/>
        </w:rPr>
      </w:pPr>
    </w:p>
    <w:p>
      <w:pPr>
        <w:ind w:left="420" w:right="60" w:hanging="212"/>
        <w:spacing w:after="0" w:line="250" w:lineRule="auto"/>
        <w:tabs>
          <w:tab w:leader="none" w:pos="426"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federal, state or local government regulations relating to privacy, data protection, advertising and consumer protection, building and zoning requirements, labor and employment matters, costs of or ability to open new restaurants, or the sale of food and alcoholic beverages;</w:t>
      </w:r>
    </w:p>
    <w:p>
      <w:pPr>
        <w:ind w:left="420" w:right="420" w:hanging="212"/>
        <w:spacing w:after="0" w:line="250" w:lineRule="auto"/>
        <w:tabs>
          <w:tab w:leader="none" w:pos="426" w:val="left"/>
        </w:tabs>
        <w:numPr>
          <w:ilvl w:val="0"/>
          <w:numId w:val="3"/>
        </w:numPr>
        <w:rPr>
          <w:rFonts w:ascii="Arial" w:cs="Arial" w:eastAsia="Arial" w:hAnsi="Arial"/>
          <w:sz w:val="12"/>
          <w:szCs w:val="12"/>
          <w:color w:val="auto"/>
        </w:rPr>
      </w:pPr>
      <w:r>
        <w:rPr>
          <w:rFonts w:ascii="Arial" w:cs="Arial" w:eastAsia="Arial" w:hAnsi="Arial"/>
          <w:sz w:val="12"/>
          <w:szCs w:val="12"/>
          <w:color w:val="auto"/>
        </w:rPr>
        <w:t>inability to achieve our growth strategy, including as a result of, among other things, the availability of suitable new restaurant sites in existing and new markets and opening of new restaurants at the anticipated rate and on the anticipated timeline;</w:t>
      </w: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consumer sentiment and other economic factors on our sales;</w:t>
      </w:r>
    </w:p>
    <w:p>
      <w:pPr>
        <w:spacing w:after="0" w:line="6" w:lineRule="exact"/>
        <w:rPr>
          <w:rFonts w:ascii="Arial" w:cs="Arial" w:eastAsia="Arial" w:hAnsi="Arial"/>
          <w:sz w:val="12"/>
          <w:szCs w:val="12"/>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fluctuation in food and other operating costs, tariffs and import taxes, and supply shortages; and</w:t>
      </w:r>
    </w:p>
    <w:p>
      <w:pPr>
        <w:spacing w:after="0" w:line="6" w:lineRule="exact"/>
        <w:rPr>
          <w:rFonts w:ascii="Arial" w:cs="Arial" w:eastAsia="Arial" w:hAnsi="Arial"/>
          <w:sz w:val="12"/>
          <w:szCs w:val="12"/>
          <w:color w:val="auto"/>
        </w:rPr>
      </w:pPr>
    </w:p>
    <w:p>
      <w:pPr>
        <w:ind w:left="440" w:hanging="232"/>
        <w:spacing w:after="0"/>
        <w:tabs>
          <w:tab w:leader="none" w:pos="4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other risks identified in our filings with the Securities and Exchange Commission (the “SEC”).</w:t>
      </w:r>
    </w:p>
    <w:p>
      <w:pPr>
        <w:spacing w:after="0" w:line="156"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All forward-looking statements are expressly qualified in their entirety by these cautionary statements. You should evaluate all forward-looking statements made in this press release in the context of the risks and uncertainties disclosed in the Company’s most recent Annual Report on Form 10-K, filed with the SEC. All of the Company’s SEC filings are available on the SEC’s website at www.sec.gov. The forward-looking statements included in this press release are made only as of the date hereof. The Company undertakes no obligation to publicly update or revise any forward-looking statement as a result of new information, future events or otherwise, except as otherwise required by law.</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Contact: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Chris Brandon, Vice President of 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312.931.5578</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cbrandon@portillos.com</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Contact: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Sara Wirth, Director of Communications &amp; PR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press@portillos.com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881" w:right="2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3"/>
          <w:szCs w:val="13"/>
          <w:b w:val="1"/>
          <w:bCs w:val="1"/>
          <w:color w:val="auto"/>
        </w:rPr>
        <w:t>PORTILLO’S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(in thousands, except common share and per common share data)</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60" w:type="dxa"/>
            <w:vAlign w:val="bottom"/>
            <w:gridSpan w:val="3"/>
            <w:vMerge w:val="restart"/>
          </w:tcPr>
          <w:p>
            <w:pPr>
              <w:ind w:left="700"/>
              <w:spacing w:after="0"/>
              <w:rPr>
                <w:sz w:val="20"/>
                <w:szCs w:val="20"/>
                <w:color w:val="auto"/>
              </w:rPr>
            </w:pPr>
            <w:r>
              <w:rPr>
                <w:rFonts w:ascii="Arial" w:cs="Arial" w:eastAsia="Arial" w:hAnsi="Arial"/>
                <w:sz w:val="11"/>
                <w:szCs w:val="11"/>
                <w:b w:val="1"/>
                <w:bCs w:val="1"/>
                <w:color w:val="auto"/>
              </w:rPr>
              <w:t>March 29, 2026</w:t>
            </w:r>
          </w:p>
        </w:tc>
        <w:tc>
          <w:tcPr>
            <w:tcW w:w="1520" w:type="dxa"/>
            <w:vAlign w:val="bottom"/>
            <w:gridSpan w:val="3"/>
          </w:tcPr>
          <w:p>
            <w:pPr>
              <w:jc w:val="right"/>
              <w:ind w:right="251"/>
              <w:spacing w:after="0"/>
              <w:rPr>
                <w:sz w:val="20"/>
                <w:szCs w:val="20"/>
                <w:color w:val="auto"/>
              </w:rPr>
            </w:pPr>
            <w:r>
              <w:rPr>
                <w:rFonts w:ascii="Arial" w:cs="Arial" w:eastAsia="Arial" w:hAnsi="Arial"/>
                <w:sz w:val="11"/>
                <w:szCs w:val="11"/>
                <w:b w:val="1"/>
                <w:bCs w:val="1"/>
                <w:color w:val="auto"/>
              </w:rPr>
              <w:t>Quarter Ended</w:t>
            </w:r>
          </w:p>
        </w:tc>
        <w:tc>
          <w:tcPr>
            <w:tcW w:w="1740" w:type="dxa"/>
            <w:vAlign w:val="bottom"/>
            <w:gridSpan w:val="3"/>
            <w:vMerge w:val="restart"/>
          </w:tcPr>
          <w:p>
            <w:pPr>
              <w:ind w:left="580"/>
              <w:spacing w:after="0"/>
              <w:rPr>
                <w:sz w:val="20"/>
                <w:szCs w:val="20"/>
                <w:color w:val="auto"/>
              </w:rPr>
            </w:pPr>
            <w:r>
              <w:rPr>
                <w:rFonts w:ascii="Arial" w:cs="Arial" w:eastAsia="Arial" w:hAnsi="Arial"/>
                <w:sz w:val="11"/>
                <w:szCs w:val="11"/>
                <w:b w:val="1"/>
                <w:bCs w:val="1"/>
                <w:color w:val="auto"/>
              </w:rPr>
              <w:t>March 30, 2025</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880" w:type="dxa"/>
            <w:vAlign w:val="bottom"/>
            <w:tcBorders>
              <w:bottom w:val="single" w:sz="8" w:color="DBDBDB"/>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DBDBDB"/>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880" w:type="dxa"/>
            <w:vAlign w:val="bottom"/>
            <w:shd w:val="clear" w:color="auto" w:fill="DBDBDB"/>
          </w:tcPr>
          <w:p>
            <w:pPr>
              <w:spacing w:after="0"/>
              <w:rPr>
                <w:sz w:val="13"/>
                <w:szCs w:val="13"/>
                <w:color w:val="auto"/>
              </w:rPr>
            </w:pPr>
          </w:p>
        </w:tc>
        <w:tc>
          <w:tcPr>
            <w:tcW w:w="5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62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80" w:type="dxa"/>
            <w:vAlign w:val="bottom"/>
          </w:tcPr>
          <w:p>
            <w:pPr>
              <w:spacing w:after="0"/>
              <w:rPr>
                <w:sz w:val="20"/>
                <w:szCs w:val="20"/>
                <w:color w:val="auto"/>
              </w:rPr>
            </w:pPr>
            <w:r>
              <w:rPr>
                <w:rFonts w:ascii="Arial" w:cs="Arial" w:eastAsia="Arial" w:hAnsi="Arial"/>
                <w:sz w:val="11"/>
                <w:szCs w:val="11"/>
                <w:b w:val="1"/>
                <w:bCs w:val="1"/>
                <w:color w:val="auto"/>
              </w:rPr>
              <w:t>REVENUES, NET</w:t>
            </w:r>
          </w:p>
        </w:tc>
        <w:tc>
          <w:tcPr>
            <w:tcW w:w="500" w:type="dxa"/>
            <w:vAlign w:val="bottom"/>
          </w:tcPr>
          <w:p>
            <w:pPr>
              <w:jc w:val="right"/>
              <w:ind w:right="366"/>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182,623</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100.0 %</w:t>
            </w:r>
          </w:p>
        </w:tc>
        <w:tc>
          <w:tcPr>
            <w:tcW w:w="100" w:type="dxa"/>
            <w:vAlign w:val="bottom"/>
          </w:tcPr>
          <w:p>
            <w:pPr>
              <w:spacing w:after="0"/>
              <w:rPr>
                <w:sz w:val="12"/>
                <w:szCs w:val="12"/>
                <w:color w:val="auto"/>
              </w:rPr>
            </w:pPr>
          </w:p>
        </w:tc>
        <w:tc>
          <w:tcPr>
            <w:tcW w:w="620" w:type="dxa"/>
            <w:vAlign w:val="bottom"/>
          </w:tcPr>
          <w:p>
            <w:pPr>
              <w:jc w:val="right"/>
              <w:ind w:right="5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176,437</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100.0 %</w:t>
            </w:r>
          </w:p>
        </w:tc>
        <w:tc>
          <w:tcPr>
            <w:tcW w:w="0" w:type="dxa"/>
            <w:vAlign w:val="bottom"/>
          </w:tcPr>
          <w:p>
            <w:pPr>
              <w:spacing w:after="0"/>
              <w:rPr>
                <w:sz w:val="1"/>
                <w:szCs w:val="1"/>
                <w:color w:val="auto"/>
              </w:rPr>
            </w:pPr>
          </w:p>
        </w:tc>
      </w:tr>
      <w:tr>
        <w:trPr>
          <w:trHeight w:val="171"/>
        </w:trPr>
        <w:tc>
          <w:tcPr>
            <w:tcW w:w="488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76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88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80" w:type="dxa"/>
            <w:vAlign w:val="bottom"/>
          </w:tcPr>
          <w:p>
            <w:pPr>
              <w:spacing w:after="0"/>
              <w:rPr>
                <w:sz w:val="20"/>
                <w:szCs w:val="20"/>
                <w:color w:val="auto"/>
              </w:rPr>
            </w:pPr>
            <w:r>
              <w:rPr>
                <w:rFonts w:ascii="Arial" w:cs="Arial" w:eastAsia="Arial" w:hAnsi="Arial"/>
                <w:sz w:val="11"/>
                <w:szCs w:val="11"/>
                <w:b w:val="1"/>
                <w:bCs w:val="1"/>
                <w:color w:val="auto"/>
              </w:rPr>
              <w:t>COST AND EXPENSES:</w:t>
            </w: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80" w:type="dxa"/>
            <w:vAlign w:val="bottom"/>
            <w:shd w:val="clear" w:color="auto" w:fill="DBDBDB"/>
          </w:tcPr>
          <w:p>
            <w:pPr>
              <w:ind w:left="80"/>
              <w:spacing w:after="0"/>
              <w:rPr>
                <w:sz w:val="20"/>
                <w:szCs w:val="20"/>
                <w:color w:val="auto"/>
              </w:rPr>
            </w:pPr>
            <w:r>
              <w:rPr>
                <w:rFonts w:ascii="Arial" w:cs="Arial" w:eastAsia="Arial" w:hAnsi="Arial"/>
                <w:sz w:val="11"/>
                <w:szCs w:val="11"/>
                <w:color w:val="auto"/>
              </w:rPr>
              <w:t>Restaurant operating expenses:</w:t>
            </w:r>
          </w:p>
        </w:tc>
        <w:tc>
          <w:tcPr>
            <w:tcW w:w="5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80" w:type="dxa"/>
            <w:vAlign w:val="bottom"/>
          </w:tcPr>
          <w:p>
            <w:pPr>
              <w:ind w:left="140"/>
              <w:spacing w:after="0"/>
              <w:rPr>
                <w:sz w:val="20"/>
                <w:szCs w:val="20"/>
                <w:color w:val="auto"/>
              </w:rPr>
            </w:pPr>
            <w:r>
              <w:rPr>
                <w:rFonts w:ascii="Arial" w:cs="Arial" w:eastAsia="Arial" w:hAnsi="Arial"/>
                <w:sz w:val="11"/>
                <w:szCs w:val="11"/>
                <w:color w:val="auto"/>
              </w:rPr>
              <w:t>Food, beverage and packaging costs</w:t>
            </w:r>
          </w:p>
        </w:tc>
        <w:tc>
          <w:tcPr>
            <w:tcW w:w="5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63,285</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34.7 %</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61,102</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34.6 %</w:t>
            </w:r>
          </w:p>
        </w:tc>
        <w:tc>
          <w:tcPr>
            <w:tcW w:w="0" w:type="dxa"/>
            <w:vAlign w:val="bottom"/>
          </w:tcPr>
          <w:p>
            <w:pPr>
              <w:spacing w:after="0"/>
              <w:rPr>
                <w:sz w:val="1"/>
                <w:szCs w:val="1"/>
                <w:color w:val="auto"/>
              </w:rPr>
            </w:pPr>
          </w:p>
        </w:tc>
      </w:tr>
      <w:tr>
        <w:trPr>
          <w:trHeight w:val="145"/>
        </w:trPr>
        <w:tc>
          <w:tcPr>
            <w:tcW w:w="48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Labor</w:t>
            </w:r>
          </w:p>
        </w:tc>
        <w:tc>
          <w:tcPr>
            <w:tcW w:w="5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49,195</w:t>
            </w:r>
          </w:p>
        </w:tc>
        <w:tc>
          <w:tcPr>
            <w:tcW w:w="10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26.9 %</w:t>
            </w:r>
          </w:p>
        </w:tc>
        <w:tc>
          <w:tcPr>
            <w:tcW w:w="1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46,868</w:t>
            </w:r>
          </w:p>
        </w:tc>
        <w:tc>
          <w:tcPr>
            <w:tcW w:w="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26.6 %</w:t>
            </w:r>
          </w:p>
        </w:tc>
        <w:tc>
          <w:tcPr>
            <w:tcW w:w="0" w:type="dxa"/>
            <w:vAlign w:val="bottom"/>
          </w:tcPr>
          <w:p>
            <w:pPr>
              <w:spacing w:after="0"/>
              <w:rPr>
                <w:sz w:val="1"/>
                <w:szCs w:val="1"/>
                <w:color w:val="auto"/>
              </w:rPr>
            </w:pPr>
          </w:p>
        </w:tc>
      </w:tr>
      <w:tr>
        <w:trPr>
          <w:trHeight w:val="143"/>
        </w:trPr>
        <w:tc>
          <w:tcPr>
            <w:tcW w:w="4880" w:type="dxa"/>
            <w:vAlign w:val="bottom"/>
          </w:tcPr>
          <w:p>
            <w:pPr>
              <w:ind w:left="140"/>
              <w:spacing w:after="0"/>
              <w:rPr>
                <w:sz w:val="20"/>
                <w:szCs w:val="20"/>
                <w:color w:val="auto"/>
              </w:rPr>
            </w:pPr>
            <w:r>
              <w:rPr>
                <w:rFonts w:ascii="Arial" w:cs="Arial" w:eastAsia="Arial" w:hAnsi="Arial"/>
                <w:sz w:val="11"/>
                <w:szCs w:val="11"/>
                <w:color w:val="auto"/>
              </w:rPr>
              <w:t>Occupancy</w:t>
            </w:r>
          </w:p>
        </w:tc>
        <w:tc>
          <w:tcPr>
            <w:tcW w:w="5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11,184</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6.1 %</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10,021</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5.7 %</w:t>
            </w:r>
          </w:p>
        </w:tc>
        <w:tc>
          <w:tcPr>
            <w:tcW w:w="0" w:type="dxa"/>
            <w:vAlign w:val="bottom"/>
          </w:tcPr>
          <w:p>
            <w:pPr>
              <w:spacing w:after="0"/>
              <w:rPr>
                <w:sz w:val="1"/>
                <w:szCs w:val="1"/>
                <w:color w:val="auto"/>
              </w:rPr>
            </w:pPr>
          </w:p>
        </w:tc>
      </w:tr>
      <w:tr>
        <w:trPr>
          <w:trHeight w:val="144"/>
        </w:trPr>
        <w:tc>
          <w:tcPr>
            <w:tcW w:w="488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1"/>
                <w:szCs w:val="11"/>
                <w:color w:val="auto"/>
              </w:rPr>
              <w:t>Other operating expenses</w:t>
            </w:r>
          </w:p>
        </w:tc>
        <w:tc>
          <w:tcPr>
            <w:tcW w:w="500" w:type="dxa"/>
            <w:vAlign w:val="bottom"/>
            <w:tcBorders>
              <w:bottom w:val="single" w:sz="8" w:color="auto"/>
            </w:tcBorders>
            <w:shd w:val="clear" w:color="auto" w:fill="DBDBDB"/>
          </w:tcPr>
          <w:p>
            <w:pPr>
              <w:spacing w:after="0"/>
              <w:rPr>
                <w:sz w:val="12"/>
                <w:szCs w:val="12"/>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24,115</w:t>
            </w:r>
          </w:p>
        </w:tc>
        <w:tc>
          <w:tcPr>
            <w:tcW w:w="100" w:type="dxa"/>
            <w:vAlign w:val="bottom"/>
            <w:shd w:val="clear" w:color="auto" w:fill="DBDBDB"/>
          </w:tcPr>
          <w:p>
            <w:pPr>
              <w:spacing w:after="0"/>
              <w:rPr>
                <w:sz w:val="12"/>
                <w:szCs w:val="12"/>
                <w:color w:val="auto"/>
              </w:rPr>
            </w:pPr>
          </w:p>
        </w:tc>
        <w:tc>
          <w:tcPr>
            <w:tcW w:w="760" w:type="dxa"/>
            <w:vAlign w:val="bottom"/>
            <w:tcBorders>
              <w:bottom w:val="single" w:sz="8" w:color="auto"/>
            </w:tcBorders>
            <w:shd w:val="clear" w:color="auto" w:fill="DBDBDB"/>
          </w:tcPr>
          <w:p>
            <w:pPr>
              <w:spacing w:after="0"/>
              <w:rPr>
                <w:sz w:val="12"/>
                <w:szCs w:val="12"/>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13.2 %</w:t>
            </w:r>
          </w:p>
        </w:tc>
        <w:tc>
          <w:tcPr>
            <w:tcW w:w="100" w:type="dxa"/>
            <w:vAlign w:val="bottom"/>
            <w:shd w:val="clear" w:color="auto" w:fill="DBDBDB"/>
          </w:tcPr>
          <w:p>
            <w:pPr>
              <w:spacing w:after="0"/>
              <w:rPr>
                <w:sz w:val="12"/>
                <w:szCs w:val="12"/>
                <w:color w:val="auto"/>
              </w:rPr>
            </w:pPr>
          </w:p>
        </w:tc>
        <w:tc>
          <w:tcPr>
            <w:tcW w:w="620" w:type="dxa"/>
            <w:vAlign w:val="bottom"/>
            <w:tcBorders>
              <w:bottom w:val="single" w:sz="8" w:color="auto"/>
            </w:tcBorders>
            <w:shd w:val="clear" w:color="auto" w:fill="DBDBDB"/>
          </w:tcPr>
          <w:p>
            <w:pPr>
              <w:spacing w:after="0"/>
              <w:rPr>
                <w:sz w:val="12"/>
                <w:szCs w:val="12"/>
                <w:color w:val="auto"/>
              </w:rPr>
            </w:pPr>
          </w:p>
        </w:tc>
        <w:tc>
          <w:tcPr>
            <w:tcW w:w="8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21,790</w:t>
            </w:r>
          </w:p>
        </w:tc>
        <w:tc>
          <w:tcPr>
            <w:tcW w:w="80" w:type="dxa"/>
            <w:vAlign w:val="bottom"/>
            <w:shd w:val="clear" w:color="auto" w:fill="DBDBDB"/>
          </w:tcPr>
          <w:p>
            <w:pPr>
              <w:spacing w:after="0"/>
              <w:rPr>
                <w:sz w:val="12"/>
                <w:szCs w:val="12"/>
                <w:color w:val="auto"/>
              </w:rPr>
            </w:pPr>
          </w:p>
        </w:tc>
        <w:tc>
          <w:tcPr>
            <w:tcW w:w="780" w:type="dxa"/>
            <w:vAlign w:val="bottom"/>
            <w:tcBorders>
              <w:bottom w:val="single" w:sz="8" w:color="auto"/>
            </w:tcBorders>
            <w:shd w:val="clear" w:color="auto" w:fill="DBDBDB"/>
          </w:tcPr>
          <w:p>
            <w:pPr>
              <w:spacing w:after="0"/>
              <w:rPr>
                <w:sz w:val="12"/>
                <w:szCs w:val="12"/>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12.4 %</w:t>
            </w:r>
          </w:p>
        </w:tc>
        <w:tc>
          <w:tcPr>
            <w:tcW w:w="0" w:type="dxa"/>
            <w:vAlign w:val="bottom"/>
          </w:tcPr>
          <w:p>
            <w:pPr>
              <w:spacing w:after="0"/>
              <w:rPr>
                <w:sz w:val="1"/>
                <w:szCs w:val="1"/>
                <w:color w:val="auto"/>
              </w:rPr>
            </w:pPr>
          </w:p>
        </w:tc>
      </w:tr>
      <w:tr>
        <w:trPr>
          <w:trHeight w:val="134"/>
        </w:trPr>
        <w:tc>
          <w:tcPr>
            <w:tcW w:w="4880" w:type="dxa"/>
            <w:vAlign w:val="bottom"/>
          </w:tcPr>
          <w:p>
            <w:pPr>
              <w:ind w:left="300"/>
              <w:spacing w:after="0"/>
              <w:rPr>
                <w:sz w:val="20"/>
                <w:szCs w:val="20"/>
                <w:color w:val="auto"/>
              </w:rPr>
            </w:pPr>
            <w:r>
              <w:rPr>
                <w:rFonts w:ascii="Arial" w:cs="Arial" w:eastAsia="Arial" w:hAnsi="Arial"/>
                <w:sz w:val="11"/>
                <w:szCs w:val="11"/>
                <w:b w:val="1"/>
                <w:bCs w:val="1"/>
                <w:color w:val="auto"/>
              </w:rPr>
              <w:t>Total restaurant operating expenses</w:t>
            </w:r>
          </w:p>
        </w:tc>
        <w:tc>
          <w:tcPr>
            <w:tcW w:w="5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147,779</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80.9 %</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139,781</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79.2 %</w:t>
            </w:r>
          </w:p>
        </w:tc>
        <w:tc>
          <w:tcPr>
            <w:tcW w:w="0" w:type="dxa"/>
            <w:vAlign w:val="bottom"/>
          </w:tcPr>
          <w:p>
            <w:pPr>
              <w:spacing w:after="0"/>
              <w:rPr>
                <w:sz w:val="1"/>
                <w:szCs w:val="1"/>
                <w:color w:val="auto"/>
              </w:rPr>
            </w:pPr>
          </w:p>
        </w:tc>
      </w:tr>
      <w:tr>
        <w:trPr>
          <w:trHeight w:val="99"/>
        </w:trPr>
        <w:tc>
          <w:tcPr>
            <w:tcW w:w="4880" w:type="dxa"/>
            <w:vAlign w:val="bottom"/>
            <w:shd w:val="clear" w:color="auto" w:fill="DBDBDB"/>
          </w:tcPr>
          <w:p>
            <w:pPr>
              <w:spacing w:after="0"/>
              <w:rPr>
                <w:sz w:val="8"/>
                <w:szCs w:val="8"/>
                <w:color w:val="auto"/>
              </w:rPr>
            </w:pPr>
          </w:p>
        </w:tc>
        <w:tc>
          <w:tcPr>
            <w:tcW w:w="500" w:type="dxa"/>
            <w:vAlign w:val="bottom"/>
            <w:shd w:val="clear" w:color="auto" w:fill="DBDBDB"/>
          </w:tcPr>
          <w:p>
            <w:pPr>
              <w:spacing w:after="0"/>
              <w:rPr>
                <w:sz w:val="8"/>
                <w:szCs w:val="8"/>
                <w:color w:val="auto"/>
              </w:rPr>
            </w:pPr>
          </w:p>
        </w:tc>
        <w:tc>
          <w:tcPr>
            <w:tcW w:w="100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760" w:type="dxa"/>
            <w:vAlign w:val="bottom"/>
            <w:shd w:val="clear" w:color="auto" w:fill="DBDBDB"/>
          </w:tcPr>
          <w:p>
            <w:pPr>
              <w:spacing w:after="0"/>
              <w:rPr>
                <w:sz w:val="8"/>
                <w:szCs w:val="8"/>
                <w:color w:val="auto"/>
              </w:rPr>
            </w:pPr>
          </w:p>
        </w:tc>
        <w:tc>
          <w:tcPr>
            <w:tcW w:w="80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620" w:type="dxa"/>
            <w:vAlign w:val="bottom"/>
            <w:shd w:val="clear" w:color="auto" w:fill="DBDBDB"/>
          </w:tcPr>
          <w:p>
            <w:pPr>
              <w:spacing w:after="0"/>
              <w:rPr>
                <w:sz w:val="8"/>
                <w:szCs w:val="8"/>
                <w:color w:val="auto"/>
              </w:rPr>
            </w:pPr>
          </w:p>
        </w:tc>
        <w:tc>
          <w:tcPr>
            <w:tcW w:w="880" w:type="dxa"/>
            <w:vAlign w:val="bottom"/>
            <w:shd w:val="clear" w:color="auto" w:fill="DBDBDB"/>
          </w:tcPr>
          <w:p>
            <w:pPr>
              <w:spacing w:after="0"/>
              <w:rPr>
                <w:sz w:val="8"/>
                <w:szCs w:val="8"/>
                <w:color w:val="auto"/>
              </w:rPr>
            </w:pPr>
          </w:p>
        </w:tc>
        <w:tc>
          <w:tcPr>
            <w:tcW w:w="80" w:type="dxa"/>
            <w:vAlign w:val="bottom"/>
            <w:shd w:val="clear" w:color="auto" w:fill="DBDBDB"/>
          </w:tcPr>
          <w:p>
            <w:pPr>
              <w:spacing w:after="0"/>
              <w:rPr>
                <w:sz w:val="8"/>
                <w:szCs w:val="8"/>
                <w:color w:val="auto"/>
              </w:rPr>
            </w:pPr>
          </w:p>
        </w:tc>
        <w:tc>
          <w:tcPr>
            <w:tcW w:w="780" w:type="dxa"/>
            <w:vAlign w:val="bottom"/>
            <w:shd w:val="clear" w:color="auto" w:fill="DBDBDB"/>
          </w:tcPr>
          <w:p>
            <w:pPr>
              <w:spacing w:after="0"/>
              <w:rPr>
                <w:sz w:val="8"/>
                <w:szCs w:val="8"/>
                <w:color w:val="auto"/>
              </w:rPr>
            </w:pPr>
          </w:p>
        </w:tc>
        <w:tc>
          <w:tcPr>
            <w:tcW w:w="800" w:type="dxa"/>
            <w:vAlign w:val="bottom"/>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4880" w:type="dxa"/>
            <w:vAlign w:val="bottom"/>
          </w:tcPr>
          <w:p>
            <w:pPr>
              <w:ind w:left="140"/>
              <w:spacing w:after="0"/>
              <w:rPr>
                <w:sz w:val="20"/>
                <w:szCs w:val="20"/>
                <w:color w:val="auto"/>
              </w:rPr>
            </w:pPr>
            <w:r>
              <w:rPr>
                <w:rFonts w:ascii="Arial" w:cs="Arial" w:eastAsia="Arial" w:hAnsi="Arial"/>
                <w:sz w:val="11"/>
                <w:szCs w:val="11"/>
                <w:color w:val="auto"/>
              </w:rPr>
              <w:t>General and administrative expenses</w:t>
            </w:r>
          </w:p>
        </w:tc>
        <w:tc>
          <w:tcPr>
            <w:tcW w:w="5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20,359</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11.1 %</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18,903</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10.7 %</w:t>
            </w:r>
          </w:p>
        </w:tc>
        <w:tc>
          <w:tcPr>
            <w:tcW w:w="0" w:type="dxa"/>
            <w:vAlign w:val="bottom"/>
          </w:tcPr>
          <w:p>
            <w:pPr>
              <w:spacing w:after="0"/>
              <w:rPr>
                <w:sz w:val="1"/>
                <w:szCs w:val="1"/>
                <w:color w:val="auto"/>
              </w:rPr>
            </w:pPr>
          </w:p>
        </w:tc>
      </w:tr>
      <w:tr>
        <w:trPr>
          <w:trHeight w:val="145"/>
        </w:trPr>
        <w:tc>
          <w:tcPr>
            <w:tcW w:w="48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Pre-opening expenses</w:t>
            </w:r>
          </w:p>
        </w:tc>
        <w:tc>
          <w:tcPr>
            <w:tcW w:w="5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2,550</w:t>
            </w:r>
          </w:p>
        </w:tc>
        <w:tc>
          <w:tcPr>
            <w:tcW w:w="10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1.4 %</w:t>
            </w:r>
          </w:p>
        </w:tc>
        <w:tc>
          <w:tcPr>
            <w:tcW w:w="1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508</w:t>
            </w:r>
          </w:p>
        </w:tc>
        <w:tc>
          <w:tcPr>
            <w:tcW w:w="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0.3 %</w:t>
            </w:r>
          </w:p>
        </w:tc>
        <w:tc>
          <w:tcPr>
            <w:tcW w:w="0" w:type="dxa"/>
            <w:vAlign w:val="bottom"/>
          </w:tcPr>
          <w:p>
            <w:pPr>
              <w:spacing w:after="0"/>
              <w:rPr>
                <w:sz w:val="1"/>
                <w:szCs w:val="1"/>
                <w:color w:val="auto"/>
              </w:rPr>
            </w:pPr>
          </w:p>
        </w:tc>
      </w:tr>
      <w:tr>
        <w:trPr>
          <w:trHeight w:val="143"/>
        </w:trPr>
        <w:tc>
          <w:tcPr>
            <w:tcW w:w="4880" w:type="dxa"/>
            <w:vAlign w:val="bottom"/>
          </w:tcPr>
          <w:p>
            <w:pPr>
              <w:ind w:left="140"/>
              <w:spacing w:after="0"/>
              <w:rPr>
                <w:sz w:val="20"/>
                <w:szCs w:val="20"/>
                <w:color w:val="auto"/>
              </w:rPr>
            </w:pPr>
            <w:r>
              <w:rPr>
                <w:rFonts w:ascii="Arial" w:cs="Arial" w:eastAsia="Arial" w:hAnsi="Arial"/>
                <w:sz w:val="11"/>
                <w:szCs w:val="11"/>
                <w:color w:val="auto"/>
              </w:rPr>
              <w:t>Depreciation and amortization</w:t>
            </w:r>
          </w:p>
        </w:tc>
        <w:tc>
          <w:tcPr>
            <w:tcW w:w="5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7,936</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4.3 %</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7,040</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4.0 %</w:t>
            </w:r>
          </w:p>
        </w:tc>
        <w:tc>
          <w:tcPr>
            <w:tcW w:w="0" w:type="dxa"/>
            <w:vAlign w:val="bottom"/>
          </w:tcPr>
          <w:p>
            <w:pPr>
              <w:spacing w:after="0"/>
              <w:rPr>
                <w:sz w:val="1"/>
                <w:szCs w:val="1"/>
                <w:color w:val="auto"/>
              </w:rPr>
            </w:pPr>
          </w:p>
        </w:tc>
      </w:tr>
      <w:tr>
        <w:trPr>
          <w:trHeight w:val="145"/>
        </w:trPr>
        <w:tc>
          <w:tcPr>
            <w:tcW w:w="48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Net income attributable to equity method investment</w:t>
            </w:r>
          </w:p>
        </w:tc>
        <w:tc>
          <w:tcPr>
            <w:tcW w:w="5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(206)</w:t>
            </w:r>
          </w:p>
        </w:tc>
        <w:tc>
          <w:tcPr>
            <w:tcW w:w="10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(0.1)%</w:t>
            </w:r>
          </w:p>
        </w:tc>
        <w:tc>
          <w:tcPr>
            <w:tcW w:w="1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(164)</w:t>
            </w:r>
          </w:p>
        </w:tc>
        <w:tc>
          <w:tcPr>
            <w:tcW w:w="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43"/>
        </w:trPr>
        <w:tc>
          <w:tcPr>
            <w:tcW w:w="488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Other income, net</w:t>
            </w: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(287)</w:t>
            </w:r>
          </w:p>
        </w:tc>
        <w:tc>
          <w:tcPr>
            <w:tcW w:w="100" w:type="dxa"/>
            <w:vAlign w:val="bottom"/>
            <w:tcBorders>
              <w:bottom w:val="single" w:sz="8" w:color="DBDBDB"/>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100" w:type="dxa"/>
            <w:vAlign w:val="bottom"/>
            <w:tcBorders>
              <w:bottom w:val="single" w:sz="8" w:color="DBDBDB"/>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80" w:type="dxa"/>
            <w:vAlign w:val="bottom"/>
            <w:tcBorders>
              <w:bottom w:val="single" w:sz="8" w:color="DBDBDB"/>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34"/>
        </w:trPr>
        <w:tc>
          <w:tcPr>
            <w:tcW w:w="48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OPERATING INCOME</w:t>
            </w:r>
          </w:p>
        </w:tc>
        <w:tc>
          <w:tcPr>
            <w:tcW w:w="500" w:type="dxa"/>
            <w:vAlign w:val="bottom"/>
            <w:shd w:val="clear" w:color="auto" w:fill="DBDBDB"/>
          </w:tcPr>
          <w:p>
            <w:pPr>
              <w:spacing w:after="0"/>
              <w:rPr>
                <w:sz w:val="11"/>
                <w:szCs w:val="1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4,492</w:t>
            </w:r>
          </w:p>
        </w:tc>
        <w:tc>
          <w:tcPr>
            <w:tcW w:w="100" w:type="dxa"/>
            <w:vAlign w:val="bottom"/>
            <w:shd w:val="clear" w:color="auto" w:fill="DBDBDB"/>
          </w:tcPr>
          <w:p>
            <w:pPr>
              <w:spacing w:after="0"/>
              <w:rPr>
                <w:sz w:val="11"/>
                <w:szCs w:val="11"/>
                <w:color w:val="auto"/>
              </w:rPr>
            </w:pPr>
          </w:p>
        </w:tc>
        <w:tc>
          <w:tcPr>
            <w:tcW w:w="760" w:type="dxa"/>
            <w:vAlign w:val="bottom"/>
            <w:shd w:val="clear" w:color="auto" w:fill="DBDBDB"/>
          </w:tcPr>
          <w:p>
            <w:pPr>
              <w:spacing w:after="0"/>
              <w:rPr>
                <w:sz w:val="11"/>
                <w:szCs w:val="1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2.5 %</w:t>
            </w:r>
          </w:p>
        </w:tc>
        <w:tc>
          <w:tcPr>
            <w:tcW w:w="100" w:type="dxa"/>
            <w:vAlign w:val="bottom"/>
            <w:shd w:val="clear" w:color="auto" w:fill="DBDBDB"/>
          </w:tcPr>
          <w:p>
            <w:pPr>
              <w:spacing w:after="0"/>
              <w:rPr>
                <w:sz w:val="11"/>
                <w:szCs w:val="11"/>
                <w:color w:val="auto"/>
              </w:rPr>
            </w:pPr>
          </w:p>
        </w:tc>
        <w:tc>
          <w:tcPr>
            <w:tcW w:w="620" w:type="dxa"/>
            <w:vAlign w:val="bottom"/>
            <w:shd w:val="clear" w:color="auto" w:fill="DBDBDB"/>
          </w:tcPr>
          <w:p>
            <w:pPr>
              <w:spacing w:after="0"/>
              <w:rPr>
                <w:sz w:val="11"/>
                <w:szCs w:val="11"/>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10,381</w:t>
            </w:r>
          </w:p>
        </w:tc>
        <w:tc>
          <w:tcPr>
            <w:tcW w:w="8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5.9 %</w:t>
            </w:r>
          </w:p>
        </w:tc>
        <w:tc>
          <w:tcPr>
            <w:tcW w:w="0" w:type="dxa"/>
            <w:vAlign w:val="bottom"/>
          </w:tcPr>
          <w:p>
            <w:pPr>
              <w:spacing w:after="0"/>
              <w:rPr>
                <w:sz w:val="1"/>
                <w:szCs w:val="1"/>
                <w:color w:val="auto"/>
              </w:rPr>
            </w:pPr>
          </w:p>
        </w:tc>
      </w:tr>
      <w:tr>
        <w:trPr>
          <w:trHeight w:val="143"/>
        </w:trPr>
        <w:tc>
          <w:tcPr>
            <w:tcW w:w="4880" w:type="dxa"/>
            <w:vAlign w:val="bottom"/>
          </w:tcPr>
          <w:p>
            <w:pPr>
              <w:ind w:left="140"/>
              <w:spacing w:after="0"/>
              <w:rPr>
                <w:sz w:val="20"/>
                <w:szCs w:val="20"/>
                <w:color w:val="auto"/>
              </w:rPr>
            </w:pPr>
            <w:r>
              <w:rPr>
                <w:rFonts w:ascii="Arial" w:cs="Arial" w:eastAsia="Arial" w:hAnsi="Arial"/>
                <w:sz w:val="11"/>
                <w:szCs w:val="11"/>
                <w:color w:val="auto"/>
              </w:rPr>
              <w:t>Interest expense</w:t>
            </w:r>
          </w:p>
        </w:tc>
        <w:tc>
          <w:tcPr>
            <w:tcW w:w="5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5,627</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3.1 %</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5,749</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3.3 %</w:t>
            </w:r>
          </w:p>
        </w:tc>
        <w:tc>
          <w:tcPr>
            <w:tcW w:w="0" w:type="dxa"/>
            <w:vAlign w:val="bottom"/>
          </w:tcPr>
          <w:p>
            <w:pPr>
              <w:spacing w:after="0"/>
              <w:rPr>
                <w:sz w:val="1"/>
                <w:szCs w:val="1"/>
                <w:color w:val="auto"/>
              </w:rPr>
            </w:pPr>
          </w:p>
        </w:tc>
      </w:tr>
      <w:tr>
        <w:trPr>
          <w:trHeight w:val="145"/>
        </w:trPr>
        <w:tc>
          <w:tcPr>
            <w:tcW w:w="4880" w:type="dxa"/>
            <w:vAlign w:val="bottom"/>
            <w:shd w:val="clear" w:color="auto" w:fill="DBDBDB"/>
          </w:tcPr>
          <w:p>
            <w:pPr>
              <w:ind w:left="140"/>
              <w:spacing w:after="0"/>
              <w:rPr>
                <w:sz w:val="20"/>
                <w:szCs w:val="20"/>
                <w:color w:val="auto"/>
              </w:rPr>
            </w:pPr>
            <w:r>
              <w:rPr>
                <w:rFonts w:ascii="Arial" w:cs="Arial" w:eastAsia="Arial" w:hAnsi="Arial"/>
                <w:sz w:val="11"/>
                <w:szCs w:val="11"/>
                <w:color w:val="auto"/>
              </w:rPr>
              <w:t>Interest income</w:t>
            </w:r>
          </w:p>
        </w:tc>
        <w:tc>
          <w:tcPr>
            <w:tcW w:w="500" w:type="dxa"/>
            <w:vAlign w:val="bottom"/>
            <w:shd w:val="clear" w:color="auto" w:fill="DBDBDB"/>
          </w:tcPr>
          <w:p>
            <w:pPr>
              <w:spacing w:after="0"/>
              <w:rPr>
                <w:sz w:val="12"/>
                <w:szCs w:val="12"/>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(50)</w:t>
            </w:r>
          </w:p>
        </w:tc>
        <w:tc>
          <w:tcPr>
            <w:tcW w:w="10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900" w:type="dxa"/>
            <w:vAlign w:val="bottom"/>
            <w:gridSpan w:val="2"/>
            <w:shd w:val="clear" w:color="auto" w:fill="DBDBDB"/>
          </w:tcPr>
          <w:p>
            <w:pPr>
              <w:jc w:val="right"/>
              <w:ind w:right="100"/>
              <w:spacing w:after="0"/>
              <w:rPr>
                <w:sz w:val="20"/>
                <w:szCs w:val="20"/>
                <w:color w:val="auto"/>
              </w:rPr>
            </w:pPr>
            <w:r>
              <w:rPr>
                <w:rFonts w:ascii="Arial" w:cs="Arial" w:eastAsia="Arial" w:hAnsi="Arial"/>
                <w:sz w:val="11"/>
                <w:szCs w:val="11"/>
                <w:color w:val="auto"/>
              </w:rPr>
              <w:t>— %</w:t>
            </w:r>
          </w:p>
        </w:tc>
        <w:tc>
          <w:tcPr>
            <w:tcW w:w="620" w:type="dxa"/>
            <w:vAlign w:val="bottom"/>
            <w:shd w:val="clear" w:color="auto" w:fill="DBDBDB"/>
          </w:tcPr>
          <w:p>
            <w:pPr>
              <w:spacing w:after="0"/>
              <w:rPr>
                <w:sz w:val="12"/>
                <w:szCs w:val="12"/>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w:t>
            </w:r>
          </w:p>
        </w:tc>
        <w:tc>
          <w:tcPr>
            <w:tcW w:w="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43"/>
        </w:trPr>
        <w:tc>
          <w:tcPr>
            <w:tcW w:w="488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Tax Receivable Agreement liability adjustment</w:t>
            </w: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(412)</w:t>
            </w:r>
          </w:p>
        </w:tc>
        <w:tc>
          <w:tcPr>
            <w:tcW w:w="100" w:type="dxa"/>
            <w:vAlign w:val="bottom"/>
            <w:tcBorders>
              <w:bottom w:val="single" w:sz="8" w:color="DBDBDB"/>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100" w:type="dxa"/>
            <w:vAlign w:val="bottom"/>
            <w:tcBorders>
              <w:bottom w:val="single" w:sz="8" w:color="DBDBDB"/>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(647)</w:t>
            </w:r>
          </w:p>
        </w:tc>
        <w:tc>
          <w:tcPr>
            <w:tcW w:w="80" w:type="dxa"/>
            <w:vAlign w:val="bottom"/>
            <w:tcBorders>
              <w:bottom w:val="single" w:sz="8" w:color="DBDBDB"/>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34"/>
        </w:trPr>
        <w:tc>
          <w:tcPr>
            <w:tcW w:w="48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(LOSS) INCOME BEFORE INCOME TAXES</w:t>
            </w:r>
          </w:p>
        </w:tc>
        <w:tc>
          <w:tcPr>
            <w:tcW w:w="500" w:type="dxa"/>
            <w:vAlign w:val="bottom"/>
            <w:shd w:val="clear" w:color="auto" w:fill="DBDBDB"/>
          </w:tcPr>
          <w:p>
            <w:pPr>
              <w:spacing w:after="0"/>
              <w:rPr>
                <w:sz w:val="11"/>
                <w:szCs w:val="1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(673)</w:t>
            </w:r>
          </w:p>
        </w:tc>
        <w:tc>
          <w:tcPr>
            <w:tcW w:w="100" w:type="dxa"/>
            <w:vAlign w:val="bottom"/>
            <w:shd w:val="clear" w:color="auto" w:fill="DBDBDB"/>
          </w:tcPr>
          <w:p>
            <w:pPr>
              <w:spacing w:after="0"/>
              <w:rPr>
                <w:sz w:val="11"/>
                <w:szCs w:val="11"/>
                <w:color w:val="auto"/>
              </w:rPr>
            </w:pPr>
          </w:p>
        </w:tc>
        <w:tc>
          <w:tcPr>
            <w:tcW w:w="760" w:type="dxa"/>
            <w:vAlign w:val="bottom"/>
            <w:shd w:val="clear" w:color="auto" w:fill="DBDBDB"/>
          </w:tcPr>
          <w:p>
            <w:pPr>
              <w:spacing w:after="0"/>
              <w:rPr>
                <w:sz w:val="11"/>
                <w:szCs w:val="1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(0.4)%</w:t>
            </w:r>
          </w:p>
        </w:tc>
        <w:tc>
          <w:tcPr>
            <w:tcW w:w="100" w:type="dxa"/>
            <w:vAlign w:val="bottom"/>
            <w:shd w:val="clear" w:color="auto" w:fill="DBDBDB"/>
          </w:tcPr>
          <w:p>
            <w:pPr>
              <w:spacing w:after="0"/>
              <w:rPr>
                <w:sz w:val="11"/>
                <w:szCs w:val="11"/>
                <w:color w:val="auto"/>
              </w:rPr>
            </w:pPr>
          </w:p>
        </w:tc>
        <w:tc>
          <w:tcPr>
            <w:tcW w:w="620" w:type="dxa"/>
            <w:vAlign w:val="bottom"/>
            <w:shd w:val="clear" w:color="auto" w:fill="DBDBDB"/>
          </w:tcPr>
          <w:p>
            <w:pPr>
              <w:spacing w:after="0"/>
              <w:rPr>
                <w:sz w:val="11"/>
                <w:szCs w:val="11"/>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5,350</w:t>
            </w:r>
          </w:p>
        </w:tc>
        <w:tc>
          <w:tcPr>
            <w:tcW w:w="8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43"/>
        </w:trPr>
        <w:tc>
          <w:tcPr>
            <w:tcW w:w="488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Income tax (benefit) expense</w:t>
            </w: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(164)</w:t>
            </w:r>
          </w:p>
        </w:tc>
        <w:tc>
          <w:tcPr>
            <w:tcW w:w="100" w:type="dxa"/>
            <w:vAlign w:val="bottom"/>
            <w:tcBorders>
              <w:bottom w:val="single" w:sz="8" w:color="DBDBDB"/>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100" w:type="dxa"/>
            <w:vAlign w:val="bottom"/>
            <w:tcBorders>
              <w:bottom w:val="single" w:sz="8" w:color="DBDBDB"/>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1,360</w:t>
            </w:r>
          </w:p>
        </w:tc>
        <w:tc>
          <w:tcPr>
            <w:tcW w:w="80" w:type="dxa"/>
            <w:vAlign w:val="bottom"/>
            <w:tcBorders>
              <w:bottom w:val="single" w:sz="8" w:color="DBDBDB"/>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0.8 %</w:t>
            </w:r>
          </w:p>
        </w:tc>
        <w:tc>
          <w:tcPr>
            <w:tcW w:w="0" w:type="dxa"/>
            <w:vAlign w:val="bottom"/>
          </w:tcPr>
          <w:p>
            <w:pPr>
              <w:spacing w:after="0"/>
              <w:rPr>
                <w:sz w:val="1"/>
                <w:szCs w:val="1"/>
                <w:color w:val="auto"/>
              </w:rPr>
            </w:pPr>
          </w:p>
        </w:tc>
      </w:tr>
      <w:tr>
        <w:trPr>
          <w:trHeight w:val="134"/>
        </w:trPr>
        <w:tc>
          <w:tcPr>
            <w:tcW w:w="488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NET (LOSS) INCOME</w:t>
            </w:r>
          </w:p>
        </w:tc>
        <w:tc>
          <w:tcPr>
            <w:tcW w:w="500" w:type="dxa"/>
            <w:vAlign w:val="bottom"/>
            <w:shd w:val="clear" w:color="auto" w:fill="DBDBDB"/>
          </w:tcPr>
          <w:p>
            <w:pPr>
              <w:spacing w:after="0"/>
              <w:rPr>
                <w:sz w:val="11"/>
                <w:szCs w:val="1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(509)</w:t>
            </w:r>
          </w:p>
        </w:tc>
        <w:tc>
          <w:tcPr>
            <w:tcW w:w="100" w:type="dxa"/>
            <w:vAlign w:val="bottom"/>
            <w:shd w:val="clear" w:color="auto" w:fill="DBDBDB"/>
          </w:tcPr>
          <w:p>
            <w:pPr>
              <w:spacing w:after="0"/>
              <w:rPr>
                <w:sz w:val="11"/>
                <w:szCs w:val="11"/>
                <w:color w:val="auto"/>
              </w:rPr>
            </w:pPr>
          </w:p>
        </w:tc>
        <w:tc>
          <w:tcPr>
            <w:tcW w:w="760" w:type="dxa"/>
            <w:vAlign w:val="bottom"/>
            <w:shd w:val="clear" w:color="auto" w:fill="DBDBDB"/>
          </w:tcPr>
          <w:p>
            <w:pPr>
              <w:spacing w:after="0"/>
              <w:rPr>
                <w:sz w:val="11"/>
                <w:szCs w:val="1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w:t>
            </w:r>
          </w:p>
        </w:tc>
        <w:tc>
          <w:tcPr>
            <w:tcW w:w="100" w:type="dxa"/>
            <w:vAlign w:val="bottom"/>
            <w:shd w:val="clear" w:color="auto" w:fill="DBDBDB"/>
          </w:tcPr>
          <w:p>
            <w:pPr>
              <w:spacing w:after="0"/>
              <w:rPr>
                <w:sz w:val="11"/>
                <w:szCs w:val="11"/>
                <w:color w:val="auto"/>
              </w:rPr>
            </w:pPr>
          </w:p>
        </w:tc>
        <w:tc>
          <w:tcPr>
            <w:tcW w:w="620" w:type="dxa"/>
            <w:vAlign w:val="bottom"/>
            <w:shd w:val="clear" w:color="auto" w:fill="DBDBDB"/>
          </w:tcPr>
          <w:p>
            <w:pPr>
              <w:spacing w:after="0"/>
              <w:rPr>
                <w:sz w:val="11"/>
                <w:szCs w:val="11"/>
                <w:color w:val="auto"/>
              </w:rPr>
            </w:pPr>
          </w:p>
        </w:tc>
        <w:tc>
          <w:tcPr>
            <w:tcW w:w="8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3,990</w:t>
            </w:r>
          </w:p>
        </w:tc>
        <w:tc>
          <w:tcPr>
            <w:tcW w:w="8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43"/>
        </w:trPr>
        <w:tc>
          <w:tcPr>
            <w:tcW w:w="488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Net (loss) income attributable to non-controlling interests</w:t>
            </w:r>
          </w:p>
        </w:tc>
        <w:tc>
          <w:tcPr>
            <w:tcW w:w="5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w:t>
            </w:r>
          </w:p>
        </w:tc>
        <w:tc>
          <w:tcPr>
            <w:tcW w:w="100" w:type="dxa"/>
            <w:vAlign w:val="bottom"/>
            <w:tcBorders>
              <w:bottom w:val="single" w:sz="8" w:color="DBDBDB"/>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100" w:type="dxa"/>
            <w:vAlign w:val="bottom"/>
            <w:tcBorders>
              <w:bottom w:val="single" w:sz="8" w:color="DBDBDB"/>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677</w:t>
            </w:r>
          </w:p>
        </w:tc>
        <w:tc>
          <w:tcPr>
            <w:tcW w:w="80" w:type="dxa"/>
            <w:vAlign w:val="bottom"/>
            <w:tcBorders>
              <w:bottom w:val="single" w:sz="8" w:color="DBDBDB"/>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0.4 %</w:t>
            </w:r>
          </w:p>
        </w:tc>
        <w:tc>
          <w:tcPr>
            <w:tcW w:w="0" w:type="dxa"/>
            <w:vAlign w:val="bottom"/>
          </w:tcPr>
          <w:p>
            <w:pPr>
              <w:spacing w:after="0"/>
              <w:rPr>
                <w:sz w:val="1"/>
                <w:szCs w:val="1"/>
                <w:color w:val="auto"/>
              </w:rPr>
            </w:pPr>
          </w:p>
        </w:tc>
      </w:tr>
      <w:tr>
        <w:trPr>
          <w:trHeight w:val="150"/>
        </w:trPr>
        <w:tc>
          <w:tcPr>
            <w:tcW w:w="488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1"/>
                <w:szCs w:val="11"/>
                <w:b w:val="1"/>
                <w:bCs w:val="1"/>
                <w:color w:val="auto"/>
              </w:rPr>
              <w:t>NET (LOSS) INCOME ATTRIBUTABLE TO PORTILLO'S INC.</w:t>
            </w:r>
          </w:p>
        </w:tc>
        <w:tc>
          <w:tcPr>
            <w:tcW w:w="500" w:type="dxa"/>
            <w:vAlign w:val="bottom"/>
            <w:tcBorders>
              <w:bottom w:val="single" w:sz="8" w:color="auto"/>
            </w:tcBorders>
            <w:shd w:val="clear" w:color="auto" w:fill="DBDBDB"/>
          </w:tcPr>
          <w:p>
            <w:pPr>
              <w:jc w:val="right"/>
              <w:ind w:right="36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(402)</w:t>
            </w:r>
          </w:p>
        </w:tc>
        <w:tc>
          <w:tcPr>
            <w:tcW w:w="100" w:type="dxa"/>
            <w:vAlign w:val="bottom"/>
            <w:tcBorders>
              <w:bottom w:val="single" w:sz="8" w:color="DBDBDB"/>
            </w:tcBorders>
            <w:shd w:val="clear" w:color="auto" w:fill="DBDBDB"/>
          </w:tcPr>
          <w:p>
            <w:pPr>
              <w:spacing w:after="0"/>
              <w:rPr>
                <w:sz w:val="13"/>
                <w:szCs w:val="13"/>
                <w:color w:val="auto"/>
              </w:rPr>
            </w:pPr>
          </w:p>
        </w:tc>
        <w:tc>
          <w:tcPr>
            <w:tcW w:w="760" w:type="dxa"/>
            <w:vAlign w:val="bottom"/>
            <w:tcBorders>
              <w:bottom w:val="single" w:sz="8" w:color="auto"/>
            </w:tcBorders>
            <w:shd w:val="clear" w:color="auto" w:fill="DBDBDB"/>
          </w:tcPr>
          <w:p>
            <w:pPr>
              <w:spacing w:after="0"/>
              <w:rPr>
                <w:sz w:val="13"/>
                <w:szCs w:val="13"/>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(0.2)%</w:t>
            </w:r>
          </w:p>
        </w:tc>
        <w:tc>
          <w:tcPr>
            <w:tcW w:w="10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auto"/>
            </w:tcBorders>
            <w:shd w:val="clear" w:color="auto" w:fill="DBDBDB"/>
          </w:tcPr>
          <w:p>
            <w:pPr>
              <w:jc w:val="right"/>
              <w:ind w:right="51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3,313</w:t>
            </w:r>
          </w:p>
        </w:tc>
        <w:tc>
          <w:tcPr>
            <w:tcW w:w="8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auto"/>
            </w:tcBorders>
            <w:shd w:val="clear" w:color="auto" w:fill="DBDBDB"/>
          </w:tcPr>
          <w:p>
            <w:pPr>
              <w:spacing w:after="0"/>
              <w:rPr>
                <w:sz w:val="13"/>
                <w:szCs w:val="13"/>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1.9 %</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880" w:type="dxa"/>
            <w:vAlign w:val="bottom"/>
            <w:shd w:val="clear" w:color="auto" w:fill="DBDBDB"/>
          </w:tcPr>
          <w:p>
            <w:pPr>
              <w:spacing w:after="0"/>
              <w:rPr>
                <w:sz w:val="20"/>
                <w:szCs w:val="20"/>
                <w:color w:val="auto"/>
              </w:rPr>
            </w:pPr>
            <w:r>
              <w:rPr>
                <w:rFonts w:ascii="Arial" w:cs="Arial" w:eastAsia="Arial" w:hAnsi="Arial"/>
                <w:sz w:val="11"/>
                <w:szCs w:val="11"/>
                <w:color w:val="auto"/>
              </w:rPr>
              <w:t>(Loss) income per common share attributable to Portillo’s Inc.:</w:t>
            </w:r>
          </w:p>
        </w:tc>
        <w:tc>
          <w:tcPr>
            <w:tcW w:w="5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8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Basic</w:t>
            </w:r>
          </w:p>
        </w:tc>
        <w:tc>
          <w:tcPr>
            <w:tcW w:w="500" w:type="dxa"/>
            <w:vAlign w:val="bottom"/>
            <w:tcBorders>
              <w:bottom w:val="single" w:sz="8" w:color="auto"/>
            </w:tcBorders>
          </w:tcPr>
          <w:p>
            <w:pPr>
              <w:jc w:val="right"/>
              <w:ind w:right="36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(0.01)</w:t>
            </w:r>
          </w:p>
        </w:tc>
        <w:tc>
          <w:tcPr>
            <w:tcW w:w="100" w:type="dxa"/>
            <w:vAlign w:val="bottom"/>
            <w:tcBorders>
              <w:bottom w:val="single" w:sz="8" w:color="DBDBDB"/>
            </w:tcBorders>
          </w:tcPr>
          <w:p>
            <w:pPr>
              <w:spacing w:after="0"/>
              <w:rPr>
                <w:sz w:val="13"/>
                <w:szCs w:val="13"/>
                <w:color w:val="auto"/>
              </w:rPr>
            </w:pPr>
          </w:p>
        </w:tc>
        <w:tc>
          <w:tcPr>
            <w:tcW w:w="760" w:type="dxa"/>
            <w:vAlign w:val="bottom"/>
            <w:tcBorders>
              <w:bottom w:val="single" w:sz="8" w:color="DBDBDB"/>
            </w:tcBorders>
          </w:tcPr>
          <w:p>
            <w:pPr>
              <w:spacing w:after="0"/>
              <w:rPr>
                <w:sz w:val="13"/>
                <w:szCs w:val="13"/>
                <w:color w:val="auto"/>
              </w:rPr>
            </w:pPr>
          </w:p>
        </w:tc>
        <w:tc>
          <w:tcPr>
            <w:tcW w:w="800" w:type="dxa"/>
            <w:vAlign w:val="bottom"/>
            <w:tcBorders>
              <w:bottom w:val="single" w:sz="8" w:color="DBDBDB"/>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620" w:type="dxa"/>
            <w:vAlign w:val="bottom"/>
            <w:tcBorders>
              <w:bottom w:val="single" w:sz="8" w:color="auto"/>
            </w:tcBorders>
          </w:tcPr>
          <w:p>
            <w:pPr>
              <w:jc w:val="right"/>
              <w:ind w:right="51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0.05</w:t>
            </w:r>
          </w:p>
        </w:tc>
        <w:tc>
          <w:tcPr>
            <w:tcW w:w="80" w:type="dxa"/>
            <w:vAlign w:val="bottom"/>
            <w:tcBorders>
              <w:bottom w:val="single" w:sz="8" w:color="DBDBDB"/>
            </w:tcBorders>
          </w:tcPr>
          <w:p>
            <w:pPr>
              <w:spacing w:after="0"/>
              <w:rPr>
                <w:sz w:val="13"/>
                <w:szCs w:val="13"/>
                <w:color w:val="auto"/>
              </w:rPr>
            </w:pPr>
          </w:p>
        </w:tc>
        <w:tc>
          <w:tcPr>
            <w:tcW w:w="780" w:type="dxa"/>
            <w:vAlign w:val="bottom"/>
            <w:tcBorders>
              <w:bottom w:val="single" w:sz="8" w:color="DBDBDB"/>
            </w:tcBorders>
          </w:tcPr>
          <w:p>
            <w:pPr>
              <w:spacing w:after="0"/>
              <w:rPr>
                <w:sz w:val="13"/>
                <w:szCs w:val="13"/>
                <w:color w:val="auto"/>
              </w:rPr>
            </w:pPr>
          </w:p>
        </w:tc>
        <w:tc>
          <w:tcPr>
            <w:tcW w:w="800" w:type="dxa"/>
            <w:vAlign w:val="bottom"/>
            <w:tcBorders>
              <w:bottom w:val="single" w:sz="8" w:color="DBDBDB"/>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Diluted</w:t>
            </w:r>
          </w:p>
        </w:tc>
        <w:tc>
          <w:tcPr>
            <w:tcW w:w="500" w:type="dxa"/>
            <w:vAlign w:val="bottom"/>
            <w:tcBorders>
              <w:bottom w:val="single" w:sz="8" w:color="auto"/>
            </w:tcBorders>
            <w:shd w:val="clear" w:color="auto" w:fill="DBDBDB"/>
          </w:tcPr>
          <w:p>
            <w:pPr>
              <w:jc w:val="right"/>
              <w:ind w:right="366"/>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(0.01)</w:t>
            </w:r>
          </w:p>
        </w:tc>
        <w:tc>
          <w:tcPr>
            <w:tcW w:w="100" w:type="dxa"/>
            <w:vAlign w:val="bottom"/>
            <w:tcBorders>
              <w:bottom w:val="single" w:sz="8" w:color="DBDBDB"/>
            </w:tcBorders>
            <w:shd w:val="clear" w:color="auto" w:fill="DBDBDB"/>
          </w:tcPr>
          <w:p>
            <w:pPr>
              <w:spacing w:after="0"/>
              <w:rPr>
                <w:sz w:val="13"/>
                <w:szCs w:val="13"/>
                <w:color w:val="auto"/>
              </w:rPr>
            </w:pPr>
          </w:p>
        </w:tc>
        <w:tc>
          <w:tcPr>
            <w:tcW w:w="7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spacing w:after="0"/>
              <w:rPr>
                <w:sz w:val="13"/>
                <w:szCs w:val="13"/>
                <w:color w:val="auto"/>
              </w:rPr>
            </w:pPr>
          </w:p>
        </w:tc>
        <w:tc>
          <w:tcPr>
            <w:tcW w:w="10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auto"/>
            </w:tcBorders>
            <w:shd w:val="clear" w:color="auto" w:fill="DBDBDB"/>
          </w:tcPr>
          <w:p>
            <w:pPr>
              <w:jc w:val="right"/>
              <w:ind w:right="51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0.05</w:t>
            </w:r>
          </w:p>
        </w:tc>
        <w:tc>
          <w:tcPr>
            <w:tcW w:w="8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80" w:type="dxa"/>
            <w:vAlign w:val="bottom"/>
            <w:shd w:val="clear" w:color="auto" w:fill="DBDBDB"/>
          </w:tcPr>
          <w:p>
            <w:pPr>
              <w:spacing w:after="0"/>
              <w:rPr>
                <w:sz w:val="20"/>
                <w:szCs w:val="20"/>
                <w:color w:val="auto"/>
              </w:rPr>
            </w:pPr>
            <w:r>
              <w:rPr>
                <w:rFonts w:ascii="Arial" w:cs="Arial" w:eastAsia="Arial" w:hAnsi="Arial"/>
                <w:sz w:val="11"/>
                <w:szCs w:val="11"/>
                <w:color w:val="auto"/>
              </w:rPr>
              <w:t>Weighted-average common shares outstanding:</w:t>
            </w:r>
          </w:p>
        </w:tc>
        <w:tc>
          <w:tcPr>
            <w:tcW w:w="5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62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80" w:type="dxa"/>
            <w:vAlign w:val="bottom"/>
            <w:shd w:val="clear" w:color="auto" w:fill="DBDBDB"/>
          </w:tcPr>
          <w:p>
            <w:pPr>
              <w:spacing w:after="0"/>
              <w:rPr>
                <w:sz w:val="12"/>
                <w:szCs w:val="12"/>
                <w:color w:val="auto"/>
              </w:rPr>
            </w:pPr>
          </w:p>
        </w:tc>
        <w:tc>
          <w:tcPr>
            <w:tcW w:w="78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8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Basic</w:t>
            </w:r>
          </w:p>
        </w:tc>
        <w:tc>
          <w:tcPr>
            <w:tcW w:w="5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72,076,398</w:t>
            </w:r>
          </w:p>
        </w:tc>
        <w:tc>
          <w:tcPr>
            <w:tcW w:w="100" w:type="dxa"/>
            <w:vAlign w:val="bottom"/>
            <w:tcBorders>
              <w:bottom w:val="single" w:sz="8" w:color="DBDBDB"/>
            </w:tcBorders>
          </w:tcPr>
          <w:p>
            <w:pPr>
              <w:spacing w:after="0"/>
              <w:rPr>
                <w:sz w:val="13"/>
                <w:szCs w:val="13"/>
                <w:color w:val="auto"/>
              </w:rPr>
            </w:pPr>
          </w:p>
        </w:tc>
        <w:tc>
          <w:tcPr>
            <w:tcW w:w="760" w:type="dxa"/>
            <w:vAlign w:val="bottom"/>
            <w:tcBorders>
              <w:bottom w:val="single" w:sz="8" w:color="DBDBDB"/>
            </w:tcBorders>
          </w:tcPr>
          <w:p>
            <w:pPr>
              <w:spacing w:after="0"/>
              <w:rPr>
                <w:sz w:val="13"/>
                <w:szCs w:val="13"/>
                <w:color w:val="auto"/>
              </w:rPr>
            </w:pPr>
          </w:p>
        </w:tc>
        <w:tc>
          <w:tcPr>
            <w:tcW w:w="800" w:type="dxa"/>
            <w:vAlign w:val="bottom"/>
            <w:tcBorders>
              <w:bottom w:val="single" w:sz="8" w:color="DBDBDB"/>
            </w:tcBorders>
          </w:tcPr>
          <w:p>
            <w:pPr>
              <w:spacing w:after="0"/>
              <w:rPr>
                <w:sz w:val="13"/>
                <w:szCs w:val="13"/>
                <w:color w:val="auto"/>
              </w:rPr>
            </w:pPr>
          </w:p>
        </w:tc>
        <w:tc>
          <w:tcPr>
            <w:tcW w:w="100" w:type="dxa"/>
            <w:vAlign w:val="bottom"/>
            <w:tcBorders>
              <w:bottom w:val="single" w:sz="8" w:color="DBDBDB"/>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63,837,940</w:t>
            </w:r>
          </w:p>
        </w:tc>
        <w:tc>
          <w:tcPr>
            <w:tcW w:w="80" w:type="dxa"/>
            <w:vAlign w:val="bottom"/>
            <w:tcBorders>
              <w:bottom w:val="single" w:sz="8" w:color="DBDBDB"/>
            </w:tcBorders>
          </w:tcPr>
          <w:p>
            <w:pPr>
              <w:spacing w:after="0"/>
              <w:rPr>
                <w:sz w:val="13"/>
                <w:szCs w:val="13"/>
                <w:color w:val="auto"/>
              </w:rPr>
            </w:pPr>
          </w:p>
        </w:tc>
        <w:tc>
          <w:tcPr>
            <w:tcW w:w="780" w:type="dxa"/>
            <w:vAlign w:val="bottom"/>
            <w:tcBorders>
              <w:bottom w:val="single" w:sz="8" w:color="DBDBDB"/>
            </w:tcBorders>
          </w:tcPr>
          <w:p>
            <w:pPr>
              <w:spacing w:after="0"/>
              <w:rPr>
                <w:sz w:val="13"/>
                <w:szCs w:val="13"/>
                <w:color w:val="auto"/>
              </w:rPr>
            </w:pPr>
          </w:p>
        </w:tc>
        <w:tc>
          <w:tcPr>
            <w:tcW w:w="800" w:type="dxa"/>
            <w:vAlign w:val="bottom"/>
            <w:tcBorders>
              <w:bottom w:val="single" w:sz="8" w:color="DBDBDB"/>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88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1"/>
                <w:szCs w:val="11"/>
                <w:color w:val="auto"/>
              </w:rPr>
              <w:t>Diluted</w:t>
            </w:r>
          </w:p>
        </w:tc>
        <w:tc>
          <w:tcPr>
            <w:tcW w:w="500" w:type="dxa"/>
            <w:vAlign w:val="bottom"/>
            <w:tcBorders>
              <w:bottom w:val="single" w:sz="8" w:color="auto"/>
            </w:tcBorders>
            <w:shd w:val="clear" w:color="auto" w:fill="DBDBDB"/>
          </w:tcPr>
          <w:p>
            <w:pPr>
              <w:spacing w:after="0"/>
              <w:rPr>
                <w:sz w:val="13"/>
                <w:szCs w:val="13"/>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72,076,398</w:t>
            </w:r>
          </w:p>
        </w:tc>
        <w:tc>
          <w:tcPr>
            <w:tcW w:w="100" w:type="dxa"/>
            <w:vAlign w:val="bottom"/>
            <w:tcBorders>
              <w:bottom w:val="single" w:sz="8" w:color="DBDBDB"/>
            </w:tcBorders>
            <w:shd w:val="clear" w:color="auto" w:fill="DBDBDB"/>
          </w:tcPr>
          <w:p>
            <w:pPr>
              <w:spacing w:after="0"/>
              <w:rPr>
                <w:sz w:val="13"/>
                <w:szCs w:val="13"/>
                <w:color w:val="auto"/>
              </w:rPr>
            </w:pPr>
          </w:p>
        </w:tc>
        <w:tc>
          <w:tcPr>
            <w:tcW w:w="76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spacing w:after="0"/>
              <w:rPr>
                <w:sz w:val="13"/>
                <w:szCs w:val="13"/>
                <w:color w:val="auto"/>
              </w:rPr>
            </w:pPr>
          </w:p>
        </w:tc>
        <w:tc>
          <w:tcPr>
            <w:tcW w:w="100" w:type="dxa"/>
            <w:vAlign w:val="bottom"/>
            <w:tcBorders>
              <w:bottom w:val="single" w:sz="8" w:color="DBDBDB"/>
            </w:tcBorders>
            <w:shd w:val="clear" w:color="auto" w:fill="DBDBDB"/>
          </w:tcPr>
          <w:p>
            <w:pPr>
              <w:spacing w:after="0"/>
              <w:rPr>
                <w:sz w:val="13"/>
                <w:szCs w:val="13"/>
                <w:color w:val="auto"/>
              </w:rPr>
            </w:pPr>
          </w:p>
        </w:tc>
        <w:tc>
          <w:tcPr>
            <w:tcW w:w="620" w:type="dxa"/>
            <w:vAlign w:val="bottom"/>
            <w:tcBorders>
              <w:bottom w:val="single" w:sz="8" w:color="auto"/>
            </w:tcBorders>
            <w:shd w:val="clear" w:color="auto" w:fill="DBDBDB"/>
          </w:tcPr>
          <w:p>
            <w:pPr>
              <w:spacing w:after="0"/>
              <w:rPr>
                <w:sz w:val="13"/>
                <w:szCs w:val="13"/>
                <w:color w:val="auto"/>
              </w:rPr>
            </w:pPr>
          </w:p>
        </w:tc>
        <w:tc>
          <w:tcPr>
            <w:tcW w:w="8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66,468,491</w:t>
            </w:r>
          </w:p>
        </w:tc>
        <w:tc>
          <w:tcPr>
            <w:tcW w:w="80" w:type="dxa"/>
            <w:vAlign w:val="bottom"/>
            <w:tcBorders>
              <w:bottom w:val="single" w:sz="8" w:color="DBDBDB"/>
            </w:tcBorders>
            <w:shd w:val="clear" w:color="auto" w:fill="DBDBDB"/>
          </w:tcPr>
          <w:p>
            <w:pPr>
              <w:spacing w:after="0"/>
              <w:rPr>
                <w:sz w:val="13"/>
                <w:szCs w:val="13"/>
                <w:color w:val="auto"/>
              </w:rPr>
            </w:pPr>
          </w:p>
        </w:tc>
        <w:tc>
          <w:tcPr>
            <w:tcW w:w="780" w:type="dxa"/>
            <w:vAlign w:val="bottom"/>
            <w:tcBorders>
              <w:bottom w:val="single" w:sz="8" w:color="DBDBDB"/>
            </w:tcBorders>
            <w:shd w:val="clear" w:color="auto" w:fill="DBDBDB"/>
          </w:tcPr>
          <w:p>
            <w:pPr>
              <w:spacing w:after="0"/>
              <w:rPr>
                <w:sz w:val="13"/>
                <w:szCs w:val="13"/>
                <w:color w:val="auto"/>
              </w:rPr>
            </w:pPr>
          </w:p>
        </w:tc>
        <w:tc>
          <w:tcPr>
            <w:tcW w:w="800" w:type="dxa"/>
            <w:vAlign w:val="bottom"/>
            <w:tcBorders>
              <w:bottom w:val="single" w:sz="8" w:color="DBDBDB"/>
            </w:tcBorders>
            <w:shd w:val="clear" w:color="auto" w:fill="DBDBDB"/>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24"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3"/>
          <w:szCs w:val="13"/>
          <w:b w:val="1"/>
          <w:bCs w:val="1"/>
          <w:color w:val="auto"/>
        </w:rPr>
        <w:t>PORTILLO’S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BALANCE SHEETS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(in thousands, except common share and per common share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300" w:type="dxa"/>
            <w:vAlign w:val="bottom"/>
            <w:vMerge w:val="restart"/>
          </w:tcPr>
          <w:p>
            <w:pPr>
              <w:spacing w:after="0"/>
              <w:rPr>
                <w:sz w:val="20"/>
                <w:szCs w:val="20"/>
                <w:color w:val="auto"/>
              </w:rPr>
            </w:pPr>
            <w:r>
              <w:rPr>
                <w:rFonts w:ascii="Arial" w:cs="Arial" w:eastAsia="Arial" w:hAnsi="Arial"/>
                <w:sz w:val="11"/>
                <w:szCs w:val="11"/>
                <w:b w:val="1"/>
                <w:bCs w:val="1"/>
                <w:color w:val="auto"/>
              </w:rPr>
              <w:t>ASSETS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March 29, 2026</w:t>
            </w: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December 28, 2025</w:t>
            </w:r>
          </w:p>
        </w:tc>
        <w:tc>
          <w:tcPr>
            <w:tcW w:w="0" w:type="dxa"/>
            <w:vAlign w:val="bottom"/>
          </w:tcPr>
          <w:p>
            <w:pPr>
              <w:spacing w:after="0"/>
              <w:rPr>
                <w:sz w:val="1"/>
                <w:szCs w:val="1"/>
                <w:color w:val="auto"/>
              </w:rPr>
            </w:pPr>
          </w:p>
        </w:tc>
      </w:tr>
      <w:tr>
        <w:trPr>
          <w:trHeight w:val="124"/>
        </w:trPr>
        <w:tc>
          <w:tcPr>
            <w:tcW w:w="730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300" w:type="dxa"/>
            <w:vAlign w:val="bottom"/>
            <w:shd w:val="clear" w:color="auto" w:fill="DBDBDB"/>
          </w:tcPr>
          <w:p>
            <w:pPr>
              <w:spacing w:after="0"/>
              <w:rPr>
                <w:sz w:val="20"/>
                <w:szCs w:val="20"/>
                <w:color w:val="auto"/>
              </w:rPr>
            </w:pPr>
            <w:r>
              <w:rPr>
                <w:rFonts w:ascii="Arial" w:cs="Arial" w:eastAsia="Arial" w:hAnsi="Arial"/>
                <w:sz w:val="11"/>
                <w:szCs w:val="11"/>
                <w:color w:val="auto"/>
              </w:rPr>
              <w:t>CURRENT ASSETS:</w:t>
            </w:r>
          </w:p>
        </w:tc>
        <w:tc>
          <w:tcPr>
            <w:tcW w:w="140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6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300" w:type="dxa"/>
            <w:vAlign w:val="bottom"/>
          </w:tcPr>
          <w:p>
            <w:pPr>
              <w:ind w:left="80"/>
              <w:spacing w:after="0"/>
              <w:rPr>
                <w:sz w:val="20"/>
                <w:szCs w:val="20"/>
                <w:color w:val="auto"/>
              </w:rPr>
            </w:pPr>
            <w:r>
              <w:rPr>
                <w:rFonts w:ascii="Arial" w:cs="Arial" w:eastAsia="Arial" w:hAnsi="Arial"/>
                <w:sz w:val="11"/>
                <w:szCs w:val="11"/>
                <w:color w:val="auto"/>
              </w:rPr>
              <w:t>Cash and cash equivalents and restricted cash</w:t>
            </w:r>
          </w:p>
        </w:tc>
        <w:tc>
          <w:tcPr>
            <w:tcW w:w="1400" w:type="dxa"/>
            <w:vAlign w:val="bottom"/>
          </w:tcPr>
          <w:p>
            <w:pPr>
              <w:jc w:val="right"/>
              <w:ind w:right="129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23,993</w:t>
            </w:r>
          </w:p>
        </w:tc>
        <w:tc>
          <w:tcPr>
            <w:tcW w:w="6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680" w:type="dxa"/>
            <w:vAlign w:val="bottom"/>
          </w:tcPr>
          <w:p>
            <w:pPr>
              <w:jc w:val="right"/>
              <w:ind w:right="6"/>
              <w:spacing w:after="0"/>
              <w:rPr>
                <w:sz w:val="20"/>
                <w:szCs w:val="20"/>
                <w:color w:val="auto"/>
              </w:rPr>
            </w:pPr>
            <w:r>
              <w:rPr>
                <w:rFonts w:ascii="Arial" w:cs="Arial" w:eastAsia="Arial" w:hAnsi="Arial"/>
                <w:sz w:val="11"/>
                <w:szCs w:val="11"/>
                <w:color w:val="auto"/>
              </w:rPr>
              <w:t>19,963</w:t>
            </w:r>
          </w:p>
        </w:tc>
        <w:tc>
          <w:tcPr>
            <w:tcW w:w="0" w:type="dxa"/>
            <w:vAlign w:val="bottom"/>
          </w:tcPr>
          <w:p>
            <w:pPr>
              <w:spacing w:after="0"/>
              <w:rPr>
                <w:sz w:val="1"/>
                <w:szCs w:val="1"/>
                <w:color w:val="auto"/>
              </w:rPr>
            </w:pPr>
          </w:p>
        </w:tc>
      </w:tr>
      <w:tr>
        <w:trPr>
          <w:trHeight w:val="145"/>
        </w:trPr>
        <w:tc>
          <w:tcPr>
            <w:tcW w:w="7300" w:type="dxa"/>
            <w:vAlign w:val="bottom"/>
            <w:shd w:val="clear" w:color="auto" w:fill="DBDBDB"/>
          </w:tcPr>
          <w:p>
            <w:pPr>
              <w:ind w:left="80"/>
              <w:spacing w:after="0"/>
              <w:rPr>
                <w:sz w:val="20"/>
                <w:szCs w:val="20"/>
                <w:color w:val="auto"/>
              </w:rPr>
            </w:pPr>
            <w:r>
              <w:rPr>
                <w:rFonts w:ascii="Arial" w:cs="Arial" w:eastAsia="Arial" w:hAnsi="Arial"/>
                <w:sz w:val="11"/>
                <w:szCs w:val="11"/>
                <w:color w:val="auto"/>
              </w:rPr>
              <w:t>Accounts and tenant improvement receivables</w:t>
            </w:r>
          </w:p>
        </w:tc>
        <w:tc>
          <w:tcPr>
            <w:tcW w:w="140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13,137</w:t>
            </w:r>
          </w:p>
        </w:tc>
        <w:tc>
          <w:tcPr>
            <w:tcW w:w="6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16,502</w:t>
            </w:r>
          </w:p>
        </w:tc>
        <w:tc>
          <w:tcPr>
            <w:tcW w:w="0" w:type="dxa"/>
            <w:vAlign w:val="bottom"/>
          </w:tcPr>
          <w:p>
            <w:pPr>
              <w:spacing w:after="0"/>
              <w:rPr>
                <w:sz w:val="1"/>
                <w:szCs w:val="1"/>
                <w:color w:val="auto"/>
              </w:rPr>
            </w:pPr>
          </w:p>
        </w:tc>
      </w:tr>
      <w:tr>
        <w:trPr>
          <w:trHeight w:val="143"/>
        </w:trPr>
        <w:tc>
          <w:tcPr>
            <w:tcW w:w="7300" w:type="dxa"/>
            <w:vAlign w:val="bottom"/>
          </w:tcPr>
          <w:p>
            <w:pPr>
              <w:ind w:left="80"/>
              <w:spacing w:after="0"/>
              <w:rPr>
                <w:sz w:val="20"/>
                <w:szCs w:val="20"/>
                <w:color w:val="auto"/>
              </w:rPr>
            </w:pPr>
            <w:r>
              <w:rPr>
                <w:rFonts w:ascii="Arial" w:cs="Arial" w:eastAsia="Arial" w:hAnsi="Arial"/>
                <w:sz w:val="11"/>
                <w:szCs w:val="11"/>
                <w:color w:val="auto"/>
              </w:rPr>
              <w:t>Inventories</w:t>
            </w:r>
          </w:p>
        </w:tc>
        <w:tc>
          <w:tcPr>
            <w:tcW w:w="14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7,668</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Arial" w:cs="Arial" w:eastAsia="Arial" w:hAnsi="Arial"/>
                <w:sz w:val="11"/>
                <w:szCs w:val="11"/>
                <w:color w:val="auto"/>
              </w:rPr>
              <w:t>8,207</w:t>
            </w:r>
          </w:p>
        </w:tc>
        <w:tc>
          <w:tcPr>
            <w:tcW w:w="0" w:type="dxa"/>
            <w:vAlign w:val="bottom"/>
          </w:tcPr>
          <w:p>
            <w:pPr>
              <w:spacing w:after="0"/>
              <w:rPr>
                <w:sz w:val="1"/>
                <w:szCs w:val="1"/>
                <w:color w:val="auto"/>
              </w:rPr>
            </w:pPr>
          </w:p>
        </w:tc>
      </w:tr>
      <w:tr>
        <w:trPr>
          <w:trHeight w:val="144"/>
        </w:trPr>
        <w:tc>
          <w:tcPr>
            <w:tcW w:w="730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1"/>
                <w:szCs w:val="11"/>
                <w:color w:val="auto"/>
              </w:rPr>
              <w:t>Prepaid expenses and other</w:t>
            </w:r>
          </w:p>
        </w:tc>
        <w:tc>
          <w:tcPr>
            <w:tcW w:w="1400" w:type="dxa"/>
            <w:vAlign w:val="bottom"/>
            <w:tcBorders>
              <w:bottom w:val="single" w:sz="8" w:color="auto"/>
            </w:tcBorders>
            <w:shd w:val="clear" w:color="auto" w:fill="DBDBDB"/>
          </w:tcPr>
          <w:p>
            <w:pPr>
              <w:spacing w:after="0"/>
              <w:rPr>
                <w:sz w:val="12"/>
                <w:szCs w:val="12"/>
                <w:color w:val="auto"/>
              </w:rPr>
            </w:pPr>
          </w:p>
        </w:tc>
        <w:tc>
          <w:tcPr>
            <w:tcW w:w="5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7,127</w:t>
            </w:r>
          </w:p>
        </w:tc>
        <w:tc>
          <w:tcPr>
            <w:tcW w:w="60" w:type="dxa"/>
            <w:vAlign w:val="bottom"/>
            <w:shd w:val="clear" w:color="auto" w:fill="DBDBDB"/>
          </w:tcPr>
          <w:p>
            <w:pPr>
              <w:spacing w:after="0"/>
              <w:rPr>
                <w:sz w:val="12"/>
                <w:szCs w:val="12"/>
                <w:color w:val="auto"/>
              </w:rPr>
            </w:pPr>
          </w:p>
        </w:tc>
        <w:tc>
          <w:tcPr>
            <w:tcW w:w="300" w:type="dxa"/>
            <w:vAlign w:val="bottom"/>
            <w:tcBorders>
              <w:bottom w:val="single" w:sz="8" w:color="auto"/>
            </w:tcBorders>
            <w:shd w:val="clear" w:color="auto" w:fill="DBDBDB"/>
          </w:tcPr>
          <w:p>
            <w:pPr>
              <w:spacing w:after="0"/>
              <w:rPr>
                <w:sz w:val="12"/>
                <w:szCs w:val="12"/>
                <w:color w:val="auto"/>
              </w:rPr>
            </w:pPr>
          </w:p>
        </w:tc>
        <w:tc>
          <w:tcPr>
            <w:tcW w:w="16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6,844</w:t>
            </w:r>
          </w:p>
        </w:tc>
        <w:tc>
          <w:tcPr>
            <w:tcW w:w="0" w:type="dxa"/>
            <w:vAlign w:val="bottom"/>
          </w:tcPr>
          <w:p>
            <w:pPr>
              <w:spacing w:after="0"/>
              <w:rPr>
                <w:sz w:val="1"/>
                <w:szCs w:val="1"/>
                <w:color w:val="auto"/>
              </w:rPr>
            </w:pPr>
          </w:p>
        </w:tc>
      </w:tr>
      <w:tr>
        <w:trPr>
          <w:trHeight w:val="133"/>
        </w:trPr>
        <w:tc>
          <w:tcPr>
            <w:tcW w:w="730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rPr>
              <w:t>Total current assets</w:t>
            </w:r>
          </w:p>
        </w:tc>
        <w:tc>
          <w:tcPr>
            <w:tcW w:w="14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51,925</w:t>
            </w:r>
          </w:p>
        </w:tc>
        <w:tc>
          <w:tcPr>
            <w:tcW w:w="60" w:type="dxa"/>
            <w:vAlign w:val="bottom"/>
            <w:tcBorders>
              <w:bottom w:val="single" w:sz="8" w:color="DBDBDB"/>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51,516</w:t>
            </w:r>
          </w:p>
        </w:tc>
        <w:tc>
          <w:tcPr>
            <w:tcW w:w="0" w:type="dxa"/>
            <w:vAlign w:val="bottom"/>
          </w:tcPr>
          <w:p>
            <w:pPr>
              <w:spacing w:after="0"/>
              <w:rPr>
                <w:sz w:val="1"/>
                <w:szCs w:val="1"/>
                <w:color w:val="auto"/>
              </w:rPr>
            </w:pPr>
          </w:p>
        </w:tc>
      </w:tr>
      <w:tr>
        <w:trPr>
          <w:trHeight w:val="133"/>
        </w:trPr>
        <w:tc>
          <w:tcPr>
            <w:tcW w:w="730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1"/>
                <w:szCs w:val="11"/>
                <w:color w:val="auto"/>
              </w:rPr>
              <w:t>Property and equipment, net</w:t>
            </w:r>
          </w:p>
        </w:tc>
        <w:tc>
          <w:tcPr>
            <w:tcW w:w="1400" w:type="dxa"/>
            <w:vAlign w:val="bottom"/>
            <w:tcBorders>
              <w:bottom w:val="single" w:sz="8" w:color="auto"/>
            </w:tcBorders>
            <w:shd w:val="clear" w:color="auto" w:fill="DBDBDB"/>
          </w:tcPr>
          <w:p>
            <w:pPr>
              <w:spacing w:after="0"/>
              <w:rPr>
                <w:sz w:val="11"/>
                <w:szCs w:val="11"/>
                <w:color w:val="auto"/>
              </w:rPr>
            </w:pPr>
          </w:p>
        </w:tc>
        <w:tc>
          <w:tcPr>
            <w:tcW w:w="5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428,546</w:t>
            </w:r>
          </w:p>
        </w:tc>
        <w:tc>
          <w:tcPr>
            <w:tcW w:w="60" w:type="dxa"/>
            <w:vAlign w:val="bottom"/>
            <w:shd w:val="clear" w:color="auto" w:fill="DBDBDB"/>
          </w:tcPr>
          <w:p>
            <w:pPr>
              <w:spacing w:after="0"/>
              <w:rPr>
                <w:sz w:val="11"/>
                <w:szCs w:val="11"/>
                <w:color w:val="auto"/>
              </w:rPr>
            </w:pPr>
          </w:p>
        </w:tc>
        <w:tc>
          <w:tcPr>
            <w:tcW w:w="300" w:type="dxa"/>
            <w:vAlign w:val="bottom"/>
            <w:tcBorders>
              <w:bottom w:val="single" w:sz="8" w:color="auto"/>
            </w:tcBorders>
            <w:shd w:val="clear" w:color="auto" w:fill="DBDBDB"/>
          </w:tcPr>
          <w:p>
            <w:pPr>
              <w:spacing w:after="0"/>
              <w:rPr>
                <w:sz w:val="11"/>
                <w:szCs w:val="11"/>
                <w:color w:val="auto"/>
              </w:rPr>
            </w:pPr>
          </w:p>
        </w:tc>
        <w:tc>
          <w:tcPr>
            <w:tcW w:w="16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420,263</w:t>
            </w:r>
          </w:p>
        </w:tc>
        <w:tc>
          <w:tcPr>
            <w:tcW w:w="0" w:type="dxa"/>
            <w:vAlign w:val="bottom"/>
          </w:tcPr>
          <w:p>
            <w:pPr>
              <w:spacing w:after="0"/>
              <w:rPr>
                <w:sz w:val="1"/>
                <w:szCs w:val="1"/>
                <w:color w:val="auto"/>
              </w:rPr>
            </w:pPr>
          </w:p>
        </w:tc>
      </w:tr>
      <w:tr>
        <w:trPr>
          <w:trHeight w:val="133"/>
        </w:trPr>
        <w:tc>
          <w:tcPr>
            <w:tcW w:w="73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Operating lease assets</w:t>
            </w:r>
          </w:p>
        </w:tc>
        <w:tc>
          <w:tcPr>
            <w:tcW w:w="14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264,851</w:t>
            </w:r>
          </w:p>
        </w:tc>
        <w:tc>
          <w:tcPr>
            <w:tcW w:w="60" w:type="dxa"/>
            <w:vAlign w:val="bottom"/>
            <w:tcBorders>
              <w:bottom w:val="single" w:sz="8" w:color="DBDBDB"/>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261,086</w:t>
            </w:r>
          </w:p>
        </w:tc>
        <w:tc>
          <w:tcPr>
            <w:tcW w:w="0" w:type="dxa"/>
            <w:vAlign w:val="bottom"/>
          </w:tcPr>
          <w:p>
            <w:pPr>
              <w:spacing w:after="0"/>
              <w:rPr>
                <w:sz w:val="1"/>
                <w:szCs w:val="1"/>
                <w:color w:val="auto"/>
              </w:rPr>
            </w:pPr>
          </w:p>
        </w:tc>
      </w:tr>
      <w:tr>
        <w:trPr>
          <w:trHeight w:val="134"/>
        </w:trPr>
        <w:tc>
          <w:tcPr>
            <w:tcW w:w="7300" w:type="dxa"/>
            <w:vAlign w:val="bottom"/>
            <w:shd w:val="clear" w:color="auto" w:fill="DBDBDB"/>
          </w:tcPr>
          <w:p>
            <w:pPr>
              <w:ind w:left="80"/>
              <w:spacing w:after="0"/>
              <w:rPr>
                <w:sz w:val="20"/>
                <w:szCs w:val="20"/>
                <w:color w:val="auto"/>
              </w:rPr>
            </w:pPr>
            <w:r>
              <w:rPr>
                <w:rFonts w:ascii="Arial" w:cs="Arial" w:eastAsia="Arial" w:hAnsi="Arial"/>
                <w:sz w:val="11"/>
                <w:szCs w:val="11"/>
                <w:color w:val="auto"/>
              </w:rPr>
              <w:t>Goodwill</w:t>
            </w:r>
          </w:p>
        </w:tc>
        <w:tc>
          <w:tcPr>
            <w:tcW w:w="1400" w:type="dxa"/>
            <w:vAlign w:val="bottom"/>
            <w:shd w:val="clear" w:color="auto" w:fill="DBDBDB"/>
          </w:tcPr>
          <w:p>
            <w:pPr>
              <w:spacing w:after="0"/>
              <w:rPr>
                <w:sz w:val="11"/>
                <w:szCs w:val="11"/>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394,298</w:t>
            </w:r>
          </w:p>
        </w:tc>
        <w:tc>
          <w:tcPr>
            <w:tcW w:w="6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394,298</w:t>
            </w:r>
          </w:p>
        </w:tc>
        <w:tc>
          <w:tcPr>
            <w:tcW w:w="0" w:type="dxa"/>
            <w:vAlign w:val="bottom"/>
          </w:tcPr>
          <w:p>
            <w:pPr>
              <w:spacing w:after="0"/>
              <w:rPr>
                <w:sz w:val="1"/>
                <w:szCs w:val="1"/>
                <w:color w:val="auto"/>
              </w:rPr>
            </w:pPr>
          </w:p>
        </w:tc>
      </w:tr>
      <w:tr>
        <w:trPr>
          <w:trHeight w:val="143"/>
        </w:trPr>
        <w:tc>
          <w:tcPr>
            <w:tcW w:w="7300" w:type="dxa"/>
            <w:vAlign w:val="bottom"/>
          </w:tcPr>
          <w:p>
            <w:pPr>
              <w:ind w:left="80"/>
              <w:spacing w:after="0"/>
              <w:rPr>
                <w:sz w:val="20"/>
                <w:szCs w:val="20"/>
                <w:color w:val="auto"/>
              </w:rPr>
            </w:pPr>
            <w:r>
              <w:rPr>
                <w:rFonts w:ascii="Arial" w:cs="Arial" w:eastAsia="Arial" w:hAnsi="Arial"/>
                <w:sz w:val="11"/>
                <w:szCs w:val="11"/>
                <w:color w:val="auto"/>
              </w:rPr>
              <w:t>Trade names</w:t>
            </w:r>
          </w:p>
        </w:tc>
        <w:tc>
          <w:tcPr>
            <w:tcW w:w="14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221,725</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Arial" w:cs="Arial" w:eastAsia="Arial" w:hAnsi="Arial"/>
                <w:sz w:val="11"/>
                <w:szCs w:val="11"/>
                <w:color w:val="auto"/>
              </w:rPr>
              <w:t>221,725</w:t>
            </w:r>
          </w:p>
        </w:tc>
        <w:tc>
          <w:tcPr>
            <w:tcW w:w="0" w:type="dxa"/>
            <w:vAlign w:val="bottom"/>
          </w:tcPr>
          <w:p>
            <w:pPr>
              <w:spacing w:after="0"/>
              <w:rPr>
                <w:sz w:val="1"/>
                <w:szCs w:val="1"/>
                <w:color w:val="auto"/>
              </w:rPr>
            </w:pPr>
          </w:p>
        </w:tc>
      </w:tr>
      <w:tr>
        <w:trPr>
          <w:trHeight w:val="145"/>
        </w:trPr>
        <w:tc>
          <w:tcPr>
            <w:tcW w:w="7300" w:type="dxa"/>
            <w:vAlign w:val="bottom"/>
            <w:shd w:val="clear" w:color="auto" w:fill="DBDBDB"/>
          </w:tcPr>
          <w:p>
            <w:pPr>
              <w:ind w:left="80"/>
              <w:spacing w:after="0"/>
              <w:rPr>
                <w:sz w:val="20"/>
                <w:szCs w:val="20"/>
                <w:color w:val="auto"/>
              </w:rPr>
            </w:pPr>
            <w:r>
              <w:rPr>
                <w:rFonts w:ascii="Arial" w:cs="Arial" w:eastAsia="Arial" w:hAnsi="Arial"/>
                <w:sz w:val="11"/>
                <w:szCs w:val="11"/>
                <w:color w:val="auto"/>
              </w:rPr>
              <w:t>Other intangible assets, net</w:t>
            </w:r>
          </w:p>
        </w:tc>
        <w:tc>
          <w:tcPr>
            <w:tcW w:w="140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22,714</w:t>
            </w:r>
          </w:p>
        </w:tc>
        <w:tc>
          <w:tcPr>
            <w:tcW w:w="6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23,391</w:t>
            </w:r>
          </w:p>
        </w:tc>
        <w:tc>
          <w:tcPr>
            <w:tcW w:w="0" w:type="dxa"/>
            <w:vAlign w:val="bottom"/>
          </w:tcPr>
          <w:p>
            <w:pPr>
              <w:spacing w:after="0"/>
              <w:rPr>
                <w:sz w:val="1"/>
                <w:szCs w:val="1"/>
                <w:color w:val="auto"/>
              </w:rPr>
            </w:pPr>
          </w:p>
        </w:tc>
      </w:tr>
      <w:tr>
        <w:trPr>
          <w:trHeight w:val="143"/>
        </w:trPr>
        <w:tc>
          <w:tcPr>
            <w:tcW w:w="7300" w:type="dxa"/>
            <w:vAlign w:val="bottom"/>
          </w:tcPr>
          <w:p>
            <w:pPr>
              <w:ind w:left="80"/>
              <w:spacing w:after="0"/>
              <w:rPr>
                <w:sz w:val="20"/>
                <w:szCs w:val="20"/>
                <w:color w:val="auto"/>
              </w:rPr>
            </w:pPr>
            <w:r>
              <w:rPr>
                <w:rFonts w:ascii="Arial" w:cs="Arial" w:eastAsia="Arial" w:hAnsi="Arial"/>
                <w:sz w:val="11"/>
                <w:szCs w:val="11"/>
                <w:color w:val="auto"/>
              </w:rPr>
              <w:t>Equity method investment</w:t>
            </w:r>
          </w:p>
        </w:tc>
        <w:tc>
          <w:tcPr>
            <w:tcW w:w="14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15,624</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Arial" w:cs="Arial" w:eastAsia="Arial" w:hAnsi="Arial"/>
                <w:sz w:val="11"/>
                <w:szCs w:val="11"/>
                <w:color w:val="auto"/>
              </w:rPr>
              <w:t>15,696</w:t>
            </w:r>
          </w:p>
        </w:tc>
        <w:tc>
          <w:tcPr>
            <w:tcW w:w="0" w:type="dxa"/>
            <w:vAlign w:val="bottom"/>
          </w:tcPr>
          <w:p>
            <w:pPr>
              <w:spacing w:after="0"/>
              <w:rPr>
                <w:sz w:val="1"/>
                <w:szCs w:val="1"/>
                <w:color w:val="auto"/>
              </w:rPr>
            </w:pPr>
          </w:p>
        </w:tc>
      </w:tr>
      <w:tr>
        <w:trPr>
          <w:trHeight w:val="145"/>
        </w:trPr>
        <w:tc>
          <w:tcPr>
            <w:tcW w:w="7300" w:type="dxa"/>
            <w:vAlign w:val="bottom"/>
            <w:shd w:val="clear" w:color="auto" w:fill="DBDBDB"/>
          </w:tcPr>
          <w:p>
            <w:pPr>
              <w:ind w:left="80"/>
              <w:spacing w:after="0"/>
              <w:rPr>
                <w:sz w:val="20"/>
                <w:szCs w:val="20"/>
                <w:color w:val="auto"/>
              </w:rPr>
            </w:pPr>
            <w:r>
              <w:rPr>
                <w:rFonts w:ascii="Arial" w:cs="Arial" w:eastAsia="Arial" w:hAnsi="Arial"/>
                <w:sz w:val="11"/>
                <w:szCs w:val="11"/>
                <w:color w:val="auto"/>
              </w:rPr>
              <w:t>Deferred tax assets</w:t>
            </w:r>
          </w:p>
        </w:tc>
        <w:tc>
          <w:tcPr>
            <w:tcW w:w="140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211,473</w:t>
            </w:r>
          </w:p>
        </w:tc>
        <w:tc>
          <w:tcPr>
            <w:tcW w:w="6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211,267</w:t>
            </w:r>
          </w:p>
        </w:tc>
        <w:tc>
          <w:tcPr>
            <w:tcW w:w="0" w:type="dxa"/>
            <w:vAlign w:val="bottom"/>
          </w:tcPr>
          <w:p>
            <w:pPr>
              <w:spacing w:after="0"/>
              <w:rPr>
                <w:sz w:val="1"/>
                <w:szCs w:val="1"/>
                <w:color w:val="auto"/>
              </w:rPr>
            </w:pPr>
          </w:p>
        </w:tc>
      </w:tr>
      <w:tr>
        <w:trPr>
          <w:trHeight w:val="143"/>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Other assets</w:t>
            </w:r>
          </w:p>
        </w:tc>
        <w:tc>
          <w:tcPr>
            <w:tcW w:w="1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6,680</w:t>
            </w:r>
          </w:p>
        </w:tc>
        <w:tc>
          <w:tcPr>
            <w:tcW w:w="60" w:type="dxa"/>
            <w:vAlign w:val="bottom"/>
            <w:tcBorders>
              <w:bottom w:val="single" w:sz="8" w:color="DBDBDB"/>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7,292</w:t>
            </w:r>
          </w:p>
        </w:tc>
        <w:tc>
          <w:tcPr>
            <w:tcW w:w="0" w:type="dxa"/>
            <w:vAlign w:val="bottom"/>
          </w:tcPr>
          <w:p>
            <w:pPr>
              <w:spacing w:after="0"/>
              <w:rPr>
                <w:sz w:val="1"/>
                <w:szCs w:val="1"/>
                <w:color w:val="auto"/>
              </w:rPr>
            </w:pPr>
          </w:p>
        </w:tc>
      </w:tr>
      <w:tr>
        <w:trPr>
          <w:trHeight w:val="133"/>
        </w:trPr>
        <w:tc>
          <w:tcPr>
            <w:tcW w:w="7300" w:type="dxa"/>
            <w:vAlign w:val="bottom"/>
            <w:tcBorders>
              <w:bottom w:val="single" w:sz="8" w:color="auto"/>
            </w:tcBorders>
            <w:shd w:val="clear" w:color="auto" w:fill="DBDBDB"/>
          </w:tcPr>
          <w:p>
            <w:pPr>
              <w:ind w:left="300"/>
              <w:spacing w:after="0"/>
              <w:rPr>
                <w:sz w:val="20"/>
                <w:szCs w:val="20"/>
                <w:color w:val="auto"/>
              </w:rPr>
            </w:pPr>
            <w:r>
              <w:rPr>
                <w:rFonts w:ascii="Arial" w:cs="Arial" w:eastAsia="Arial" w:hAnsi="Arial"/>
                <w:sz w:val="11"/>
                <w:szCs w:val="11"/>
                <w:color w:val="auto"/>
              </w:rPr>
              <w:t>Total other assets</w:t>
            </w:r>
          </w:p>
        </w:tc>
        <w:tc>
          <w:tcPr>
            <w:tcW w:w="1400" w:type="dxa"/>
            <w:vAlign w:val="bottom"/>
            <w:tcBorders>
              <w:bottom w:val="single" w:sz="8" w:color="auto"/>
            </w:tcBorders>
            <w:shd w:val="clear" w:color="auto" w:fill="DBDBDB"/>
          </w:tcPr>
          <w:p>
            <w:pPr>
              <w:spacing w:after="0"/>
              <w:rPr>
                <w:sz w:val="11"/>
                <w:szCs w:val="11"/>
                <w:color w:val="auto"/>
              </w:rPr>
            </w:pPr>
          </w:p>
        </w:tc>
        <w:tc>
          <w:tcPr>
            <w:tcW w:w="5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872,514</w:t>
            </w:r>
          </w:p>
        </w:tc>
        <w:tc>
          <w:tcPr>
            <w:tcW w:w="60" w:type="dxa"/>
            <w:vAlign w:val="bottom"/>
            <w:shd w:val="clear" w:color="auto" w:fill="DBDBDB"/>
          </w:tcPr>
          <w:p>
            <w:pPr>
              <w:spacing w:after="0"/>
              <w:rPr>
                <w:sz w:val="11"/>
                <w:szCs w:val="11"/>
                <w:color w:val="auto"/>
              </w:rPr>
            </w:pPr>
          </w:p>
        </w:tc>
        <w:tc>
          <w:tcPr>
            <w:tcW w:w="300" w:type="dxa"/>
            <w:vAlign w:val="bottom"/>
            <w:tcBorders>
              <w:bottom w:val="single" w:sz="8" w:color="auto"/>
            </w:tcBorders>
            <w:shd w:val="clear" w:color="auto" w:fill="DBDBDB"/>
          </w:tcPr>
          <w:p>
            <w:pPr>
              <w:spacing w:after="0"/>
              <w:rPr>
                <w:sz w:val="11"/>
                <w:szCs w:val="11"/>
                <w:color w:val="auto"/>
              </w:rPr>
            </w:pPr>
          </w:p>
        </w:tc>
        <w:tc>
          <w:tcPr>
            <w:tcW w:w="16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873,669</w:t>
            </w:r>
          </w:p>
        </w:tc>
        <w:tc>
          <w:tcPr>
            <w:tcW w:w="0" w:type="dxa"/>
            <w:vAlign w:val="bottom"/>
          </w:tcPr>
          <w:p>
            <w:pPr>
              <w:spacing w:after="0"/>
              <w:rPr>
                <w:sz w:val="1"/>
                <w:szCs w:val="1"/>
                <w:color w:val="auto"/>
              </w:rPr>
            </w:pPr>
          </w:p>
        </w:tc>
      </w:tr>
      <w:tr>
        <w:trPr>
          <w:trHeight w:val="200"/>
        </w:trPr>
        <w:tc>
          <w:tcPr>
            <w:tcW w:w="73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TOTAL ASSETS</w:t>
            </w:r>
          </w:p>
        </w:tc>
        <w:tc>
          <w:tcPr>
            <w:tcW w:w="1400" w:type="dxa"/>
            <w:vAlign w:val="bottom"/>
            <w:tcBorders>
              <w:bottom w:val="single" w:sz="8" w:color="auto"/>
            </w:tcBorders>
          </w:tcPr>
          <w:p>
            <w:pPr>
              <w:jc w:val="right"/>
              <w:ind w:right="129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1,617,836</w:t>
            </w:r>
          </w:p>
        </w:tc>
        <w:tc>
          <w:tcPr>
            <w:tcW w:w="60" w:type="dxa"/>
            <w:vAlign w:val="bottom"/>
            <w:tcBorders>
              <w:bottom w:val="single" w:sz="8" w:color="DBDBDB"/>
            </w:tcBorders>
          </w:tcPr>
          <w:p>
            <w:pPr>
              <w:spacing w:after="0"/>
              <w:rPr>
                <w:sz w:val="16"/>
                <w:szCs w:val="16"/>
                <w:color w:val="auto"/>
              </w:rPr>
            </w:pP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1,606,534</w:t>
            </w:r>
          </w:p>
        </w:tc>
        <w:tc>
          <w:tcPr>
            <w:tcW w:w="0" w:type="dxa"/>
            <w:vAlign w:val="bottom"/>
          </w:tcPr>
          <w:p>
            <w:pPr>
              <w:spacing w:after="0"/>
              <w:rPr>
                <w:sz w:val="1"/>
                <w:szCs w:val="1"/>
                <w:color w:val="auto"/>
              </w:rPr>
            </w:pPr>
          </w:p>
        </w:tc>
      </w:tr>
      <w:tr>
        <w:trPr>
          <w:trHeight w:val="144"/>
        </w:trPr>
        <w:tc>
          <w:tcPr>
            <w:tcW w:w="7300" w:type="dxa"/>
            <w:vAlign w:val="bottom"/>
            <w:tcBorders>
              <w:top w:val="single" w:sz="8" w:color="DBDBDB"/>
            </w:tcBorders>
          </w:tcPr>
          <w:p>
            <w:pPr>
              <w:spacing w:after="0"/>
              <w:rPr>
                <w:sz w:val="20"/>
                <w:szCs w:val="20"/>
                <w:color w:val="auto"/>
              </w:rPr>
            </w:pPr>
            <w:r>
              <w:rPr>
                <w:rFonts w:ascii="Arial" w:cs="Arial" w:eastAsia="Arial" w:hAnsi="Arial"/>
                <w:sz w:val="11"/>
                <w:szCs w:val="11"/>
                <w:b w:val="1"/>
                <w:bCs w:val="1"/>
                <w:color w:val="auto"/>
              </w:rPr>
              <w:t>LIABILITIES AND STOCKHOLDERS’ EQUITY</w:t>
            </w:r>
          </w:p>
        </w:tc>
        <w:tc>
          <w:tcPr>
            <w:tcW w:w="1400" w:type="dxa"/>
            <w:vAlign w:val="bottom"/>
            <w:tcBorders>
              <w:top w:val="single" w:sz="8" w:color="DBDBDB"/>
            </w:tcBorders>
          </w:tcPr>
          <w:p>
            <w:pPr>
              <w:spacing w:after="0"/>
              <w:rPr>
                <w:sz w:val="12"/>
                <w:szCs w:val="12"/>
                <w:color w:val="auto"/>
              </w:rPr>
            </w:pPr>
          </w:p>
        </w:tc>
        <w:tc>
          <w:tcPr>
            <w:tcW w:w="560" w:type="dxa"/>
            <w:vAlign w:val="bottom"/>
            <w:tcBorders>
              <w:top w:val="single" w:sz="8" w:color="DBDBDB"/>
            </w:tcBorders>
          </w:tcPr>
          <w:p>
            <w:pPr>
              <w:spacing w:after="0"/>
              <w:rPr>
                <w:sz w:val="12"/>
                <w:szCs w:val="12"/>
                <w:color w:val="auto"/>
              </w:rPr>
            </w:pPr>
          </w:p>
        </w:tc>
        <w:tc>
          <w:tcPr>
            <w:tcW w:w="60" w:type="dxa"/>
            <w:vAlign w:val="bottom"/>
            <w:tcBorders>
              <w:top w:val="single" w:sz="8" w:color="DBDBDB"/>
            </w:tcBorders>
          </w:tcPr>
          <w:p>
            <w:pPr>
              <w:spacing w:after="0"/>
              <w:rPr>
                <w:sz w:val="12"/>
                <w:szCs w:val="12"/>
                <w:color w:val="auto"/>
              </w:rPr>
            </w:pPr>
          </w:p>
        </w:tc>
        <w:tc>
          <w:tcPr>
            <w:tcW w:w="300" w:type="dxa"/>
            <w:vAlign w:val="bottom"/>
            <w:tcBorders>
              <w:top w:val="single" w:sz="8" w:color="DBDBDB"/>
            </w:tcBorders>
          </w:tcPr>
          <w:p>
            <w:pPr>
              <w:spacing w:after="0"/>
              <w:rPr>
                <w:sz w:val="12"/>
                <w:szCs w:val="12"/>
                <w:color w:val="auto"/>
              </w:rPr>
            </w:pPr>
          </w:p>
        </w:tc>
        <w:tc>
          <w:tcPr>
            <w:tcW w:w="1680" w:type="dxa"/>
            <w:vAlign w:val="bottom"/>
            <w:tcBorders>
              <w:top w:val="single" w:sz="8" w:color="DBDBDB"/>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300" w:type="dxa"/>
            <w:vAlign w:val="bottom"/>
            <w:shd w:val="clear" w:color="auto" w:fill="DBDBDB"/>
          </w:tcPr>
          <w:p>
            <w:pPr>
              <w:spacing w:after="0"/>
              <w:rPr>
                <w:sz w:val="20"/>
                <w:szCs w:val="20"/>
                <w:color w:val="auto"/>
              </w:rPr>
            </w:pPr>
            <w:r>
              <w:rPr>
                <w:rFonts w:ascii="Arial" w:cs="Arial" w:eastAsia="Arial" w:hAnsi="Arial"/>
                <w:sz w:val="11"/>
                <w:szCs w:val="11"/>
                <w:color w:val="auto"/>
              </w:rPr>
              <w:t>CURRENT LIABILITIES:</w:t>
            </w:r>
          </w:p>
        </w:tc>
        <w:tc>
          <w:tcPr>
            <w:tcW w:w="140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6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300" w:type="dxa"/>
            <w:vAlign w:val="bottom"/>
          </w:tcPr>
          <w:p>
            <w:pPr>
              <w:ind w:left="80"/>
              <w:spacing w:after="0"/>
              <w:rPr>
                <w:sz w:val="20"/>
                <w:szCs w:val="20"/>
                <w:color w:val="auto"/>
              </w:rPr>
            </w:pPr>
            <w:r>
              <w:rPr>
                <w:rFonts w:ascii="Arial" w:cs="Arial" w:eastAsia="Arial" w:hAnsi="Arial"/>
                <w:sz w:val="11"/>
                <w:szCs w:val="11"/>
                <w:color w:val="auto"/>
              </w:rPr>
              <w:t>Accounts payable</w:t>
            </w:r>
          </w:p>
        </w:tc>
        <w:tc>
          <w:tcPr>
            <w:tcW w:w="1400" w:type="dxa"/>
            <w:vAlign w:val="bottom"/>
          </w:tcPr>
          <w:p>
            <w:pPr>
              <w:jc w:val="right"/>
              <w:ind w:right="129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39,058</w:t>
            </w:r>
          </w:p>
        </w:tc>
        <w:tc>
          <w:tcPr>
            <w:tcW w:w="60" w:type="dxa"/>
            <w:vAlign w:val="bottom"/>
          </w:tcPr>
          <w:p>
            <w:pPr>
              <w:spacing w:after="0"/>
              <w:rPr>
                <w:sz w:val="12"/>
                <w:szCs w:val="12"/>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1680" w:type="dxa"/>
            <w:vAlign w:val="bottom"/>
          </w:tcPr>
          <w:p>
            <w:pPr>
              <w:jc w:val="right"/>
              <w:ind w:right="6"/>
              <w:spacing w:after="0"/>
              <w:rPr>
                <w:sz w:val="20"/>
                <w:szCs w:val="20"/>
                <w:color w:val="auto"/>
              </w:rPr>
            </w:pPr>
            <w:r>
              <w:rPr>
                <w:rFonts w:ascii="Arial" w:cs="Arial" w:eastAsia="Arial" w:hAnsi="Arial"/>
                <w:sz w:val="11"/>
                <w:szCs w:val="11"/>
                <w:color w:val="auto"/>
              </w:rPr>
              <w:t>43,210</w:t>
            </w:r>
          </w:p>
        </w:tc>
        <w:tc>
          <w:tcPr>
            <w:tcW w:w="0" w:type="dxa"/>
            <w:vAlign w:val="bottom"/>
          </w:tcPr>
          <w:p>
            <w:pPr>
              <w:spacing w:after="0"/>
              <w:rPr>
                <w:sz w:val="1"/>
                <w:szCs w:val="1"/>
                <w:color w:val="auto"/>
              </w:rPr>
            </w:pPr>
          </w:p>
        </w:tc>
      </w:tr>
      <w:tr>
        <w:trPr>
          <w:trHeight w:val="145"/>
        </w:trPr>
        <w:tc>
          <w:tcPr>
            <w:tcW w:w="7300" w:type="dxa"/>
            <w:vAlign w:val="bottom"/>
            <w:shd w:val="clear" w:color="auto" w:fill="DBDBDB"/>
          </w:tcPr>
          <w:p>
            <w:pPr>
              <w:ind w:left="80"/>
              <w:spacing w:after="0"/>
              <w:rPr>
                <w:sz w:val="20"/>
                <w:szCs w:val="20"/>
                <w:color w:val="auto"/>
              </w:rPr>
            </w:pPr>
            <w:r>
              <w:rPr>
                <w:rFonts w:ascii="Arial" w:cs="Arial" w:eastAsia="Arial" w:hAnsi="Arial"/>
                <w:sz w:val="11"/>
                <w:szCs w:val="11"/>
                <w:color w:val="auto"/>
              </w:rPr>
              <w:t>Current portion of long-term debt</w:t>
            </w:r>
          </w:p>
        </w:tc>
        <w:tc>
          <w:tcPr>
            <w:tcW w:w="140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6,250</w:t>
            </w:r>
          </w:p>
        </w:tc>
        <w:tc>
          <w:tcPr>
            <w:tcW w:w="6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6,250</w:t>
            </w:r>
          </w:p>
        </w:tc>
        <w:tc>
          <w:tcPr>
            <w:tcW w:w="0" w:type="dxa"/>
            <w:vAlign w:val="bottom"/>
          </w:tcPr>
          <w:p>
            <w:pPr>
              <w:spacing w:after="0"/>
              <w:rPr>
                <w:sz w:val="1"/>
                <w:szCs w:val="1"/>
                <w:color w:val="auto"/>
              </w:rPr>
            </w:pPr>
          </w:p>
        </w:tc>
      </w:tr>
      <w:tr>
        <w:trPr>
          <w:trHeight w:val="143"/>
        </w:trPr>
        <w:tc>
          <w:tcPr>
            <w:tcW w:w="7300" w:type="dxa"/>
            <w:vAlign w:val="bottom"/>
          </w:tcPr>
          <w:p>
            <w:pPr>
              <w:ind w:left="80"/>
              <w:spacing w:after="0"/>
              <w:rPr>
                <w:sz w:val="20"/>
                <w:szCs w:val="20"/>
                <w:color w:val="auto"/>
              </w:rPr>
            </w:pPr>
            <w:r>
              <w:rPr>
                <w:rFonts w:ascii="Arial" w:cs="Arial" w:eastAsia="Arial" w:hAnsi="Arial"/>
                <w:sz w:val="11"/>
                <w:szCs w:val="11"/>
                <w:color w:val="auto"/>
              </w:rPr>
              <w:t>Current portion of Tax Receivable Agreement liability</w:t>
            </w:r>
          </w:p>
        </w:tc>
        <w:tc>
          <w:tcPr>
            <w:tcW w:w="14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1,315</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Arial" w:cs="Arial" w:eastAsia="Arial" w:hAnsi="Arial"/>
                <w:sz w:val="11"/>
                <w:szCs w:val="11"/>
                <w:color w:val="auto"/>
              </w:rPr>
              <w:t>7,910</w:t>
            </w:r>
          </w:p>
        </w:tc>
        <w:tc>
          <w:tcPr>
            <w:tcW w:w="0" w:type="dxa"/>
            <w:vAlign w:val="bottom"/>
          </w:tcPr>
          <w:p>
            <w:pPr>
              <w:spacing w:after="0"/>
              <w:rPr>
                <w:sz w:val="1"/>
                <w:szCs w:val="1"/>
                <w:color w:val="auto"/>
              </w:rPr>
            </w:pPr>
          </w:p>
        </w:tc>
      </w:tr>
      <w:tr>
        <w:trPr>
          <w:trHeight w:val="145"/>
        </w:trPr>
        <w:tc>
          <w:tcPr>
            <w:tcW w:w="7300" w:type="dxa"/>
            <w:vAlign w:val="bottom"/>
            <w:shd w:val="clear" w:color="auto" w:fill="DBDBDB"/>
          </w:tcPr>
          <w:p>
            <w:pPr>
              <w:ind w:left="80"/>
              <w:spacing w:after="0"/>
              <w:rPr>
                <w:sz w:val="20"/>
                <w:szCs w:val="20"/>
                <w:color w:val="auto"/>
              </w:rPr>
            </w:pPr>
            <w:r>
              <w:rPr>
                <w:rFonts w:ascii="Arial" w:cs="Arial" w:eastAsia="Arial" w:hAnsi="Arial"/>
                <w:sz w:val="11"/>
                <w:szCs w:val="11"/>
                <w:color w:val="auto"/>
              </w:rPr>
              <w:t>Short-term debt</w:t>
            </w:r>
          </w:p>
        </w:tc>
        <w:tc>
          <w:tcPr>
            <w:tcW w:w="140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104,000</w:t>
            </w:r>
          </w:p>
        </w:tc>
        <w:tc>
          <w:tcPr>
            <w:tcW w:w="6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90,000</w:t>
            </w:r>
          </w:p>
        </w:tc>
        <w:tc>
          <w:tcPr>
            <w:tcW w:w="0" w:type="dxa"/>
            <w:vAlign w:val="bottom"/>
          </w:tcPr>
          <w:p>
            <w:pPr>
              <w:spacing w:after="0"/>
              <w:rPr>
                <w:sz w:val="1"/>
                <w:szCs w:val="1"/>
                <w:color w:val="auto"/>
              </w:rPr>
            </w:pPr>
          </w:p>
        </w:tc>
      </w:tr>
      <w:tr>
        <w:trPr>
          <w:trHeight w:val="143"/>
        </w:trPr>
        <w:tc>
          <w:tcPr>
            <w:tcW w:w="7300" w:type="dxa"/>
            <w:vAlign w:val="bottom"/>
          </w:tcPr>
          <w:p>
            <w:pPr>
              <w:ind w:left="80"/>
              <w:spacing w:after="0"/>
              <w:rPr>
                <w:sz w:val="20"/>
                <w:szCs w:val="20"/>
                <w:color w:val="auto"/>
              </w:rPr>
            </w:pPr>
            <w:r>
              <w:rPr>
                <w:rFonts w:ascii="Arial" w:cs="Arial" w:eastAsia="Arial" w:hAnsi="Arial"/>
                <w:sz w:val="11"/>
                <w:szCs w:val="11"/>
                <w:color w:val="auto"/>
              </w:rPr>
              <w:t>Deferred revenue</w:t>
            </w:r>
          </w:p>
        </w:tc>
        <w:tc>
          <w:tcPr>
            <w:tcW w:w="14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5,541</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Arial" w:cs="Arial" w:eastAsia="Arial" w:hAnsi="Arial"/>
                <w:sz w:val="11"/>
                <w:szCs w:val="11"/>
                <w:color w:val="auto"/>
              </w:rPr>
              <w:t>7,472</w:t>
            </w:r>
          </w:p>
        </w:tc>
        <w:tc>
          <w:tcPr>
            <w:tcW w:w="0" w:type="dxa"/>
            <w:vAlign w:val="bottom"/>
          </w:tcPr>
          <w:p>
            <w:pPr>
              <w:spacing w:after="0"/>
              <w:rPr>
                <w:sz w:val="1"/>
                <w:szCs w:val="1"/>
                <w:color w:val="auto"/>
              </w:rPr>
            </w:pPr>
          </w:p>
        </w:tc>
      </w:tr>
      <w:tr>
        <w:trPr>
          <w:trHeight w:val="145"/>
        </w:trPr>
        <w:tc>
          <w:tcPr>
            <w:tcW w:w="7300" w:type="dxa"/>
            <w:vAlign w:val="bottom"/>
            <w:shd w:val="clear" w:color="auto" w:fill="DBDBDB"/>
          </w:tcPr>
          <w:p>
            <w:pPr>
              <w:ind w:left="80"/>
              <w:spacing w:after="0"/>
              <w:rPr>
                <w:sz w:val="20"/>
                <w:szCs w:val="20"/>
                <w:color w:val="auto"/>
              </w:rPr>
            </w:pPr>
            <w:r>
              <w:rPr>
                <w:rFonts w:ascii="Arial" w:cs="Arial" w:eastAsia="Arial" w:hAnsi="Arial"/>
                <w:sz w:val="11"/>
                <w:szCs w:val="11"/>
                <w:color w:val="auto"/>
              </w:rPr>
              <w:t>Short-term operating lease liabilities</w:t>
            </w:r>
          </w:p>
        </w:tc>
        <w:tc>
          <w:tcPr>
            <w:tcW w:w="140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6,922</w:t>
            </w:r>
          </w:p>
        </w:tc>
        <w:tc>
          <w:tcPr>
            <w:tcW w:w="6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6,878</w:t>
            </w:r>
          </w:p>
        </w:tc>
        <w:tc>
          <w:tcPr>
            <w:tcW w:w="0" w:type="dxa"/>
            <w:vAlign w:val="bottom"/>
          </w:tcPr>
          <w:p>
            <w:pPr>
              <w:spacing w:after="0"/>
              <w:rPr>
                <w:sz w:val="1"/>
                <w:szCs w:val="1"/>
                <w:color w:val="auto"/>
              </w:rPr>
            </w:pPr>
          </w:p>
        </w:tc>
      </w:tr>
      <w:tr>
        <w:trPr>
          <w:trHeight w:val="143"/>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Accrued expenses</w:t>
            </w:r>
          </w:p>
        </w:tc>
        <w:tc>
          <w:tcPr>
            <w:tcW w:w="1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36,848</w:t>
            </w:r>
          </w:p>
        </w:tc>
        <w:tc>
          <w:tcPr>
            <w:tcW w:w="60" w:type="dxa"/>
            <w:vAlign w:val="bottom"/>
            <w:tcBorders>
              <w:bottom w:val="single" w:sz="8" w:color="DBDBDB"/>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32,236</w:t>
            </w:r>
          </w:p>
        </w:tc>
        <w:tc>
          <w:tcPr>
            <w:tcW w:w="0" w:type="dxa"/>
            <w:vAlign w:val="bottom"/>
          </w:tcPr>
          <w:p>
            <w:pPr>
              <w:spacing w:after="0"/>
              <w:rPr>
                <w:sz w:val="1"/>
                <w:szCs w:val="1"/>
                <w:color w:val="auto"/>
              </w:rPr>
            </w:pPr>
          </w:p>
        </w:tc>
      </w:tr>
      <w:tr>
        <w:trPr>
          <w:trHeight w:val="134"/>
        </w:trPr>
        <w:tc>
          <w:tcPr>
            <w:tcW w:w="7300" w:type="dxa"/>
            <w:vAlign w:val="bottom"/>
            <w:shd w:val="clear" w:color="auto" w:fill="DBDBDB"/>
          </w:tcPr>
          <w:p>
            <w:pPr>
              <w:ind w:left="300"/>
              <w:spacing w:after="0"/>
              <w:rPr>
                <w:sz w:val="20"/>
                <w:szCs w:val="20"/>
                <w:color w:val="auto"/>
              </w:rPr>
            </w:pPr>
            <w:r>
              <w:rPr>
                <w:rFonts w:ascii="Arial" w:cs="Arial" w:eastAsia="Arial" w:hAnsi="Arial"/>
                <w:sz w:val="11"/>
                <w:szCs w:val="11"/>
                <w:color w:val="auto"/>
              </w:rPr>
              <w:t>Total current liabilities</w:t>
            </w:r>
          </w:p>
        </w:tc>
        <w:tc>
          <w:tcPr>
            <w:tcW w:w="1400" w:type="dxa"/>
            <w:vAlign w:val="bottom"/>
            <w:shd w:val="clear" w:color="auto" w:fill="DBDBDB"/>
          </w:tcPr>
          <w:p>
            <w:pPr>
              <w:spacing w:after="0"/>
              <w:rPr>
                <w:sz w:val="11"/>
                <w:szCs w:val="11"/>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199,934</w:t>
            </w:r>
          </w:p>
        </w:tc>
        <w:tc>
          <w:tcPr>
            <w:tcW w:w="6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193,956</w:t>
            </w:r>
          </w:p>
        </w:tc>
        <w:tc>
          <w:tcPr>
            <w:tcW w:w="0" w:type="dxa"/>
            <w:vAlign w:val="bottom"/>
          </w:tcPr>
          <w:p>
            <w:pPr>
              <w:spacing w:after="0"/>
              <w:rPr>
                <w:sz w:val="1"/>
                <w:szCs w:val="1"/>
                <w:color w:val="auto"/>
              </w:rPr>
            </w:pPr>
          </w:p>
        </w:tc>
      </w:tr>
      <w:tr>
        <w:trPr>
          <w:trHeight w:val="143"/>
        </w:trPr>
        <w:tc>
          <w:tcPr>
            <w:tcW w:w="7300" w:type="dxa"/>
            <w:vAlign w:val="bottom"/>
          </w:tcPr>
          <w:p>
            <w:pPr>
              <w:spacing w:after="0"/>
              <w:rPr>
                <w:sz w:val="20"/>
                <w:szCs w:val="20"/>
                <w:color w:val="auto"/>
              </w:rPr>
            </w:pPr>
            <w:r>
              <w:rPr>
                <w:rFonts w:ascii="Arial" w:cs="Arial" w:eastAsia="Arial" w:hAnsi="Arial"/>
                <w:sz w:val="11"/>
                <w:szCs w:val="11"/>
                <w:color w:val="auto"/>
              </w:rPr>
              <w:t>LONG-TERM LIABILITIES:</w:t>
            </w:r>
          </w:p>
        </w:tc>
        <w:tc>
          <w:tcPr>
            <w:tcW w:w="1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300" w:type="dxa"/>
            <w:vAlign w:val="bottom"/>
            <w:shd w:val="clear" w:color="auto" w:fill="DBDBDB"/>
          </w:tcPr>
          <w:p>
            <w:pPr>
              <w:ind w:left="80"/>
              <w:spacing w:after="0"/>
              <w:rPr>
                <w:sz w:val="20"/>
                <w:szCs w:val="20"/>
                <w:color w:val="auto"/>
              </w:rPr>
            </w:pPr>
            <w:r>
              <w:rPr>
                <w:rFonts w:ascii="Arial" w:cs="Arial" w:eastAsia="Arial" w:hAnsi="Arial"/>
                <w:sz w:val="11"/>
                <w:szCs w:val="11"/>
                <w:color w:val="auto"/>
              </w:rPr>
              <w:t>Long-term debt, net of current portion</w:t>
            </w:r>
          </w:p>
        </w:tc>
        <w:tc>
          <w:tcPr>
            <w:tcW w:w="140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236,585</w:t>
            </w:r>
          </w:p>
        </w:tc>
        <w:tc>
          <w:tcPr>
            <w:tcW w:w="6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237,977</w:t>
            </w:r>
          </w:p>
        </w:tc>
        <w:tc>
          <w:tcPr>
            <w:tcW w:w="0" w:type="dxa"/>
            <w:vAlign w:val="bottom"/>
          </w:tcPr>
          <w:p>
            <w:pPr>
              <w:spacing w:after="0"/>
              <w:rPr>
                <w:sz w:val="1"/>
                <w:szCs w:val="1"/>
                <w:color w:val="auto"/>
              </w:rPr>
            </w:pPr>
          </w:p>
        </w:tc>
      </w:tr>
      <w:tr>
        <w:trPr>
          <w:trHeight w:val="143"/>
        </w:trPr>
        <w:tc>
          <w:tcPr>
            <w:tcW w:w="7300" w:type="dxa"/>
            <w:vAlign w:val="bottom"/>
          </w:tcPr>
          <w:p>
            <w:pPr>
              <w:ind w:left="80"/>
              <w:spacing w:after="0"/>
              <w:rPr>
                <w:sz w:val="20"/>
                <w:szCs w:val="20"/>
                <w:color w:val="auto"/>
              </w:rPr>
            </w:pPr>
            <w:r>
              <w:rPr>
                <w:rFonts w:ascii="Arial" w:cs="Arial" w:eastAsia="Arial" w:hAnsi="Arial"/>
                <w:sz w:val="11"/>
                <w:szCs w:val="11"/>
                <w:color w:val="auto"/>
              </w:rPr>
              <w:t>Tax Receivable Agreement liability</w:t>
            </w:r>
          </w:p>
        </w:tc>
        <w:tc>
          <w:tcPr>
            <w:tcW w:w="1400" w:type="dxa"/>
            <w:vAlign w:val="bottom"/>
          </w:tcPr>
          <w:p>
            <w:pPr>
              <w:spacing w:after="0"/>
              <w:rPr>
                <w:sz w:val="12"/>
                <w:szCs w:val="12"/>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342,841</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Arial" w:cs="Arial" w:eastAsia="Arial" w:hAnsi="Arial"/>
                <w:sz w:val="11"/>
                <w:szCs w:val="11"/>
                <w:color w:val="auto"/>
              </w:rPr>
              <w:t>344,524</w:t>
            </w:r>
          </w:p>
        </w:tc>
        <w:tc>
          <w:tcPr>
            <w:tcW w:w="0" w:type="dxa"/>
            <w:vAlign w:val="bottom"/>
          </w:tcPr>
          <w:p>
            <w:pPr>
              <w:spacing w:after="0"/>
              <w:rPr>
                <w:sz w:val="1"/>
                <w:szCs w:val="1"/>
                <w:color w:val="auto"/>
              </w:rPr>
            </w:pPr>
          </w:p>
        </w:tc>
      </w:tr>
      <w:tr>
        <w:trPr>
          <w:trHeight w:val="145"/>
        </w:trPr>
        <w:tc>
          <w:tcPr>
            <w:tcW w:w="7300" w:type="dxa"/>
            <w:vAlign w:val="bottom"/>
            <w:shd w:val="clear" w:color="auto" w:fill="DBDBDB"/>
          </w:tcPr>
          <w:p>
            <w:pPr>
              <w:ind w:left="80"/>
              <w:spacing w:after="0"/>
              <w:rPr>
                <w:sz w:val="20"/>
                <w:szCs w:val="20"/>
                <w:color w:val="auto"/>
              </w:rPr>
            </w:pPr>
            <w:r>
              <w:rPr>
                <w:rFonts w:ascii="Arial" w:cs="Arial" w:eastAsia="Arial" w:hAnsi="Arial"/>
                <w:sz w:val="11"/>
                <w:szCs w:val="11"/>
                <w:color w:val="auto"/>
              </w:rPr>
              <w:t>Long-term operating lease liabilities</w:t>
            </w:r>
          </w:p>
        </w:tc>
        <w:tc>
          <w:tcPr>
            <w:tcW w:w="140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334,827</w:t>
            </w:r>
          </w:p>
        </w:tc>
        <w:tc>
          <w:tcPr>
            <w:tcW w:w="6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329,190</w:t>
            </w:r>
          </w:p>
        </w:tc>
        <w:tc>
          <w:tcPr>
            <w:tcW w:w="0" w:type="dxa"/>
            <w:vAlign w:val="bottom"/>
          </w:tcPr>
          <w:p>
            <w:pPr>
              <w:spacing w:after="0"/>
              <w:rPr>
                <w:sz w:val="1"/>
                <w:szCs w:val="1"/>
                <w:color w:val="auto"/>
              </w:rPr>
            </w:pPr>
          </w:p>
        </w:tc>
      </w:tr>
      <w:tr>
        <w:trPr>
          <w:trHeight w:val="143"/>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Other long-term liabilities</w:t>
            </w:r>
          </w:p>
        </w:tc>
        <w:tc>
          <w:tcPr>
            <w:tcW w:w="1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3,394</w:t>
            </w:r>
          </w:p>
        </w:tc>
        <w:tc>
          <w:tcPr>
            <w:tcW w:w="60" w:type="dxa"/>
            <w:vAlign w:val="bottom"/>
            <w:tcBorders>
              <w:bottom w:val="single" w:sz="8" w:color="DBDBDB"/>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3,614</w:t>
            </w:r>
          </w:p>
        </w:tc>
        <w:tc>
          <w:tcPr>
            <w:tcW w:w="0" w:type="dxa"/>
            <w:vAlign w:val="bottom"/>
          </w:tcPr>
          <w:p>
            <w:pPr>
              <w:spacing w:after="0"/>
              <w:rPr>
                <w:sz w:val="1"/>
                <w:szCs w:val="1"/>
                <w:color w:val="auto"/>
              </w:rPr>
            </w:pPr>
          </w:p>
        </w:tc>
      </w:tr>
      <w:tr>
        <w:trPr>
          <w:trHeight w:val="133"/>
        </w:trPr>
        <w:tc>
          <w:tcPr>
            <w:tcW w:w="7300" w:type="dxa"/>
            <w:vAlign w:val="bottom"/>
            <w:tcBorders>
              <w:bottom w:val="single" w:sz="8" w:color="auto"/>
            </w:tcBorders>
            <w:shd w:val="clear" w:color="auto" w:fill="DBDBDB"/>
          </w:tcPr>
          <w:p>
            <w:pPr>
              <w:ind w:left="300"/>
              <w:spacing w:after="0"/>
              <w:rPr>
                <w:sz w:val="20"/>
                <w:szCs w:val="20"/>
                <w:color w:val="auto"/>
              </w:rPr>
            </w:pPr>
            <w:r>
              <w:rPr>
                <w:rFonts w:ascii="Arial" w:cs="Arial" w:eastAsia="Arial" w:hAnsi="Arial"/>
                <w:sz w:val="11"/>
                <w:szCs w:val="11"/>
                <w:color w:val="auto"/>
              </w:rPr>
              <w:t>Total long-term liabilities</w:t>
            </w:r>
          </w:p>
        </w:tc>
        <w:tc>
          <w:tcPr>
            <w:tcW w:w="1400" w:type="dxa"/>
            <w:vAlign w:val="bottom"/>
            <w:tcBorders>
              <w:bottom w:val="single" w:sz="8" w:color="auto"/>
            </w:tcBorders>
            <w:shd w:val="clear" w:color="auto" w:fill="DBDBDB"/>
          </w:tcPr>
          <w:p>
            <w:pPr>
              <w:spacing w:after="0"/>
              <w:rPr>
                <w:sz w:val="11"/>
                <w:szCs w:val="11"/>
                <w:color w:val="auto"/>
              </w:rPr>
            </w:pPr>
          </w:p>
        </w:tc>
        <w:tc>
          <w:tcPr>
            <w:tcW w:w="5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917,647</w:t>
            </w:r>
          </w:p>
        </w:tc>
        <w:tc>
          <w:tcPr>
            <w:tcW w:w="60" w:type="dxa"/>
            <w:vAlign w:val="bottom"/>
            <w:shd w:val="clear" w:color="auto" w:fill="DBDBDB"/>
          </w:tcPr>
          <w:p>
            <w:pPr>
              <w:spacing w:after="0"/>
              <w:rPr>
                <w:sz w:val="11"/>
                <w:szCs w:val="11"/>
                <w:color w:val="auto"/>
              </w:rPr>
            </w:pPr>
          </w:p>
        </w:tc>
        <w:tc>
          <w:tcPr>
            <w:tcW w:w="300" w:type="dxa"/>
            <w:vAlign w:val="bottom"/>
            <w:tcBorders>
              <w:bottom w:val="single" w:sz="8" w:color="auto"/>
            </w:tcBorders>
            <w:shd w:val="clear" w:color="auto" w:fill="DBDBDB"/>
          </w:tcPr>
          <w:p>
            <w:pPr>
              <w:spacing w:after="0"/>
              <w:rPr>
                <w:sz w:val="11"/>
                <w:szCs w:val="11"/>
                <w:color w:val="auto"/>
              </w:rPr>
            </w:pPr>
          </w:p>
        </w:tc>
        <w:tc>
          <w:tcPr>
            <w:tcW w:w="16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915,305</w:t>
            </w:r>
          </w:p>
        </w:tc>
        <w:tc>
          <w:tcPr>
            <w:tcW w:w="0" w:type="dxa"/>
            <w:vAlign w:val="bottom"/>
          </w:tcPr>
          <w:p>
            <w:pPr>
              <w:spacing w:after="0"/>
              <w:rPr>
                <w:sz w:val="1"/>
                <w:szCs w:val="1"/>
                <w:color w:val="auto"/>
              </w:rPr>
            </w:pPr>
          </w:p>
        </w:tc>
      </w:tr>
      <w:tr>
        <w:trPr>
          <w:trHeight w:val="150"/>
        </w:trPr>
        <w:tc>
          <w:tcPr>
            <w:tcW w:w="730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rPr>
              <w:t>Total liabilities</w:t>
            </w:r>
          </w:p>
        </w:tc>
        <w:tc>
          <w:tcPr>
            <w:tcW w:w="14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1,117,581</w:t>
            </w:r>
          </w:p>
        </w:tc>
        <w:tc>
          <w:tcPr>
            <w:tcW w:w="60" w:type="dxa"/>
            <w:vAlign w:val="bottom"/>
            <w:tcBorders>
              <w:bottom w:val="single" w:sz="8" w:color="DBDBDB"/>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1,109,261</w:t>
            </w:r>
          </w:p>
        </w:tc>
        <w:tc>
          <w:tcPr>
            <w:tcW w:w="0" w:type="dxa"/>
            <w:vAlign w:val="bottom"/>
          </w:tcPr>
          <w:p>
            <w:pPr>
              <w:spacing w:after="0"/>
              <w:rPr>
                <w:sz w:val="1"/>
                <w:szCs w:val="1"/>
                <w:color w:val="auto"/>
              </w:rPr>
            </w:pPr>
          </w:p>
        </w:tc>
      </w:tr>
      <w:tr>
        <w:trPr>
          <w:trHeight w:val="143"/>
        </w:trPr>
        <w:tc>
          <w:tcPr>
            <w:tcW w:w="7300" w:type="dxa"/>
            <w:vAlign w:val="bottom"/>
          </w:tcPr>
          <w:p>
            <w:pPr>
              <w:spacing w:after="0"/>
              <w:rPr>
                <w:sz w:val="20"/>
                <w:szCs w:val="20"/>
                <w:color w:val="auto"/>
              </w:rPr>
            </w:pPr>
            <w:r>
              <w:rPr>
                <w:rFonts w:ascii="Arial" w:cs="Arial" w:eastAsia="Arial" w:hAnsi="Arial"/>
                <w:sz w:val="11"/>
                <w:szCs w:val="11"/>
                <w:color w:val="auto"/>
              </w:rPr>
              <w:t>COMMITMENTS AND CONTINGENCIES</w:t>
            </w:r>
          </w:p>
        </w:tc>
        <w:tc>
          <w:tcPr>
            <w:tcW w:w="1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300" w:type="dxa"/>
            <w:vAlign w:val="bottom"/>
            <w:shd w:val="clear" w:color="auto" w:fill="DBDBDB"/>
          </w:tcPr>
          <w:p>
            <w:pPr>
              <w:spacing w:after="0"/>
              <w:rPr>
                <w:sz w:val="20"/>
                <w:szCs w:val="20"/>
                <w:color w:val="auto"/>
              </w:rPr>
            </w:pPr>
            <w:r>
              <w:rPr>
                <w:rFonts w:ascii="Arial" w:cs="Arial" w:eastAsia="Arial" w:hAnsi="Arial"/>
                <w:sz w:val="11"/>
                <w:szCs w:val="11"/>
                <w:color w:val="auto"/>
              </w:rPr>
              <w:t>STOCKHOLDERS’ EQUITY:</w:t>
            </w:r>
          </w:p>
        </w:tc>
        <w:tc>
          <w:tcPr>
            <w:tcW w:w="1400" w:type="dxa"/>
            <w:vAlign w:val="bottom"/>
            <w:shd w:val="clear" w:color="auto" w:fill="DBDBDB"/>
          </w:tcPr>
          <w:p>
            <w:pPr>
              <w:spacing w:after="0"/>
              <w:rPr>
                <w:sz w:val="12"/>
                <w:szCs w:val="12"/>
                <w:color w:val="auto"/>
              </w:rPr>
            </w:pPr>
          </w:p>
        </w:tc>
        <w:tc>
          <w:tcPr>
            <w:tcW w:w="56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6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300" w:type="dxa"/>
            <w:vAlign w:val="bottom"/>
          </w:tcPr>
          <w:p>
            <w:pPr>
              <w:ind w:left="80"/>
              <w:spacing w:after="0"/>
              <w:rPr>
                <w:sz w:val="20"/>
                <w:szCs w:val="20"/>
                <w:color w:val="auto"/>
              </w:rPr>
            </w:pPr>
            <w:r>
              <w:rPr>
                <w:rFonts w:ascii="Arial" w:cs="Arial" w:eastAsia="Arial" w:hAnsi="Arial"/>
                <w:sz w:val="11"/>
                <w:szCs w:val="11"/>
                <w:color w:val="auto"/>
              </w:rPr>
              <w:t>Preferred stock, $0.01 par value per share, 10,000,000 shares authorized, none issued or outstanding</w:t>
            </w:r>
          </w:p>
        </w:tc>
        <w:tc>
          <w:tcPr>
            <w:tcW w:w="140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16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7300" w:type="dxa"/>
            <w:vAlign w:val="bottom"/>
            <w:shd w:val="clear" w:color="auto" w:fill="DBDBDB"/>
          </w:tcPr>
          <w:p>
            <w:pPr>
              <w:ind w:left="80"/>
              <w:spacing w:after="0" w:line="110" w:lineRule="exact"/>
              <w:rPr>
                <w:sz w:val="20"/>
                <w:szCs w:val="20"/>
                <w:color w:val="auto"/>
              </w:rPr>
            </w:pPr>
            <w:r>
              <w:rPr>
                <w:rFonts w:ascii="Arial" w:cs="Arial" w:eastAsia="Arial" w:hAnsi="Arial"/>
                <w:sz w:val="11"/>
                <w:szCs w:val="11"/>
                <w:color w:val="auto"/>
                <w:w w:val="98"/>
              </w:rPr>
              <w:t>Class A common stock, $0.01 par value per share, 380,000,000 shares authorized, and 72,159,742 and 71,971,736 shares issued and outstanding at</w:t>
            </w:r>
          </w:p>
        </w:tc>
        <w:tc>
          <w:tcPr>
            <w:tcW w:w="1400" w:type="dxa"/>
            <w:vAlign w:val="bottom"/>
            <w:shd w:val="clear" w:color="auto" w:fill="DBDBDB"/>
          </w:tcPr>
          <w:p>
            <w:pPr>
              <w:spacing w:after="0"/>
              <w:rPr>
                <w:sz w:val="9"/>
                <w:szCs w:val="9"/>
                <w:color w:val="auto"/>
              </w:rPr>
            </w:pPr>
          </w:p>
        </w:tc>
        <w:tc>
          <w:tcPr>
            <w:tcW w:w="56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722</w:t>
            </w:r>
          </w:p>
        </w:tc>
        <w:tc>
          <w:tcPr>
            <w:tcW w:w="60" w:type="dxa"/>
            <w:vAlign w:val="bottom"/>
            <w:shd w:val="clear" w:color="auto" w:fill="DBDBDB"/>
          </w:tcPr>
          <w:p>
            <w:pPr>
              <w:spacing w:after="0"/>
              <w:rPr>
                <w:sz w:val="9"/>
                <w:szCs w:val="9"/>
                <w:color w:val="auto"/>
              </w:rPr>
            </w:pPr>
          </w:p>
        </w:tc>
        <w:tc>
          <w:tcPr>
            <w:tcW w:w="300" w:type="dxa"/>
            <w:vAlign w:val="bottom"/>
            <w:shd w:val="clear" w:color="auto" w:fill="DBDBDB"/>
          </w:tcPr>
          <w:p>
            <w:pPr>
              <w:spacing w:after="0"/>
              <w:rPr>
                <w:sz w:val="9"/>
                <w:szCs w:val="9"/>
                <w:color w:val="auto"/>
              </w:rPr>
            </w:pPr>
          </w:p>
        </w:tc>
        <w:tc>
          <w:tcPr>
            <w:tcW w:w="1680" w:type="dxa"/>
            <w:vAlign w:val="bottom"/>
            <w:vMerge w:val="restart"/>
            <w:shd w:val="clear" w:color="auto" w:fill="DBDBDB"/>
          </w:tcPr>
          <w:p>
            <w:pPr>
              <w:jc w:val="right"/>
              <w:ind w:right="6"/>
              <w:spacing w:after="0"/>
              <w:rPr>
                <w:sz w:val="20"/>
                <w:szCs w:val="20"/>
                <w:color w:val="auto"/>
              </w:rPr>
            </w:pPr>
            <w:r>
              <w:rPr>
                <w:rFonts w:ascii="Arial" w:cs="Arial" w:eastAsia="Arial" w:hAnsi="Arial"/>
                <w:sz w:val="11"/>
                <w:szCs w:val="11"/>
                <w:color w:val="auto"/>
              </w:rPr>
              <w:t>720</w:t>
            </w:r>
          </w:p>
        </w:tc>
        <w:tc>
          <w:tcPr>
            <w:tcW w:w="0" w:type="dxa"/>
            <w:vAlign w:val="bottom"/>
          </w:tcPr>
          <w:p>
            <w:pPr>
              <w:spacing w:after="0"/>
              <w:rPr>
                <w:sz w:val="1"/>
                <w:szCs w:val="1"/>
                <w:color w:val="auto"/>
              </w:rPr>
            </w:pPr>
          </w:p>
        </w:tc>
      </w:tr>
      <w:tr>
        <w:trPr>
          <w:trHeight w:val="144"/>
        </w:trPr>
        <w:tc>
          <w:tcPr>
            <w:tcW w:w="7300" w:type="dxa"/>
            <w:vAlign w:val="bottom"/>
            <w:shd w:val="clear" w:color="auto" w:fill="DBDBDB"/>
          </w:tcPr>
          <w:p>
            <w:pPr>
              <w:ind w:left="80"/>
              <w:spacing w:after="0"/>
              <w:rPr>
                <w:sz w:val="20"/>
                <w:szCs w:val="20"/>
                <w:color w:val="auto"/>
              </w:rPr>
            </w:pPr>
            <w:r>
              <w:rPr>
                <w:rFonts w:ascii="Arial" w:cs="Arial" w:eastAsia="Arial" w:hAnsi="Arial"/>
                <w:sz w:val="11"/>
                <w:szCs w:val="11"/>
                <w:color w:val="auto"/>
              </w:rPr>
              <w:t>March 29, 2026 and December 28, 2025 , respectively.</w:t>
            </w:r>
          </w:p>
        </w:tc>
        <w:tc>
          <w:tcPr>
            <w:tcW w:w="1400" w:type="dxa"/>
            <w:vAlign w:val="bottom"/>
            <w:shd w:val="clear" w:color="auto" w:fill="DBDBDB"/>
          </w:tcPr>
          <w:p>
            <w:pPr>
              <w:spacing w:after="0"/>
              <w:rPr>
                <w:sz w:val="12"/>
                <w:szCs w:val="12"/>
                <w:color w:val="auto"/>
              </w:rPr>
            </w:pPr>
          </w:p>
        </w:tc>
        <w:tc>
          <w:tcPr>
            <w:tcW w:w="560" w:type="dxa"/>
            <w:vAlign w:val="bottom"/>
            <w:vMerge w:val="continue"/>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680" w:type="dxa"/>
            <w:vAlign w:val="bottom"/>
            <w:vMerge w:val="continue"/>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7300" w:type="dxa"/>
            <w:vAlign w:val="bottom"/>
          </w:tcPr>
          <w:p>
            <w:pPr>
              <w:ind w:left="80"/>
              <w:spacing w:after="0" w:line="109" w:lineRule="exact"/>
              <w:rPr>
                <w:sz w:val="20"/>
                <w:szCs w:val="20"/>
                <w:color w:val="auto"/>
              </w:rPr>
            </w:pPr>
            <w:r>
              <w:rPr>
                <w:rFonts w:ascii="Arial" w:cs="Arial" w:eastAsia="Arial" w:hAnsi="Arial"/>
                <w:sz w:val="11"/>
                <w:szCs w:val="11"/>
                <w:color w:val="auto"/>
                <w:w w:val="98"/>
              </w:rPr>
              <w:t>Class B common stock, $0.00001 par value per share, 50,000,000 shares authorized, and 3,424,546 and 3,442,335 shares issued and outstanding at</w:t>
            </w:r>
          </w:p>
        </w:tc>
        <w:tc>
          <w:tcPr>
            <w:tcW w:w="1400" w:type="dxa"/>
            <w:vAlign w:val="bottom"/>
          </w:tcPr>
          <w:p>
            <w:pPr>
              <w:spacing w:after="0"/>
              <w:rPr>
                <w:sz w:val="9"/>
                <w:szCs w:val="9"/>
                <w:color w:val="auto"/>
              </w:rPr>
            </w:pPr>
          </w:p>
        </w:tc>
        <w:tc>
          <w:tcPr>
            <w:tcW w:w="62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9"/>
                <w:szCs w:val="9"/>
                <w:color w:val="auto"/>
              </w:rPr>
            </w:pPr>
          </w:p>
        </w:tc>
        <w:tc>
          <w:tcPr>
            <w:tcW w:w="168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7300" w:type="dxa"/>
            <w:vAlign w:val="bottom"/>
          </w:tcPr>
          <w:p>
            <w:pPr>
              <w:ind w:left="80"/>
              <w:spacing w:after="0"/>
              <w:rPr>
                <w:sz w:val="20"/>
                <w:szCs w:val="20"/>
                <w:color w:val="auto"/>
              </w:rPr>
            </w:pPr>
            <w:r>
              <w:rPr>
                <w:rFonts w:ascii="Arial" w:cs="Arial" w:eastAsia="Arial" w:hAnsi="Arial"/>
                <w:sz w:val="11"/>
                <w:szCs w:val="11"/>
                <w:color w:val="auto"/>
              </w:rPr>
              <w:t>March 29, 2026 and December 28, 2025, respectively.</w:t>
            </w:r>
          </w:p>
        </w:tc>
        <w:tc>
          <w:tcPr>
            <w:tcW w:w="14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300" w:type="dxa"/>
            <w:vAlign w:val="bottom"/>
            <w:shd w:val="clear" w:color="auto" w:fill="DBDBDB"/>
          </w:tcPr>
          <w:p>
            <w:pPr>
              <w:ind w:left="80"/>
              <w:spacing w:after="0"/>
              <w:rPr>
                <w:sz w:val="20"/>
                <w:szCs w:val="20"/>
                <w:color w:val="auto"/>
              </w:rPr>
            </w:pPr>
            <w:r>
              <w:rPr>
                <w:rFonts w:ascii="Arial" w:cs="Arial" w:eastAsia="Arial" w:hAnsi="Arial"/>
                <w:sz w:val="11"/>
                <w:szCs w:val="11"/>
                <w:color w:val="auto"/>
              </w:rPr>
              <w:t>Additional paid-in-capital</w:t>
            </w:r>
          </w:p>
        </w:tc>
        <w:tc>
          <w:tcPr>
            <w:tcW w:w="1400" w:type="dxa"/>
            <w:vAlign w:val="bottom"/>
            <w:shd w:val="clear" w:color="auto" w:fill="DBDBDB"/>
          </w:tcPr>
          <w:p>
            <w:pPr>
              <w:spacing w:after="0"/>
              <w:rPr>
                <w:sz w:val="12"/>
                <w:szCs w:val="12"/>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408,161</w:t>
            </w:r>
          </w:p>
        </w:tc>
        <w:tc>
          <w:tcPr>
            <w:tcW w:w="6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404,603</w:t>
            </w:r>
          </w:p>
        </w:tc>
        <w:tc>
          <w:tcPr>
            <w:tcW w:w="0" w:type="dxa"/>
            <w:vAlign w:val="bottom"/>
          </w:tcPr>
          <w:p>
            <w:pPr>
              <w:spacing w:after="0"/>
              <w:rPr>
                <w:sz w:val="1"/>
                <w:szCs w:val="1"/>
                <w:color w:val="auto"/>
              </w:rPr>
            </w:pPr>
          </w:p>
        </w:tc>
      </w:tr>
      <w:tr>
        <w:trPr>
          <w:trHeight w:val="143"/>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Retained earnings</w:t>
            </w:r>
          </w:p>
        </w:tc>
        <w:tc>
          <w:tcPr>
            <w:tcW w:w="1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62,072</w:t>
            </w:r>
          </w:p>
        </w:tc>
        <w:tc>
          <w:tcPr>
            <w:tcW w:w="60" w:type="dxa"/>
            <w:vAlign w:val="bottom"/>
            <w:tcBorders>
              <w:bottom w:val="single" w:sz="8" w:color="DBDBDB"/>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62,474</w:t>
            </w:r>
          </w:p>
        </w:tc>
        <w:tc>
          <w:tcPr>
            <w:tcW w:w="0" w:type="dxa"/>
            <w:vAlign w:val="bottom"/>
          </w:tcPr>
          <w:p>
            <w:pPr>
              <w:spacing w:after="0"/>
              <w:rPr>
                <w:sz w:val="1"/>
                <w:szCs w:val="1"/>
                <w:color w:val="auto"/>
              </w:rPr>
            </w:pPr>
          </w:p>
        </w:tc>
      </w:tr>
      <w:tr>
        <w:trPr>
          <w:trHeight w:val="134"/>
        </w:trPr>
        <w:tc>
          <w:tcPr>
            <w:tcW w:w="7300" w:type="dxa"/>
            <w:vAlign w:val="bottom"/>
            <w:shd w:val="clear" w:color="auto" w:fill="DBDBDB"/>
          </w:tcPr>
          <w:p>
            <w:pPr>
              <w:ind w:left="80"/>
              <w:spacing w:after="0"/>
              <w:rPr>
                <w:sz w:val="20"/>
                <w:szCs w:val="20"/>
                <w:color w:val="auto"/>
              </w:rPr>
            </w:pPr>
            <w:r>
              <w:rPr>
                <w:rFonts w:ascii="Arial" w:cs="Arial" w:eastAsia="Arial" w:hAnsi="Arial"/>
                <w:sz w:val="11"/>
                <w:szCs w:val="11"/>
                <w:color w:val="auto"/>
              </w:rPr>
              <w:t>Total stockholders' equity attributable to Portillo's Inc.</w:t>
            </w:r>
          </w:p>
        </w:tc>
        <w:tc>
          <w:tcPr>
            <w:tcW w:w="1400" w:type="dxa"/>
            <w:vAlign w:val="bottom"/>
            <w:shd w:val="clear" w:color="auto" w:fill="DBDBDB"/>
          </w:tcPr>
          <w:p>
            <w:pPr>
              <w:spacing w:after="0"/>
              <w:rPr>
                <w:sz w:val="11"/>
                <w:szCs w:val="11"/>
                <w:color w:val="auto"/>
              </w:rPr>
            </w:pPr>
          </w:p>
        </w:tc>
        <w:tc>
          <w:tcPr>
            <w:tcW w:w="56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470,955</w:t>
            </w:r>
          </w:p>
        </w:tc>
        <w:tc>
          <w:tcPr>
            <w:tcW w:w="60" w:type="dxa"/>
            <w:vAlign w:val="bottom"/>
            <w:shd w:val="clear" w:color="auto" w:fill="DBDBDB"/>
          </w:tcPr>
          <w:p>
            <w:pPr>
              <w:spacing w:after="0"/>
              <w:rPr>
                <w:sz w:val="11"/>
                <w:szCs w:val="11"/>
                <w:color w:val="auto"/>
              </w:rPr>
            </w:pPr>
          </w:p>
        </w:tc>
        <w:tc>
          <w:tcPr>
            <w:tcW w:w="300" w:type="dxa"/>
            <w:vAlign w:val="bottom"/>
            <w:shd w:val="clear" w:color="auto" w:fill="DBDBDB"/>
          </w:tcPr>
          <w:p>
            <w:pPr>
              <w:spacing w:after="0"/>
              <w:rPr>
                <w:sz w:val="11"/>
                <w:szCs w:val="11"/>
                <w:color w:val="auto"/>
              </w:rPr>
            </w:pPr>
          </w:p>
        </w:tc>
        <w:tc>
          <w:tcPr>
            <w:tcW w:w="16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467,797</w:t>
            </w:r>
          </w:p>
        </w:tc>
        <w:tc>
          <w:tcPr>
            <w:tcW w:w="0" w:type="dxa"/>
            <w:vAlign w:val="bottom"/>
          </w:tcPr>
          <w:p>
            <w:pPr>
              <w:spacing w:after="0"/>
              <w:rPr>
                <w:sz w:val="1"/>
                <w:szCs w:val="1"/>
                <w:color w:val="auto"/>
              </w:rPr>
            </w:pPr>
          </w:p>
        </w:tc>
      </w:tr>
      <w:tr>
        <w:trPr>
          <w:trHeight w:val="143"/>
        </w:trPr>
        <w:tc>
          <w:tcPr>
            <w:tcW w:w="730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Non-controlling interest</w:t>
            </w:r>
          </w:p>
        </w:tc>
        <w:tc>
          <w:tcPr>
            <w:tcW w:w="14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29,300</w:t>
            </w:r>
          </w:p>
        </w:tc>
        <w:tc>
          <w:tcPr>
            <w:tcW w:w="60" w:type="dxa"/>
            <w:vAlign w:val="bottom"/>
            <w:tcBorders>
              <w:bottom w:val="single" w:sz="8" w:color="DBDBDB"/>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29,476</w:t>
            </w:r>
          </w:p>
        </w:tc>
        <w:tc>
          <w:tcPr>
            <w:tcW w:w="0" w:type="dxa"/>
            <w:vAlign w:val="bottom"/>
          </w:tcPr>
          <w:p>
            <w:pPr>
              <w:spacing w:after="0"/>
              <w:rPr>
                <w:sz w:val="1"/>
                <w:szCs w:val="1"/>
                <w:color w:val="auto"/>
              </w:rPr>
            </w:pPr>
          </w:p>
        </w:tc>
      </w:tr>
      <w:tr>
        <w:trPr>
          <w:trHeight w:val="133"/>
        </w:trPr>
        <w:tc>
          <w:tcPr>
            <w:tcW w:w="7300" w:type="dxa"/>
            <w:vAlign w:val="bottom"/>
            <w:tcBorders>
              <w:bottom w:val="single" w:sz="8" w:color="auto"/>
            </w:tcBorders>
            <w:shd w:val="clear" w:color="auto" w:fill="DBDBDB"/>
          </w:tcPr>
          <w:p>
            <w:pPr>
              <w:ind w:left="300"/>
              <w:spacing w:after="0"/>
              <w:rPr>
                <w:sz w:val="20"/>
                <w:szCs w:val="20"/>
                <w:color w:val="auto"/>
              </w:rPr>
            </w:pPr>
            <w:r>
              <w:rPr>
                <w:rFonts w:ascii="Arial" w:cs="Arial" w:eastAsia="Arial" w:hAnsi="Arial"/>
                <w:sz w:val="11"/>
                <w:szCs w:val="11"/>
                <w:color w:val="auto"/>
              </w:rPr>
              <w:t>Total stockholders' equity</w:t>
            </w:r>
          </w:p>
        </w:tc>
        <w:tc>
          <w:tcPr>
            <w:tcW w:w="1400" w:type="dxa"/>
            <w:vAlign w:val="bottom"/>
            <w:tcBorders>
              <w:bottom w:val="single" w:sz="8" w:color="auto"/>
            </w:tcBorders>
            <w:shd w:val="clear" w:color="auto" w:fill="DBDBDB"/>
          </w:tcPr>
          <w:p>
            <w:pPr>
              <w:spacing w:after="0"/>
              <w:rPr>
                <w:sz w:val="11"/>
                <w:szCs w:val="11"/>
                <w:color w:val="auto"/>
              </w:rPr>
            </w:pPr>
          </w:p>
        </w:tc>
        <w:tc>
          <w:tcPr>
            <w:tcW w:w="56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500,255</w:t>
            </w:r>
          </w:p>
        </w:tc>
        <w:tc>
          <w:tcPr>
            <w:tcW w:w="60" w:type="dxa"/>
            <w:vAlign w:val="bottom"/>
            <w:shd w:val="clear" w:color="auto" w:fill="DBDBDB"/>
          </w:tcPr>
          <w:p>
            <w:pPr>
              <w:spacing w:after="0"/>
              <w:rPr>
                <w:sz w:val="11"/>
                <w:szCs w:val="11"/>
                <w:color w:val="auto"/>
              </w:rPr>
            </w:pPr>
          </w:p>
        </w:tc>
        <w:tc>
          <w:tcPr>
            <w:tcW w:w="300" w:type="dxa"/>
            <w:vAlign w:val="bottom"/>
            <w:tcBorders>
              <w:bottom w:val="single" w:sz="8" w:color="auto"/>
            </w:tcBorders>
            <w:shd w:val="clear" w:color="auto" w:fill="DBDBDB"/>
          </w:tcPr>
          <w:p>
            <w:pPr>
              <w:spacing w:after="0"/>
              <w:rPr>
                <w:sz w:val="11"/>
                <w:szCs w:val="11"/>
                <w:color w:val="auto"/>
              </w:rPr>
            </w:pPr>
          </w:p>
        </w:tc>
        <w:tc>
          <w:tcPr>
            <w:tcW w:w="16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497,273</w:t>
            </w:r>
          </w:p>
        </w:tc>
        <w:tc>
          <w:tcPr>
            <w:tcW w:w="0" w:type="dxa"/>
            <w:vAlign w:val="bottom"/>
          </w:tcPr>
          <w:p>
            <w:pPr>
              <w:spacing w:after="0"/>
              <w:rPr>
                <w:sz w:val="1"/>
                <w:szCs w:val="1"/>
                <w:color w:val="auto"/>
              </w:rPr>
            </w:pPr>
          </w:p>
        </w:tc>
      </w:tr>
      <w:tr>
        <w:trPr>
          <w:trHeight w:val="134"/>
        </w:trPr>
        <w:tc>
          <w:tcPr>
            <w:tcW w:w="73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TOTAL LIABILITIES AND STOCKHOLDERS' EQUITY</w:t>
            </w:r>
          </w:p>
        </w:tc>
        <w:tc>
          <w:tcPr>
            <w:tcW w:w="1400" w:type="dxa"/>
            <w:vAlign w:val="bottom"/>
            <w:tcBorders>
              <w:bottom w:val="single" w:sz="8" w:color="auto"/>
            </w:tcBorders>
          </w:tcPr>
          <w:p>
            <w:pPr>
              <w:jc w:val="right"/>
              <w:ind w:right="129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1,617,836</w:t>
            </w:r>
          </w:p>
        </w:tc>
        <w:tc>
          <w:tcPr>
            <w:tcW w:w="60" w:type="dxa"/>
            <w:vAlign w:val="bottom"/>
          </w:tcPr>
          <w:p>
            <w:pPr>
              <w:spacing w:after="0"/>
              <w:rPr>
                <w:sz w:val="11"/>
                <w:szCs w:val="11"/>
                <w:color w:val="auto"/>
              </w:rPr>
            </w:pPr>
          </w:p>
        </w:tc>
        <w:tc>
          <w:tcPr>
            <w:tcW w:w="3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w w:val="97"/>
              </w:rPr>
              <w:t>$</w:t>
            </w:r>
          </w:p>
        </w:tc>
        <w:tc>
          <w:tcPr>
            <w:tcW w:w="16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1,606,534</w:t>
            </w: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24" w:right="2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3"/>
          <w:szCs w:val="13"/>
          <w:b w:val="1"/>
          <w:bCs w:val="1"/>
          <w:color w:val="auto"/>
        </w:rPr>
        <w:t>PORTILLO’S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(in thousands)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3"/>
          </w:tcPr>
          <w:p>
            <w:pPr>
              <w:jc w:val="right"/>
              <w:spacing w:after="0"/>
              <w:rPr>
                <w:sz w:val="20"/>
                <w:szCs w:val="20"/>
                <w:color w:val="auto"/>
              </w:rPr>
            </w:pPr>
            <w:r>
              <w:rPr>
                <w:rFonts w:ascii="Arial" w:cs="Arial" w:eastAsia="Arial" w:hAnsi="Arial"/>
                <w:sz w:val="11"/>
                <w:szCs w:val="11"/>
                <w:b w:val="1"/>
                <w:bCs w:val="1"/>
                <w:color w:val="auto"/>
              </w:rPr>
              <w:t>Quarter Ended</w:t>
            </w:r>
          </w:p>
        </w:tc>
        <w:tc>
          <w:tcPr>
            <w:tcW w:w="1180" w:type="dxa"/>
            <w:vAlign w:val="bottom"/>
          </w:tcPr>
          <w:p>
            <w:pPr>
              <w:spacing w:after="0"/>
              <w:rPr>
                <w:sz w:val="12"/>
                <w:szCs w:val="12"/>
                <w:color w:val="auto"/>
              </w:rPr>
            </w:pPr>
          </w:p>
        </w:tc>
      </w:tr>
      <w:tr>
        <w:trPr>
          <w:trHeight w:val="144"/>
        </w:trPr>
        <w:tc>
          <w:tcPr>
            <w:tcW w:w="8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60"/>
              <w:spacing w:after="0"/>
              <w:rPr>
                <w:sz w:val="20"/>
                <w:szCs w:val="20"/>
                <w:color w:val="auto"/>
              </w:rPr>
            </w:pPr>
            <w:r>
              <w:rPr>
                <w:rFonts w:ascii="Arial" w:cs="Arial" w:eastAsia="Arial" w:hAnsi="Arial"/>
                <w:sz w:val="11"/>
                <w:szCs w:val="11"/>
                <w:b w:val="1"/>
                <w:bCs w:val="1"/>
                <w:color w:val="auto"/>
              </w:rPr>
              <w:t>March 29, 2026</w:t>
            </w:r>
          </w:p>
        </w:tc>
        <w:tc>
          <w:tcPr>
            <w:tcW w:w="340" w:type="dxa"/>
            <w:vAlign w:val="bottom"/>
          </w:tcPr>
          <w:p>
            <w:pPr>
              <w:spacing w:after="0"/>
              <w:rPr>
                <w:sz w:val="12"/>
                <w:szCs w:val="12"/>
                <w:color w:val="auto"/>
              </w:rPr>
            </w:pPr>
          </w:p>
        </w:tc>
        <w:tc>
          <w:tcPr>
            <w:tcW w:w="1180" w:type="dxa"/>
            <w:vAlign w:val="bottom"/>
          </w:tcPr>
          <w:p>
            <w:pPr>
              <w:jc w:val="right"/>
              <w:ind w:right="326"/>
              <w:spacing w:after="0"/>
              <w:rPr>
                <w:sz w:val="20"/>
                <w:szCs w:val="20"/>
                <w:color w:val="auto"/>
              </w:rPr>
            </w:pPr>
            <w:r>
              <w:rPr>
                <w:rFonts w:ascii="Arial" w:cs="Arial" w:eastAsia="Arial" w:hAnsi="Arial"/>
                <w:sz w:val="11"/>
                <w:szCs w:val="11"/>
                <w:b w:val="1"/>
                <w:bCs w:val="1"/>
                <w:color w:val="auto"/>
                <w:w w:val="99"/>
              </w:rPr>
              <w:t>March 30, 2025</w:t>
            </w:r>
          </w:p>
        </w:tc>
      </w:tr>
      <w:tr>
        <w:trPr>
          <w:trHeight w:val="124"/>
        </w:trPr>
        <w:tc>
          <w:tcPr>
            <w:tcW w:w="8160" w:type="dxa"/>
            <w:vAlign w:val="bottom"/>
            <w:tcBorders>
              <w:top w:val="single" w:sz="8" w:color="DBDBDB"/>
            </w:tcBorders>
            <w:shd w:val="clear" w:color="auto" w:fill="DBDBDB"/>
          </w:tcPr>
          <w:p>
            <w:pPr>
              <w:spacing w:after="0" w:line="124" w:lineRule="exact"/>
              <w:rPr>
                <w:sz w:val="20"/>
                <w:szCs w:val="20"/>
                <w:color w:val="auto"/>
              </w:rPr>
            </w:pPr>
            <w:r>
              <w:rPr>
                <w:rFonts w:ascii="Arial" w:cs="Arial" w:eastAsia="Arial" w:hAnsi="Arial"/>
                <w:sz w:val="11"/>
                <w:szCs w:val="11"/>
                <w:b w:val="1"/>
                <w:bCs w:val="1"/>
                <w:color w:val="auto"/>
              </w:rPr>
              <w:t>CASH FLOWS FROM OPERATING ACTIVITIES:</w:t>
            </w:r>
          </w:p>
        </w:tc>
        <w:tc>
          <w:tcPr>
            <w:tcW w:w="220" w:type="dxa"/>
            <w:vAlign w:val="bottom"/>
            <w:tcBorders>
              <w:top w:val="single" w:sz="8" w:color="auto"/>
            </w:tcBorders>
            <w:shd w:val="clear" w:color="auto" w:fill="DBDBDB"/>
          </w:tcPr>
          <w:p>
            <w:pPr>
              <w:spacing w:after="0"/>
              <w:rPr>
                <w:sz w:val="10"/>
                <w:szCs w:val="10"/>
                <w:color w:val="auto"/>
              </w:rPr>
            </w:pPr>
          </w:p>
        </w:tc>
        <w:tc>
          <w:tcPr>
            <w:tcW w:w="1300" w:type="dxa"/>
            <w:vAlign w:val="bottom"/>
            <w:tcBorders>
              <w:top w:val="single" w:sz="8" w:color="auto"/>
            </w:tcBorders>
            <w:shd w:val="clear" w:color="auto" w:fill="DBDBDB"/>
          </w:tcPr>
          <w:p>
            <w:pPr>
              <w:spacing w:after="0"/>
              <w:rPr>
                <w:sz w:val="10"/>
                <w:szCs w:val="10"/>
                <w:color w:val="auto"/>
              </w:rPr>
            </w:pPr>
          </w:p>
        </w:tc>
        <w:tc>
          <w:tcPr>
            <w:tcW w:w="100" w:type="dxa"/>
            <w:vAlign w:val="bottom"/>
            <w:tcBorders>
              <w:top w:val="single" w:sz="8" w:color="DBDBDB"/>
            </w:tcBorders>
            <w:shd w:val="clear" w:color="auto" w:fill="DBDBDB"/>
          </w:tcPr>
          <w:p>
            <w:pPr>
              <w:spacing w:after="0"/>
              <w:rPr>
                <w:sz w:val="10"/>
                <w:szCs w:val="10"/>
                <w:color w:val="auto"/>
              </w:rPr>
            </w:pPr>
          </w:p>
        </w:tc>
        <w:tc>
          <w:tcPr>
            <w:tcW w:w="340" w:type="dxa"/>
            <w:vAlign w:val="bottom"/>
            <w:tcBorders>
              <w:top w:val="single" w:sz="8" w:color="auto"/>
            </w:tcBorders>
            <w:shd w:val="clear" w:color="auto" w:fill="DBDBDB"/>
          </w:tcPr>
          <w:p>
            <w:pPr>
              <w:spacing w:after="0"/>
              <w:rPr>
                <w:sz w:val="10"/>
                <w:szCs w:val="10"/>
                <w:color w:val="auto"/>
              </w:rPr>
            </w:pPr>
          </w:p>
        </w:tc>
        <w:tc>
          <w:tcPr>
            <w:tcW w:w="1180" w:type="dxa"/>
            <w:vAlign w:val="bottom"/>
            <w:tcBorders>
              <w:top w:val="single" w:sz="8" w:color="auto"/>
            </w:tcBorders>
            <w:shd w:val="clear" w:color="auto" w:fill="DBDBDB"/>
          </w:tcPr>
          <w:p>
            <w:pPr>
              <w:spacing w:after="0"/>
              <w:rPr>
                <w:sz w:val="10"/>
                <w:szCs w:val="10"/>
                <w:color w:val="auto"/>
              </w:rPr>
            </w:pPr>
          </w:p>
        </w:tc>
      </w:tr>
      <w:tr>
        <w:trPr>
          <w:trHeight w:val="143"/>
        </w:trPr>
        <w:tc>
          <w:tcPr>
            <w:tcW w:w="8160" w:type="dxa"/>
            <w:vAlign w:val="bottom"/>
          </w:tcPr>
          <w:p>
            <w:pPr>
              <w:spacing w:after="0"/>
              <w:rPr>
                <w:sz w:val="20"/>
                <w:szCs w:val="20"/>
                <w:color w:val="auto"/>
              </w:rPr>
            </w:pPr>
            <w:r>
              <w:rPr>
                <w:rFonts w:ascii="Arial" w:cs="Arial" w:eastAsia="Arial" w:hAnsi="Arial"/>
                <w:sz w:val="11"/>
                <w:szCs w:val="11"/>
                <w:color w:val="auto"/>
              </w:rPr>
              <w:t>Net (loss) income</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(509)</w:t>
            </w:r>
          </w:p>
        </w:tc>
        <w:tc>
          <w:tcPr>
            <w:tcW w:w="100" w:type="dxa"/>
            <w:vAlign w:val="bottom"/>
          </w:tcPr>
          <w:p>
            <w:pPr>
              <w:spacing w:after="0"/>
              <w:rPr>
                <w:sz w:val="12"/>
                <w:szCs w:val="12"/>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3,990</w:t>
            </w:r>
          </w:p>
        </w:tc>
      </w:tr>
      <w:tr>
        <w:trPr>
          <w:trHeight w:val="145"/>
        </w:trPr>
        <w:tc>
          <w:tcPr>
            <w:tcW w:w="8160" w:type="dxa"/>
            <w:vAlign w:val="bottom"/>
            <w:shd w:val="clear" w:color="auto" w:fill="DBDBDB"/>
          </w:tcPr>
          <w:p>
            <w:pPr>
              <w:spacing w:after="0"/>
              <w:rPr>
                <w:sz w:val="20"/>
                <w:szCs w:val="20"/>
                <w:color w:val="auto"/>
              </w:rPr>
            </w:pPr>
            <w:r>
              <w:rPr>
                <w:rFonts w:ascii="Arial" w:cs="Arial" w:eastAsia="Arial" w:hAnsi="Arial"/>
                <w:sz w:val="11"/>
                <w:szCs w:val="11"/>
                <w:color w:val="auto"/>
              </w:rPr>
              <w:t>Adjustments to reconcile net (loss) income to net cash provided by operating activities:</w:t>
            </w:r>
          </w:p>
        </w:tc>
        <w:tc>
          <w:tcPr>
            <w:tcW w:w="220" w:type="dxa"/>
            <w:vAlign w:val="bottom"/>
            <w:shd w:val="clear" w:color="auto" w:fill="DBDBDB"/>
          </w:tcPr>
          <w:p>
            <w:pPr>
              <w:spacing w:after="0"/>
              <w:rPr>
                <w:sz w:val="12"/>
                <w:szCs w:val="12"/>
                <w:color w:val="auto"/>
              </w:rPr>
            </w:pPr>
          </w:p>
        </w:tc>
        <w:tc>
          <w:tcPr>
            <w:tcW w:w="13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180" w:type="dxa"/>
            <w:vAlign w:val="bottom"/>
            <w:shd w:val="clear" w:color="auto" w:fill="DBDBDB"/>
          </w:tcPr>
          <w:p>
            <w:pPr>
              <w:spacing w:after="0"/>
              <w:rPr>
                <w:sz w:val="12"/>
                <w:szCs w:val="12"/>
                <w:color w:val="auto"/>
              </w:rPr>
            </w:pPr>
          </w:p>
        </w:tc>
      </w:tr>
      <w:tr>
        <w:trPr>
          <w:trHeight w:val="143"/>
        </w:trPr>
        <w:tc>
          <w:tcPr>
            <w:tcW w:w="8160" w:type="dxa"/>
            <w:vAlign w:val="bottom"/>
          </w:tcPr>
          <w:p>
            <w:pPr>
              <w:ind w:left="220"/>
              <w:spacing w:after="0"/>
              <w:rPr>
                <w:sz w:val="20"/>
                <w:szCs w:val="20"/>
                <w:color w:val="auto"/>
              </w:rPr>
            </w:pPr>
            <w:r>
              <w:rPr>
                <w:rFonts w:ascii="Arial" w:cs="Arial" w:eastAsia="Arial" w:hAnsi="Arial"/>
                <w:sz w:val="11"/>
                <w:szCs w:val="11"/>
                <w:color w:val="auto"/>
              </w:rPr>
              <w:t>Depreciation and amortization</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7,936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7,040</w:t>
            </w:r>
          </w:p>
        </w:tc>
      </w:tr>
      <w:tr>
        <w:trPr>
          <w:trHeight w:val="145"/>
        </w:trPr>
        <w:tc>
          <w:tcPr>
            <w:tcW w:w="816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Amortization of debt issuance costs and discount</w:t>
            </w:r>
          </w:p>
        </w:tc>
        <w:tc>
          <w:tcPr>
            <w:tcW w:w="220" w:type="dxa"/>
            <w:vAlign w:val="bottom"/>
            <w:shd w:val="clear" w:color="auto" w:fill="DBDBDB"/>
          </w:tcPr>
          <w:p>
            <w:pPr>
              <w:spacing w:after="0"/>
              <w:rPr>
                <w:sz w:val="12"/>
                <w:szCs w:val="12"/>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170</w:t>
            </w:r>
          </w:p>
        </w:tc>
        <w:tc>
          <w:tcPr>
            <w:tcW w:w="10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1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176</w:t>
            </w:r>
          </w:p>
        </w:tc>
      </w:tr>
      <w:tr>
        <w:trPr>
          <w:trHeight w:val="143"/>
        </w:trPr>
        <w:tc>
          <w:tcPr>
            <w:tcW w:w="8160" w:type="dxa"/>
            <w:vAlign w:val="bottom"/>
          </w:tcPr>
          <w:p>
            <w:pPr>
              <w:ind w:left="220"/>
              <w:spacing w:after="0"/>
              <w:rPr>
                <w:sz w:val="20"/>
                <w:szCs w:val="20"/>
                <w:color w:val="auto"/>
              </w:rPr>
            </w:pPr>
            <w:r>
              <w:rPr>
                <w:rFonts w:ascii="Arial" w:cs="Arial" w:eastAsia="Arial" w:hAnsi="Arial"/>
                <w:sz w:val="11"/>
                <w:szCs w:val="11"/>
                <w:color w:val="auto"/>
              </w:rPr>
              <w:t>Loss on sales of assets</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72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61</w:t>
            </w:r>
          </w:p>
        </w:tc>
      </w:tr>
      <w:tr>
        <w:trPr>
          <w:trHeight w:val="145"/>
        </w:trPr>
        <w:tc>
          <w:tcPr>
            <w:tcW w:w="8160" w:type="dxa"/>
            <w:vAlign w:val="bottom"/>
            <w:shd w:val="clear" w:color="auto" w:fill="DBDBDB"/>
          </w:tcPr>
          <w:p>
            <w:pPr>
              <w:ind w:left="220"/>
              <w:spacing w:after="0"/>
              <w:rPr>
                <w:sz w:val="20"/>
                <w:szCs w:val="20"/>
                <w:color w:val="auto"/>
              </w:rPr>
            </w:pPr>
            <w:r>
              <w:rPr>
                <w:rFonts w:ascii="Arial" w:cs="Arial" w:eastAsia="Arial" w:hAnsi="Arial"/>
                <w:sz w:val="11"/>
                <w:szCs w:val="11"/>
                <w:color w:val="auto"/>
              </w:rPr>
              <w:t>Equity-based compensation</w:t>
            </w:r>
          </w:p>
        </w:tc>
        <w:tc>
          <w:tcPr>
            <w:tcW w:w="220" w:type="dxa"/>
            <w:vAlign w:val="bottom"/>
            <w:shd w:val="clear" w:color="auto" w:fill="DBDBDB"/>
          </w:tcPr>
          <w:p>
            <w:pPr>
              <w:spacing w:after="0"/>
              <w:rPr>
                <w:sz w:val="12"/>
                <w:szCs w:val="12"/>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3,230</w:t>
            </w:r>
          </w:p>
        </w:tc>
        <w:tc>
          <w:tcPr>
            <w:tcW w:w="10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1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1,950</w:t>
            </w:r>
          </w:p>
        </w:tc>
      </w:tr>
      <w:tr>
        <w:trPr>
          <w:trHeight w:val="143"/>
        </w:trPr>
        <w:tc>
          <w:tcPr>
            <w:tcW w:w="8160" w:type="dxa"/>
            <w:vAlign w:val="bottom"/>
          </w:tcPr>
          <w:p>
            <w:pPr>
              <w:ind w:left="220"/>
              <w:spacing w:after="0"/>
              <w:rPr>
                <w:sz w:val="20"/>
                <w:szCs w:val="20"/>
                <w:color w:val="auto"/>
              </w:rPr>
            </w:pPr>
            <w:r>
              <w:rPr>
                <w:rFonts w:ascii="Arial" w:cs="Arial" w:eastAsia="Arial" w:hAnsi="Arial"/>
                <w:sz w:val="11"/>
                <w:szCs w:val="11"/>
                <w:color w:val="auto"/>
              </w:rPr>
              <w:t>Deferred income tax (benefit) expense</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1,360</w:t>
            </w:r>
          </w:p>
        </w:tc>
      </w:tr>
      <w:tr>
        <w:trPr>
          <w:trHeight w:val="145"/>
        </w:trPr>
        <w:tc>
          <w:tcPr>
            <w:tcW w:w="8160" w:type="dxa"/>
            <w:vAlign w:val="bottom"/>
            <w:shd w:val="clear" w:color="auto" w:fill="DBDBDB"/>
          </w:tcPr>
          <w:p>
            <w:pPr>
              <w:ind w:left="220"/>
              <w:spacing w:after="0"/>
              <w:rPr>
                <w:sz w:val="20"/>
                <w:szCs w:val="20"/>
                <w:color w:val="auto"/>
              </w:rPr>
            </w:pPr>
            <w:r>
              <w:rPr>
                <w:rFonts w:ascii="Arial" w:cs="Arial" w:eastAsia="Arial" w:hAnsi="Arial"/>
                <w:sz w:val="11"/>
                <w:szCs w:val="11"/>
                <w:color w:val="auto"/>
              </w:rPr>
              <w:t>Tax Receivable Agreement liability adjustment</w:t>
            </w:r>
          </w:p>
        </w:tc>
        <w:tc>
          <w:tcPr>
            <w:tcW w:w="220" w:type="dxa"/>
            <w:vAlign w:val="bottom"/>
            <w:shd w:val="clear" w:color="auto" w:fill="DBDBDB"/>
          </w:tcPr>
          <w:p>
            <w:pPr>
              <w:spacing w:after="0"/>
              <w:rPr>
                <w:sz w:val="12"/>
                <w:szCs w:val="12"/>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(412)</w:t>
            </w:r>
          </w:p>
        </w:tc>
        <w:tc>
          <w:tcPr>
            <w:tcW w:w="10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(647)</w:t>
            </w:r>
          </w:p>
        </w:tc>
      </w:tr>
      <w:tr>
        <w:trPr>
          <w:trHeight w:val="143"/>
        </w:trPr>
        <w:tc>
          <w:tcPr>
            <w:tcW w:w="8160" w:type="dxa"/>
            <w:vAlign w:val="bottom"/>
          </w:tcPr>
          <w:p>
            <w:pPr>
              <w:ind w:left="220"/>
              <w:spacing w:after="0"/>
              <w:rPr>
                <w:sz w:val="20"/>
                <w:szCs w:val="20"/>
                <w:color w:val="auto"/>
              </w:rPr>
            </w:pPr>
            <w:r>
              <w:rPr>
                <w:rFonts w:ascii="Arial" w:cs="Arial" w:eastAsia="Arial" w:hAnsi="Arial"/>
                <w:sz w:val="11"/>
                <w:szCs w:val="11"/>
                <w:color w:val="auto"/>
              </w:rPr>
              <w:t>Gift card breakage</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(336)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(301)</w:t>
            </w:r>
          </w:p>
        </w:tc>
      </w:tr>
      <w:tr>
        <w:trPr>
          <w:trHeight w:val="145"/>
        </w:trPr>
        <w:tc>
          <w:tcPr>
            <w:tcW w:w="8160" w:type="dxa"/>
            <w:vAlign w:val="bottom"/>
            <w:shd w:val="clear" w:color="auto" w:fill="DBDBDB"/>
          </w:tcPr>
          <w:p>
            <w:pPr>
              <w:ind w:left="80"/>
              <w:spacing w:after="0"/>
              <w:rPr>
                <w:sz w:val="20"/>
                <w:szCs w:val="20"/>
                <w:color w:val="auto"/>
              </w:rPr>
            </w:pPr>
            <w:r>
              <w:rPr>
                <w:rFonts w:ascii="Arial" w:cs="Arial" w:eastAsia="Arial" w:hAnsi="Arial"/>
                <w:sz w:val="11"/>
                <w:szCs w:val="11"/>
                <w:color w:val="auto"/>
              </w:rPr>
              <w:t>Changes in operating assets and liabilities:</w:t>
            </w:r>
          </w:p>
        </w:tc>
        <w:tc>
          <w:tcPr>
            <w:tcW w:w="220" w:type="dxa"/>
            <w:vAlign w:val="bottom"/>
            <w:shd w:val="clear" w:color="auto" w:fill="DBDBDB"/>
          </w:tcPr>
          <w:p>
            <w:pPr>
              <w:spacing w:after="0"/>
              <w:rPr>
                <w:sz w:val="12"/>
                <w:szCs w:val="12"/>
                <w:color w:val="auto"/>
              </w:rPr>
            </w:pPr>
          </w:p>
        </w:tc>
        <w:tc>
          <w:tcPr>
            <w:tcW w:w="130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180" w:type="dxa"/>
            <w:vAlign w:val="bottom"/>
            <w:shd w:val="clear" w:color="auto" w:fill="DBDBDB"/>
          </w:tcPr>
          <w:p>
            <w:pPr>
              <w:spacing w:after="0"/>
              <w:rPr>
                <w:sz w:val="12"/>
                <w:szCs w:val="12"/>
                <w:color w:val="auto"/>
              </w:rPr>
            </w:pPr>
          </w:p>
        </w:tc>
      </w:tr>
      <w:tr>
        <w:trPr>
          <w:trHeight w:val="143"/>
        </w:trPr>
        <w:tc>
          <w:tcPr>
            <w:tcW w:w="8160" w:type="dxa"/>
            <w:vAlign w:val="bottom"/>
          </w:tcPr>
          <w:p>
            <w:pPr>
              <w:ind w:left="220"/>
              <w:spacing w:after="0"/>
              <w:rPr>
                <w:sz w:val="20"/>
                <w:szCs w:val="20"/>
                <w:color w:val="auto"/>
              </w:rPr>
            </w:pPr>
            <w:r>
              <w:rPr>
                <w:rFonts w:ascii="Arial" w:cs="Arial" w:eastAsia="Arial" w:hAnsi="Arial"/>
                <w:sz w:val="11"/>
                <w:szCs w:val="11"/>
                <w:color w:val="auto"/>
              </w:rPr>
              <w:t>Accounts receivables</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1,434</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527</w:t>
            </w:r>
          </w:p>
        </w:tc>
      </w:tr>
      <w:tr>
        <w:trPr>
          <w:trHeight w:val="145"/>
        </w:trPr>
        <w:tc>
          <w:tcPr>
            <w:tcW w:w="8160" w:type="dxa"/>
            <w:vAlign w:val="bottom"/>
            <w:shd w:val="clear" w:color="auto" w:fill="DBDBDB"/>
          </w:tcPr>
          <w:p>
            <w:pPr>
              <w:ind w:left="220"/>
              <w:spacing w:after="0"/>
              <w:rPr>
                <w:sz w:val="20"/>
                <w:szCs w:val="20"/>
                <w:color w:val="auto"/>
              </w:rPr>
            </w:pPr>
            <w:r>
              <w:rPr>
                <w:rFonts w:ascii="Arial" w:cs="Arial" w:eastAsia="Arial" w:hAnsi="Arial"/>
                <w:sz w:val="11"/>
                <w:szCs w:val="11"/>
                <w:color w:val="auto"/>
              </w:rPr>
              <w:t>Receivables from related parties</w:t>
            </w:r>
          </w:p>
        </w:tc>
        <w:tc>
          <w:tcPr>
            <w:tcW w:w="220" w:type="dxa"/>
            <w:vAlign w:val="bottom"/>
            <w:shd w:val="clear" w:color="auto" w:fill="DBDBDB"/>
          </w:tcPr>
          <w:p>
            <w:pPr>
              <w:spacing w:after="0"/>
              <w:rPr>
                <w:sz w:val="12"/>
                <w:szCs w:val="12"/>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w:t>
            </w:r>
          </w:p>
        </w:tc>
      </w:tr>
      <w:tr>
        <w:trPr>
          <w:trHeight w:val="143"/>
        </w:trPr>
        <w:tc>
          <w:tcPr>
            <w:tcW w:w="8160" w:type="dxa"/>
            <w:vAlign w:val="bottom"/>
          </w:tcPr>
          <w:p>
            <w:pPr>
              <w:ind w:left="220"/>
              <w:spacing w:after="0"/>
              <w:rPr>
                <w:sz w:val="20"/>
                <w:szCs w:val="20"/>
                <w:color w:val="auto"/>
              </w:rPr>
            </w:pPr>
            <w:r>
              <w:rPr>
                <w:rFonts w:ascii="Arial" w:cs="Arial" w:eastAsia="Arial" w:hAnsi="Arial"/>
                <w:sz w:val="11"/>
                <w:szCs w:val="11"/>
                <w:color w:val="auto"/>
              </w:rPr>
              <w:t>Inventories</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539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1,240</w:t>
            </w:r>
          </w:p>
        </w:tc>
      </w:tr>
      <w:tr>
        <w:trPr>
          <w:trHeight w:val="145"/>
        </w:trPr>
        <w:tc>
          <w:tcPr>
            <w:tcW w:w="816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Other current assets</w:t>
            </w:r>
          </w:p>
        </w:tc>
        <w:tc>
          <w:tcPr>
            <w:tcW w:w="220" w:type="dxa"/>
            <w:vAlign w:val="bottom"/>
            <w:shd w:val="clear" w:color="auto" w:fill="DBDBDB"/>
          </w:tcPr>
          <w:p>
            <w:pPr>
              <w:spacing w:after="0"/>
              <w:rPr>
                <w:sz w:val="12"/>
                <w:szCs w:val="12"/>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(281)</w:t>
            </w:r>
          </w:p>
        </w:tc>
        <w:tc>
          <w:tcPr>
            <w:tcW w:w="10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(897)</w:t>
            </w:r>
          </w:p>
        </w:tc>
      </w:tr>
      <w:tr>
        <w:trPr>
          <w:trHeight w:val="143"/>
        </w:trPr>
        <w:tc>
          <w:tcPr>
            <w:tcW w:w="8160" w:type="dxa"/>
            <w:vAlign w:val="bottom"/>
          </w:tcPr>
          <w:p>
            <w:pPr>
              <w:ind w:left="220"/>
              <w:spacing w:after="0"/>
              <w:rPr>
                <w:sz w:val="20"/>
                <w:szCs w:val="20"/>
                <w:color w:val="auto"/>
              </w:rPr>
            </w:pPr>
            <w:r>
              <w:rPr>
                <w:rFonts w:ascii="Arial" w:cs="Arial" w:eastAsia="Arial" w:hAnsi="Arial"/>
                <w:sz w:val="11"/>
                <w:szCs w:val="11"/>
                <w:color w:val="auto"/>
              </w:rPr>
              <w:t>Operating lease asset</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2,475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2,383</w:t>
            </w:r>
          </w:p>
        </w:tc>
      </w:tr>
      <w:tr>
        <w:trPr>
          <w:trHeight w:val="145"/>
        </w:trPr>
        <w:tc>
          <w:tcPr>
            <w:tcW w:w="816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Accounts payable</w:t>
            </w:r>
          </w:p>
        </w:tc>
        <w:tc>
          <w:tcPr>
            <w:tcW w:w="220" w:type="dxa"/>
            <w:vAlign w:val="bottom"/>
            <w:shd w:val="clear" w:color="auto" w:fill="DBDBDB"/>
          </w:tcPr>
          <w:p>
            <w:pPr>
              <w:spacing w:after="0"/>
              <w:rPr>
                <w:sz w:val="12"/>
                <w:szCs w:val="12"/>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(1,378)</w:t>
            </w:r>
          </w:p>
        </w:tc>
        <w:tc>
          <w:tcPr>
            <w:tcW w:w="10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(6,876)</w:t>
            </w:r>
          </w:p>
        </w:tc>
      </w:tr>
      <w:tr>
        <w:trPr>
          <w:trHeight w:val="143"/>
        </w:trPr>
        <w:tc>
          <w:tcPr>
            <w:tcW w:w="8160" w:type="dxa"/>
            <w:vAlign w:val="bottom"/>
          </w:tcPr>
          <w:p>
            <w:pPr>
              <w:ind w:left="220"/>
              <w:spacing w:after="0"/>
              <w:rPr>
                <w:sz w:val="20"/>
                <w:szCs w:val="20"/>
                <w:color w:val="auto"/>
              </w:rPr>
            </w:pPr>
            <w:r>
              <w:rPr>
                <w:rFonts w:ascii="Arial" w:cs="Arial" w:eastAsia="Arial" w:hAnsi="Arial"/>
                <w:sz w:val="11"/>
                <w:szCs w:val="11"/>
                <w:color w:val="auto"/>
              </w:rPr>
              <w:t>Accrued expenses and other liabilities</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2,970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(227)</w:t>
            </w:r>
          </w:p>
        </w:tc>
      </w:tr>
      <w:tr>
        <w:trPr>
          <w:trHeight w:val="145"/>
        </w:trPr>
        <w:tc>
          <w:tcPr>
            <w:tcW w:w="8160" w:type="dxa"/>
            <w:vAlign w:val="bottom"/>
            <w:shd w:val="clear" w:color="auto" w:fill="DBDBDB"/>
          </w:tcPr>
          <w:p>
            <w:pPr>
              <w:ind w:left="220"/>
              <w:spacing w:after="0"/>
              <w:rPr>
                <w:sz w:val="20"/>
                <w:szCs w:val="20"/>
                <w:color w:val="auto"/>
              </w:rPr>
            </w:pPr>
            <w:r>
              <w:rPr>
                <w:rFonts w:ascii="Arial" w:cs="Arial" w:eastAsia="Arial" w:hAnsi="Arial"/>
                <w:sz w:val="11"/>
                <w:szCs w:val="11"/>
                <w:color w:val="auto"/>
              </w:rPr>
              <w:t>Operating lease liabilities</w:t>
            </w:r>
          </w:p>
        </w:tc>
        <w:tc>
          <w:tcPr>
            <w:tcW w:w="220" w:type="dxa"/>
            <w:vAlign w:val="bottom"/>
            <w:shd w:val="clear" w:color="auto" w:fill="DBDBDB"/>
          </w:tcPr>
          <w:p>
            <w:pPr>
              <w:spacing w:after="0"/>
              <w:rPr>
                <w:sz w:val="12"/>
                <w:szCs w:val="12"/>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(785)</w:t>
            </w:r>
          </w:p>
        </w:tc>
        <w:tc>
          <w:tcPr>
            <w:tcW w:w="10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(975)</w:t>
            </w:r>
          </w:p>
        </w:tc>
      </w:tr>
      <w:tr>
        <w:trPr>
          <w:trHeight w:val="143"/>
        </w:trPr>
        <w:tc>
          <w:tcPr>
            <w:tcW w:w="8160" w:type="dxa"/>
            <w:vAlign w:val="bottom"/>
          </w:tcPr>
          <w:p>
            <w:pPr>
              <w:ind w:left="220"/>
              <w:spacing w:after="0"/>
              <w:rPr>
                <w:sz w:val="20"/>
                <w:szCs w:val="20"/>
                <w:color w:val="auto"/>
              </w:rPr>
            </w:pPr>
            <w:r>
              <w:rPr>
                <w:rFonts w:ascii="Arial" w:cs="Arial" w:eastAsia="Arial" w:hAnsi="Arial"/>
                <w:sz w:val="11"/>
                <w:szCs w:val="11"/>
                <w:color w:val="auto"/>
              </w:rPr>
              <w:t>Deferred lease incentives</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2,091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44"/>
        </w:trPr>
        <w:tc>
          <w:tcPr>
            <w:tcW w:w="8160" w:type="dxa"/>
            <w:vAlign w:val="bottom"/>
            <w:tcBorders>
              <w:bottom w:val="single" w:sz="8" w:color="auto"/>
            </w:tcBorders>
            <w:shd w:val="clear" w:color="auto" w:fill="DBDBDB"/>
          </w:tcPr>
          <w:p>
            <w:pPr>
              <w:ind w:left="220"/>
              <w:spacing w:after="0"/>
              <w:rPr>
                <w:sz w:val="20"/>
                <w:szCs w:val="20"/>
                <w:color w:val="auto"/>
              </w:rPr>
            </w:pPr>
            <w:r>
              <w:rPr>
                <w:rFonts w:ascii="Arial" w:cs="Arial" w:eastAsia="Arial" w:hAnsi="Arial"/>
                <w:sz w:val="11"/>
                <w:szCs w:val="11"/>
                <w:color w:val="auto"/>
              </w:rPr>
              <w:t>Other assets and liabilities</w:t>
            </w:r>
          </w:p>
        </w:tc>
        <w:tc>
          <w:tcPr>
            <w:tcW w:w="220" w:type="dxa"/>
            <w:vAlign w:val="bottom"/>
            <w:tcBorders>
              <w:bottom w:val="single" w:sz="8" w:color="auto"/>
            </w:tcBorders>
            <w:shd w:val="clear" w:color="auto" w:fill="DBDBDB"/>
          </w:tcPr>
          <w:p>
            <w:pPr>
              <w:spacing w:after="0"/>
              <w:rPr>
                <w:sz w:val="12"/>
                <w:szCs w:val="12"/>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518</w:t>
            </w:r>
          </w:p>
        </w:tc>
        <w:tc>
          <w:tcPr>
            <w:tcW w:w="100" w:type="dxa"/>
            <w:vAlign w:val="bottom"/>
            <w:shd w:val="clear" w:color="auto" w:fill="DBDBDB"/>
          </w:tcPr>
          <w:p>
            <w:pPr>
              <w:spacing w:after="0"/>
              <w:rPr>
                <w:sz w:val="12"/>
                <w:szCs w:val="12"/>
                <w:color w:val="auto"/>
              </w:rPr>
            </w:pPr>
          </w:p>
        </w:tc>
        <w:tc>
          <w:tcPr>
            <w:tcW w:w="340" w:type="dxa"/>
            <w:vAlign w:val="bottom"/>
            <w:tcBorders>
              <w:bottom w:val="single" w:sz="8" w:color="auto"/>
            </w:tcBorders>
            <w:shd w:val="clear" w:color="auto" w:fill="DBDBDB"/>
          </w:tcPr>
          <w:p>
            <w:pPr>
              <w:spacing w:after="0"/>
              <w:rPr>
                <w:sz w:val="12"/>
                <w:szCs w:val="12"/>
                <w:color w:val="auto"/>
              </w:rPr>
            </w:pPr>
          </w:p>
        </w:tc>
        <w:tc>
          <w:tcPr>
            <w:tcW w:w="11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654</w:t>
            </w:r>
          </w:p>
        </w:tc>
      </w:tr>
      <w:tr>
        <w:trPr>
          <w:trHeight w:val="134"/>
        </w:trPr>
        <w:tc>
          <w:tcPr>
            <w:tcW w:w="816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NET CASH PROVIDED BY OPERATING ACTIVITIES</w:t>
            </w:r>
          </w:p>
        </w:tc>
        <w:tc>
          <w:tcPr>
            <w:tcW w:w="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17,554</w:t>
            </w:r>
          </w:p>
        </w:tc>
        <w:tc>
          <w:tcPr>
            <w:tcW w:w="100" w:type="dxa"/>
            <w:vAlign w:val="bottom"/>
            <w:tcBorders>
              <w:bottom w:val="single" w:sz="8" w:color="DBDBDB"/>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9,450</w:t>
            </w:r>
          </w:p>
        </w:tc>
      </w:tr>
      <w:tr>
        <w:trPr>
          <w:trHeight w:val="133"/>
        </w:trPr>
        <w:tc>
          <w:tcPr>
            <w:tcW w:w="816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20" w:type="dxa"/>
            <w:vAlign w:val="bottom"/>
            <w:shd w:val="clear" w:color="auto" w:fill="DBDBDB"/>
          </w:tcPr>
          <w:p>
            <w:pPr>
              <w:spacing w:after="0"/>
              <w:rPr>
                <w:sz w:val="11"/>
                <w:szCs w:val="11"/>
                <w:color w:val="auto"/>
              </w:rPr>
            </w:pPr>
          </w:p>
        </w:tc>
        <w:tc>
          <w:tcPr>
            <w:tcW w:w="13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340" w:type="dxa"/>
            <w:vAlign w:val="bottom"/>
            <w:shd w:val="clear" w:color="auto" w:fill="DBDBDB"/>
          </w:tcPr>
          <w:p>
            <w:pPr>
              <w:spacing w:after="0"/>
              <w:rPr>
                <w:sz w:val="11"/>
                <w:szCs w:val="11"/>
                <w:color w:val="auto"/>
              </w:rPr>
            </w:pPr>
          </w:p>
        </w:tc>
        <w:tc>
          <w:tcPr>
            <w:tcW w:w="1180" w:type="dxa"/>
            <w:vAlign w:val="bottom"/>
            <w:shd w:val="clear" w:color="auto" w:fill="DBDBDB"/>
          </w:tcPr>
          <w:p>
            <w:pPr>
              <w:spacing w:after="0"/>
              <w:rPr>
                <w:sz w:val="11"/>
                <w:szCs w:val="11"/>
                <w:color w:val="auto"/>
              </w:rPr>
            </w:pPr>
          </w:p>
        </w:tc>
      </w:tr>
      <w:tr>
        <w:trPr>
          <w:trHeight w:val="143"/>
        </w:trPr>
        <w:tc>
          <w:tcPr>
            <w:tcW w:w="8160" w:type="dxa"/>
            <w:vAlign w:val="bottom"/>
          </w:tcPr>
          <w:p>
            <w:pPr>
              <w:ind w:left="140"/>
              <w:spacing w:after="0"/>
              <w:rPr>
                <w:sz w:val="20"/>
                <w:szCs w:val="20"/>
                <w:color w:val="auto"/>
              </w:rPr>
            </w:pPr>
            <w:r>
              <w:rPr>
                <w:rFonts w:ascii="Arial" w:cs="Arial" w:eastAsia="Arial" w:hAnsi="Arial"/>
                <w:sz w:val="11"/>
                <w:szCs w:val="11"/>
                <w:color w:val="auto"/>
              </w:rPr>
              <w:t>Purchase of property and equipment</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(18,461)</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(19,040)</w:t>
            </w:r>
          </w:p>
        </w:tc>
      </w:tr>
      <w:tr>
        <w:trPr>
          <w:trHeight w:val="144"/>
        </w:trPr>
        <w:tc>
          <w:tcPr>
            <w:tcW w:w="8160" w:type="dxa"/>
            <w:vAlign w:val="bottom"/>
            <w:tcBorders>
              <w:bottom w:val="single" w:sz="8" w:color="auto"/>
            </w:tcBorders>
            <w:shd w:val="clear" w:color="auto" w:fill="DBDBDB"/>
          </w:tcPr>
          <w:p>
            <w:pPr>
              <w:ind w:left="140"/>
              <w:spacing w:after="0"/>
              <w:rPr>
                <w:sz w:val="20"/>
                <w:szCs w:val="20"/>
                <w:color w:val="auto"/>
              </w:rPr>
            </w:pPr>
            <w:r>
              <w:rPr>
                <w:rFonts w:ascii="Arial" w:cs="Arial" w:eastAsia="Arial" w:hAnsi="Arial"/>
                <w:sz w:val="11"/>
                <w:szCs w:val="11"/>
                <w:color w:val="auto"/>
              </w:rPr>
              <w:t>Other</w:t>
            </w:r>
          </w:p>
        </w:tc>
        <w:tc>
          <w:tcPr>
            <w:tcW w:w="220" w:type="dxa"/>
            <w:vAlign w:val="bottom"/>
            <w:tcBorders>
              <w:bottom w:val="single" w:sz="8" w:color="auto"/>
            </w:tcBorders>
            <w:shd w:val="clear" w:color="auto" w:fill="DBDBDB"/>
          </w:tcPr>
          <w:p>
            <w:pPr>
              <w:spacing w:after="0"/>
              <w:rPr>
                <w:sz w:val="12"/>
                <w:szCs w:val="12"/>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156</w:t>
            </w:r>
          </w:p>
        </w:tc>
        <w:tc>
          <w:tcPr>
            <w:tcW w:w="100" w:type="dxa"/>
            <w:vAlign w:val="bottom"/>
            <w:shd w:val="clear" w:color="auto" w:fill="DBDBDB"/>
          </w:tcPr>
          <w:p>
            <w:pPr>
              <w:spacing w:after="0"/>
              <w:rPr>
                <w:sz w:val="12"/>
                <w:szCs w:val="12"/>
                <w:color w:val="auto"/>
              </w:rPr>
            </w:pPr>
          </w:p>
        </w:tc>
        <w:tc>
          <w:tcPr>
            <w:tcW w:w="340" w:type="dxa"/>
            <w:vAlign w:val="bottom"/>
            <w:tcBorders>
              <w:bottom w:val="single" w:sz="8" w:color="auto"/>
            </w:tcBorders>
            <w:shd w:val="clear" w:color="auto" w:fill="DBDBDB"/>
          </w:tcPr>
          <w:p>
            <w:pPr>
              <w:spacing w:after="0"/>
              <w:rPr>
                <w:sz w:val="12"/>
                <w:szCs w:val="12"/>
                <w:color w:val="auto"/>
              </w:rPr>
            </w:pPr>
          </w:p>
        </w:tc>
        <w:tc>
          <w:tcPr>
            <w:tcW w:w="11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w:t>
            </w:r>
          </w:p>
        </w:tc>
      </w:tr>
      <w:tr>
        <w:trPr>
          <w:trHeight w:val="134"/>
        </w:trPr>
        <w:tc>
          <w:tcPr>
            <w:tcW w:w="816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NET CASH USED IN INVESTING ACTIVITIES</w:t>
            </w:r>
          </w:p>
        </w:tc>
        <w:tc>
          <w:tcPr>
            <w:tcW w:w="2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(18,305)</w:t>
            </w:r>
          </w:p>
        </w:tc>
        <w:tc>
          <w:tcPr>
            <w:tcW w:w="100" w:type="dxa"/>
            <w:vAlign w:val="bottom"/>
            <w:tcBorders>
              <w:bottom w:val="single" w:sz="8" w:color="DBDBDB"/>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(19,040)</w:t>
            </w:r>
          </w:p>
        </w:tc>
      </w:tr>
      <w:tr>
        <w:trPr>
          <w:trHeight w:val="133"/>
        </w:trPr>
        <w:tc>
          <w:tcPr>
            <w:tcW w:w="8160" w:type="dxa"/>
            <w:vAlign w:val="bottom"/>
            <w:shd w:val="clear" w:color="auto" w:fill="DBDBDB"/>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20" w:type="dxa"/>
            <w:vAlign w:val="bottom"/>
            <w:shd w:val="clear" w:color="auto" w:fill="DBDBDB"/>
          </w:tcPr>
          <w:p>
            <w:pPr>
              <w:spacing w:after="0"/>
              <w:rPr>
                <w:sz w:val="11"/>
                <w:szCs w:val="11"/>
                <w:color w:val="auto"/>
              </w:rPr>
            </w:pPr>
          </w:p>
        </w:tc>
        <w:tc>
          <w:tcPr>
            <w:tcW w:w="1300" w:type="dxa"/>
            <w:vAlign w:val="bottom"/>
            <w:shd w:val="clear" w:color="auto" w:fill="DBDBDB"/>
          </w:tcPr>
          <w:p>
            <w:pPr>
              <w:spacing w:after="0"/>
              <w:rPr>
                <w:sz w:val="11"/>
                <w:szCs w:val="11"/>
                <w:color w:val="auto"/>
              </w:rPr>
            </w:pPr>
          </w:p>
        </w:tc>
        <w:tc>
          <w:tcPr>
            <w:tcW w:w="100" w:type="dxa"/>
            <w:vAlign w:val="bottom"/>
            <w:shd w:val="clear" w:color="auto" w:fill="DBDBDB"/>
          </w:tcPr>
          <w:p>
            <w:pPr>
              <w:spacing w:after="0"/>
              <w:rPr>
                <w:sz w:val="11"/>
                <w:szCs w:val="11"/>
                <w:color w:val="auto"/>
              </w:rPr>
            </w:pPr>
          </w:p>
        </w:tc>
        <w:tc>
          <w:tcPr>
            <w:tcW w:w="340" w:type="dxa"/>
            <w:vAlign w:val="bottom"/>
            <w:shd w:val="clear" w:color="auto" w:fill="DBDBDB"/>
          </w:tcPr>
          <w:p>
            <w:pPr>
              <w:spacing w:after="0"/>
              <w:rPr>
                <w:sz w:val="11"/>
                <w:szCs w:val="11"/>
                <w:color w:val="auto"/>
              </w:rPr>
            </w:pPr>
          </w:p>
        </w:tc>
        <w:tc>
          <w:tcPr>
            <w:tcW w:w="1180" w:type="dxa"/>
            <w:vAlign w:val="bottom"/>
            <w:shd w:val="clear" w:color="auto" w:fill="DBDBDB"/>
          </w:tcPr>
          <w:p>
            <w:pPr>
              <w:spacing w:after="0"/>
              <w:rPr>
                <w:sz w:val="11"/>
                <w:szCs w:val="11"/>
                <w:color w:val="auto"/>
              </w:rPr>
            </w:pPr>
          </w:p>
        </w:tc>
      </w:tr>
      <w:tr>
        <w:trPr>
          <w:trHeight w:val="143"/>
        </w:trPr>
        <w:tc>
          <w:tcPr>
            <w:tcW w:w="8160" w:type="dxa"/>
            <w:vAlign w:val="bottom"/>
          </w:tcPr>
          <w:p>
            <w:pPr>
              <w:ind w:left="140"/>
              <w:spacing w:after="0"/>
              <w:rPr>
                <w:sz w:val="20"/>
                <w:szCs w:val="20"/>
                <w:color w:val="auto"/>
              </w:rPr>
            </w:pPr>
            <w:r>
              <w:rPr>
                <w:rFonts w:ascii="Arial" w:cs="Arial" w:eastAsia="Arial" w:hAnsi="Arial"/>
                <w:sz w:val="11"/>
                <w:szCs w:val="11"/>
                <w:color w:val="auto"/>
              </w:rPr>
              <w:t>Proceeds from short-term debt, net</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14,000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48,000</w:t>
            </w:r>
          </w:p>
        </w:tc>
      </w:tr>
      <w:tr>
        <w:trPr>
          <w:trHeight w:val="145"/>
        </w:trPr>
        <w:tc>
          <w:tcPr>
            <w:tcW w:w="81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Payments of long-term debt</w:t>
            </w:r>
          </w:p>
        </w:tc>
        <w:tc>
          <w:tcPr>
            <w:tcW w:w="220" w:type="dxa"/>
            <w:vAlign w:val="bottom"/>
            <w:shd w:val="clear" w:color="auto" w:fill="DBDBDB"/>
          </w:tcPr>
          <w:p>
            <w:pPr>
              <w:spacing w:after="0"/>
              <w:rPr>
                <w:sz w:val="12"/>
                <w:szCs w:val="12"/>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(1,562)</w:t>
            </w:r>
          </w:p>
        </w:tc>
        <w:tc>
          <w:tcPr>
            <w:tcW w:w="10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(38,750)</w:t>
            </w:r>
          </w:p>
        </w:tc>
      </w:tr>
      <w:tr>
        <w:trPr>
          <w:trHeight w:val="143"/>
        </w:trPr>
        <w:tc>
          <w:tcPr>
            <w:tcW w:w="8160" w:type="dxa"/>
            <w:vAlign w:val="bottom"/>
          </w:tcPr>
          <w:p>
            <w:pPr>
              <w:ind w:left="140"/>
              <w:spacing w:after="0"/>
              <w:rPr>
                <w:sz w:val="20"/>
                <w:szCs w:val="20"/>
                <w:color w:val="auto"/>
              </w:rPr>
            </w:pPr>
            <w:r>
              <w:rPr>
                <w:rFonts w:ascii="Arial" w:cs="Arial" w:eastAsia="Arial" w:hAnsi="Arial"/>
                <w:sz w:val="11"/>
                <w:szCs w:val="11"/>
                <w:color w:val="auto"/>
              </w:rPr>
              <w:t>Distributions paid to non-controlling interest holders</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(376)</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(1,291)</w:t>
            </w:r>
          </w:p>
        </w:tc>
      </w:tr>
      <w:tr>
        <w:trPr>
          <w:trHeight w:val="145"/>
        </w:trPr>
        <w:tc>
          <w:tcPr>
            <w:tcW w:w="81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Proceeds from stock option exercises</w:t>
            </w:r>
          </w:p>
        </w:tc>
        <w:tc>
          <w:tcPr>
            <w:tcW w:w="220" w:type="dxa"/>
            <w:vAlign w:val="bottom"/>
            <w:shd w:val="clear" w:color="auto" w:fill="DBDBDB"/>
          </w:tcPr>
          <w:p>
            <w:pPr>
              <w:spacing w:after="0"/>
              <w:rPr>
                <w:sz w:val="12"/>
                <w:szCs w:val="12"/>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231</w:t>
            </w:r>
          </w:p>
        </w:tc>
        <w:tc>
          <w:tcPr>
            <w:tcW w:w="10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1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587</w:t>
            </w:r>
          </w:p>
        </w:tc>
      </w:tr>
      <w:tr>
        <w:trPr>
          <w:trHeight w:val="143"/>
        </w:trPr>
        <w:tc>
          <w:tcPr>
            <w:tcW w:w="8160" w:type="dxa"/>
            <w:vAlign w:val="bottom"/>
          </w:tcPr>
          <w:p>
            <w:pPr>
              <w:ind w:left="140"/>
              <w:spacing w:after="0"/>
              <w:rPr>
                <w:sz w:val="20"/>
                <w:szCs w:val="20"/>
                <w:color w:val="auto"/>
              </w:rPr>
            </w:pPr>
            <w:r>
              <w:rPr>
                <w:rFonts w:ascii="Arial" w:cs="Arial" w:eastAsia="Arial" w:hAnsi="Arial"/>
                <w:sz w:val="11"/>
                <w:szCs w:val="11"/>
                <w:color w:val="auto"/>
              </w:rPr>
              <w:t>Employee withholding taxes related to net settled equity awards</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(61)</w:t>
            </w:r>
          </w:p>
        </w:tc>
      </w:tr>
      <w:tr>
        <w:trPr>
          <w:trHeight w:val="145"/>
        </w:trPr>
        <w:tc>
          <w:tcPr>
            <w:tcW w:w="81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Proceeds from Employee Stock Purchase Plan purchases</w:t>
            </w:r>
          </w:p>
        </w:tc>
        <w:tc>
          <w:tcPr>
            <w:tcW w:w="220" w:type="dxa"/>
            <w:vAlign w:val="bottom"/>
            <w:shd w:val="clear" w:color="auto" w:fill="DBDBDB"/>
          </w:tcPr>
          <w:p>
            <w:pPr>
              <w:spacing w:after="0"/>
              <w:rPr>
                <w:sz w:val="12"/>
                <w:szCs w:val="12"/>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80</w:t>
            </w:r>
          </w:p>
        </w:tc>
        <w:tc>
          <w:tcPr>
            <w:tcW w:w="100" w:type="dxa"/>
            <w:vAlign w:val="bottom"/>
            <w:shd w:val="clear" w:color="auto" w:fill="DBDBDB"/>
          </w:tcPr>
          <w:p>
            <w:pPr>
              <w:spacing w:after="0"/>
              <w:rPr>
                <w:sz w:val="12"/>
                <w:szCs w:val="12"/>
                <w:color w:val="auto"/>
              </w:rPr>
            </w:pPr>
          </w:p>
        </w:tc>
        <w:tc>
          <w:tcPr>
            <w:tcW w:w="340" w:type="dxa"/>
            <w:vAlign w:val="bottom"/>
            <w:shd w:val="clear" w:color="auto" w:fill="DBDBDB"/>
          </w:tcPr>
          <w:p>
            <w:pPr>
              <w:spacing w:after="0"/>
              <w:rPr>
                <w:sz w:val="12"/>
                <w:szCs w:val="12"/>
                <w:color w:val="auto"/>
              </w:rPr>
            </w:pPr>
          </w:p>
        </w:tc>
        <w:tc>
          <w:tcPr>
            <w:tcW w:w="1180" w:type="dxa"/>
            <w:vAlign w:val="bottom"/>
            <w:shd w:val="clear" w:color="auto" w:fill="DBDBDB"/>
          </w:tcPr>
          <w:p>
            <w:pPr>
              <w:jc w:val="right"/>
              <w:ind w:right="6"/>
              <w:spacing w:after="0"/>
              <w:rPr>
                <w:sz w:val="20"/>
                <w:szCs w:val="20"/>
                <w:color w:val="auto"/>
              </w:rPr>
            </w:pPr>
            <w:r>
              <w:rPr>
                <w:rFonts w:ascii="Arial" w:cs="Arial" w:eastAsia="Arial" w:hAnsi="Arial"/>
                <w:sz w:val="11"/>
                <w:szCs w:val="11"/>
                <w:color w:val="auto"/>
              </w:rPr>
              <w:t>114</w:t>
            </w:r>
          </w:p>
        </w:tc>
      </w:tr>
      <w:tr>
        <w:trPr>
          <w:trHeight w:val="143"/>
        </w:trPr>
        <w:tc>
          <w:tcPr>
            <w:tcW w:w="8160" w:type="dxa"/>
            <w:vAlign w:val="bottom"/>
          </w:tcPr>
          <w:p>
            <w:pPr>
              <w:ind w:left="140"/>
              <w:spacing w:after="0"/>
              <w:rPr>
                <w:sz w:val="20"/>
                <w:szCs w:val="20"/>
                <w:color w:val="auto"/>
              </w:rPr>
            </w:pPr>
            <w:r>
              <w:rPr>
                <w:rFonts w:ascii="Arial" w:cs="Arial" w:eastAsia="Arial" w:hAnsi="Arial"/>
                <w:sz w:val="11"/>
                <w:szCs w:val="11"/>
                <w:color w:val="auto"/>
              </w:rPr>
              <w:t>Payments of Tax Receivable Agreement liability</w:t>
            </w:r>
          </w:p>
        </w:tc>
        <w:tc>
          <w:tcPr>
            <w:tcW w:w="2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(7,913)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(7,686)</w:t>
            </w:r>
          </w:p>
        </w:tc>
      </w:tr>
      <w:tr>
        <w:trPr>
          <w:trHeight w:val="145"/>
        </w:trPr>
        <w:tc>
          <w:tcPr>
            <w:tcW w:w="8160" w:type="dxa"/>
            <w:vAlign w:val="bottom"/>
            <w:shd w:val="clear" w:color="auto" w:fill="DBDBDB"/>
          </w:tcPr>
          <w:p>
            <w:pPr>
              <w:ind w:left="140"/>
              <w:spacing w:after="0"/>
              <w:rPr>
                <w:sz w:val="20"/>
                <w:szCs w:val="20"/>
                <w:color w:val="auto"/>
              </w:rPr>
            </w:pPr>
            <w:r>
              <w:rPr>
                <w:rFonts w:ascii="Arial" w:cs="Arial" w:eastAsia="Arial" w:hAnsi="Arial"/>
                <w:sz w:val="11"/>
                <w:szCs w:val="11"/>
                <w:color w:val="auto"/>
              </w:rPr>
              <w:t>Payment of deferred financing costs</w:t>
            </w:r>
          </w:p>
        </w:tc>
        <w:tc>
          <w:tcPr>
            <w:tcW w:w="220" w:type="dxa"/>
            <w:vAlign w:val="bottom"/>
            <w:shd w:val="clear" w:color="auto" w:fill="DBDBDB"/>
          </w:tcPr>
          <w:p>
            <w:pPr>
              <w:spacing w:after="0"/>
              <w:rPr>
                <w:sz w:val="12"/>
                <w:szCs w:val="12"/>
                <w:color w:val="auto"/>
              </w:rPr>
            </w:pPr>
          </w:p>
        </w:tc>
        <w:tc>
          <w:tcPr>
            <w:tcW w:w="140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340" w:type="dxa"/>
            <w:vAlign w:val="bottom"/>
            <w:shd w:val="clear" w:color="auto" w:fill="DBDBDB"/>
          </w:tcPr>
          <w:p>
            <w:pPr>
              <w:spacing w:after="0"/>
              <w:rPr>
                <w:sz w:val="12"/>
                <w:szCs w:val="12"/>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(1,263)</w:t>
            </w:r>
          </w:p>
        </w:tc>
      </w:tr>
      <w:tr>
        <w:trPr>
          <w:trHeight w:val="143"/>
        </w:trPr>
        <w:tc>
          <w:tcPr>
            <w:tcW w:w="816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Contributions from non-controlling interests</w:t>
            </w:r>
          </w:p>
        </w:tc>
        <w:tc>
          <w:tcPr>
            <w:tcW w:w="2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350</w:t>
            </w:r>
          </w:p>
        </w:tc>
        <w:tc>
          <w:tcPr>
            <w:tcW w:w="100" w:type="dxa"/>
            <w:vAlign w:val="bottom"/>
            <w:tcBorders>
              <w:bottom w:val="single" w:sz="8" w:color="DBDBDB"/>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r>
      <w:tr>
        <w:trPr>
          <w:trHeight w:val="134"/>
        </w:trPr>
        <w:tc>
          <w:tcPr>
            <w:tcW w:w="816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1"/>
                <w:szCs w:val="11"/>
                <w:b w:val="1"/>
                <w:bCs w:val="1"/>
                <w:color w:val="auto"/>
              </w:rPr>
              <w:t>NET CASH PROVIDED BY (USED IN) FINANCING ACTIVITIES</w:t>
            </w:r>
          </w:p>
        </w:tc>
        <w:tc>
          <w:tcPr>
            <w:tcW w:w="220" w:type="dxa"/>
            <w:vAlign w:val="bottom"/>
            <w:tcBorders>
              <w:bottom w:val="single" w:sz="8" w:color="auto"/>
            </w:tcBorders>
            <w:shd w:val="clear" w:color="auto" w:fill="DBDBDB"/>
          </w:tcPr>
          <w:p>
            <w:pPr>
              <w:spacing w:after="0"/>
              <w:rPr>
                <w:sz w:val="11"/>
                <w:szCs w:val="11"/>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4,781</w:t>
            </w:r>
          </w:p>
        </w:tc>
        <w:tc>
          <w:tcPr>
            <w:tcW w:w="100" w:type="dxa"/>
            <w:vAlign w:val="bottom"/>
            <w:shd w:val="clear" w:color="auto" w:fill="DBDBDB"/>
          </w:tcPr>
          <w:p>
            <w:pPr>
              <w:spacing w:after="0"/>
              <w:rPr>
                <w:sz w:val="11"/>
                <w:szCs w:val="11"/>
                <w:color w:val="auto"/>
              </w:rPr>
            </w:pPr>
          </w:p>
        </w:tc>
        <w:tc>
          <w:tcPr>
            <w:tcW w:w="340" w:type="dxa"/>
            <w:vAlign w:val="bottom"/>
            <w:tcBorders>
              <w:bottom w:val="single" w:sz="8" w:color="auto"/>
            </w:tcBorders>
            <w:shd w:val="clear" w:color="auto" w:fill="DBDBDB"/>
          </w:tcPr>
          <w:p>
            <w:pPr>
              <w:spacing w:after="0"/>
              <w:rPr>
                <w:sz w:val="11"/>
                <w:szCs w:val="11"/>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(350)</w:t>
            </w:r>
          </w:p>
        </w:tc>
      </w:tr>
      <w:tr>
        <w:trPr>
          <w:trHeight w:val="133"/>
        </w:trPr>
        <w:tc>
          <w:tcPr>
            <w:tcW w:w="8160" w:type="dxa"/>
            <w:vAlign w:val="bottom"/>
          </w:tcPr>
          <w:p>
            <w:pPr>
              <w:spacing w:after="0"/>
              <w:rPr>
                <w:sz w:val="20"/>
                <w:szCs w:val="20"/>
                <w:color w:val="auto"/>
              </w:rPr>
            </w:pPr>
            <w:r>
              <w:rPr>
                <w:rFonts w:ascii="Arial" w:cs="Arial" w:eastAsia="Arial" w:hAnsi="Arial"/>
                <w:sz w:val="11"/>
                <w:szCs w:val="11"/>
                <w:b w:val="1"/>
                <w:bCs w:val="1"/>
                <w:color w:val="auto"/>
              </w:rPr>
              <w:t>NET INCREASE (DECREASE) IN CASH AND CASH EQUIVALENTS AND RESTRICTED CASH</w:t>
            </w:r>
          </w:p>
        </w:tc>
        <w:tc>
          <w:tcPr>
            <w:tcW w:w="22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4,030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(9,940)</w:t>
            </w:r>
          </w:p>
        </w:tc>
      </w:tr>
      <w:tr>
        <w:trPr>
          <w:trHeight w:val="144"/>
        </w:trPr>
        <w:tc>
          <w:tcPr>
            <w:tcW w:w="816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1"/>
                <w:szCs w:val="11"/>
                <w:b w:val="1"/>
                <w:bCs w:val="1"/>
                <w:color w:val="auto"/>
              </w:rPr>
              <w:t>CASH AND CASH EQUIVALENTS AND RESTRICTED CASH AT BEGINNING OF THE PERIOD</w:t>
            </w:r>
          </w:p>
        </w:tc>
        <w:tc>
          <w:tcPr>
            <w:tcW w:w="220" w:type="dxa"/>
            <w:vAlign w:val="bottom"/>
            <w:tcBorders>
              <w:bottom w:val="single" w:sz="8" w:color="auto"/>
            </w:tcBorders>
            <w:shd w:val="clear" w:color="auto" w:fill="DBDBDB"/>
          </w:tcPr>
          <w:p>
            <w:pPr>
              <w:spacing w:after="0"/>
              <w:rPr>
                <w:sz w:val="12"/>
                <w:szCs w:val="12"/>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19,963</w:t>
            </w:r>
          </w:p>
        </w:tc>
        <w:tc>
          <w:tcPr>
            <w:tcW w:w="100" w:type="dxa"/>
            <w:vAlign w:val="bottom"/>
            <w:shd w:val="clear" w:color="auto" w:fill="DBDBDB"/>
          </w:tcPr>
          <w:p>
            <w:pPr>
              <w:spacing w:after="0"/>
              <w:rPr>
                <w:sz w:val="12"/>
                <w:szCs w:val="12"/>
                <w:color w:val="auto"/>
              </w:rPr>
            </w:pPr>
          </w:p>
        </w:tc>
        <w:tc>
          <w:tcPr>
            <w:tcW w:w="340" w:type="dxa"/>
            <w:vAlign w:val="bottom"/>
            <w:tcBorders>
              <w:bottom w:val="single" w:sz="8" w:color="auto"/>
            </w:tcBorders>
            <w:shd w:val="clear" w:color="auto" w:fill="DBDBDB"/>
          </w:tcPr>
          <w:p>
            <w:pPr>
              <w:spacing w:after="0"/>
              <w:rPr>
                <w:sz w:val="12"/>
                <w:szCs w:val="12"/>
                <w:color w:val="auto"/>
              </w:rPr>
            </w:pPr>
          </w:p>
        </w:tc>
        <w:tc>
          <w:tcPr>
            <w:tcW w:w="1180" w:type="dxa"/>
            <w:vAlign w:val="bottom"/>
            <w:tcBorders>
              <w:bottom w:val="single" w:sz="8" w:color="auto"/>
            </w:tcBorders>
            <w:shd w:val="clear" w:color="auto" w:fill="DBDBDB"/>
          </w:tcPr>
          <w:p>
            <w:pPr>
              <w:jc w:val="right"/>
              <w:ind w:right="6"/>
              <w:spacing w:after="0"/>
              <w:rPr>
                <w:sz w:val="20"/>
                <w:szCs w:val="20"/>
                <w:color w:val="auto"/>
              </w:rPr>
            </w:pPr>
            <w:r>
              <w:rPr>
                <w:rFonts w:ascii="Arial" w:cs="Arial" w:eastAsia="Arial" w:hAnsi="Arial"/>
                <w:sz w:val="11"/>
                <w:szCs w:val="11"/>
                <w:color w:val="auto"/>
              </w:rPr>
              <w:t>22,876</w:t>
            </w:r>
          </w:p>
        </w:tc>
      </w:tr>
      <w:tr>
        <w:trPr>
          <w:trHeight w:val="133"/>
        </w:trPr>
        <w:tc>
          <w:tcPr>
            <w:tcW w:w="81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CASH AND CASH EQUIVALENTS AND RESTRICTED CASH AT END OF THE PERIOD</w:t>
            </w: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23,993</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12,936</w:t>
            </w:r>
          </w:p>
        </w:tc>
      </w:tr>
      <w:tr>
        <w:trPr>
          <w:trHeight w:val="20"/>
        </w:trPr>
        <w:tc>
          <w:tcPr>
            <w:tcW w:w="8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24" w:right="299" w:bottom="1440" w:gutter="0" w:footer="0" w:header="0"/>
        </w:sectPr>
      </w:pPr>
    </w:p>
    <w:bookmarkStart w:id="10" w:name="page11"/>
    <w:bookmarkEnd w:id="10"/>
    <w:p>
      <w:pPr>
        <w:jc w:val="center"/>
        <w:ind w:right="-7"/>
        <w:spacing w:after="0"/>
        <w:rPr>
          <w:sz w:val="20"/>
          <w:szCs w:val="20"/>
          <w:color w:val="auto"/>
        </w:rPr>
      </w:pPr>
      <w:r>
        <w:rPr>
          <w:rFonts w:ascii="Arial" w:cs="Arial" w:eastAsia="Arial" w:hAnsi="Arial"/>
          <w:sz w:val="13"/>
          <w:szCs w:val="13"/>
          <w:b w:val="1"/>
          <w:bCs w:val="1"/>
          <w:color w:val="auto"/>
        </w:rPr>
        <w:t>PORTILLO’S INC</w:t>
      </w:r>
    </w:p>
    <w:p>
      <w:pPr>
        <w:spacing w:after="0" w:line="26"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SELECTED OPERATING DATA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77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March 29, 2026</w:t>
            </w:r>
          </w:p>
        </w:tc>
        <w:tc>
          <w:tcPr>
            <w:tcW w:w="980" w:type="dxa"/>
            <w:vAlign w:val="bottom"/>
            <w:gridSpan w:val="3"/>
          </w:tcPr>
          <w:p>
            <w:pPr>
              <w:jc w:val="right"/>
              <w:ind w:right="6"/>
              <w:spacing w:after="0"/>
              <w:rPr>
                <w:sz w:val="20"/>
                <w:szCs w:val="20"/>
                <w:color w:val="auto"/>
              </w:rPr>
            </w:pPr>
            <w:r>
              <w:rPr>
                <w:rFonts w:ascii="Arial" w:cs="Arial" w:eastAsia="Arial" w:hAnsi="Arial"/>
                <w:sz w:val="11"/>
                <w:szCs w:val="11"/>
                <w:b w:val="1"/>
                <w:bCs w:val="1"/>
                <w:color w:val="auto"/>
              </w:rPr>
              <w:t>Quarter Ended</w:t>
            </w:r>
          </w:p>
        </w:tc>
        <w:tc>
          <w:tcPr>
            <w:tcW w:w="1340" w:type="dxa"/>
            <w:vAlign w:val="bottom"/>
            <w:vMerge w:val="restart"/>
          </w:tcPr>
          <w:p>
            <w:pPr>
              <w:jc w:val="right"/>
              <w:ind w:right="446"/>
              <w:spacing w:after="0"/>
              <w:rPr>
                <w:sz w:val="20"/>
                <w:szCs w:val="20"/>
                <w:color w:val="auto"/>
              </w:rPr>
            </w:pPr>
            <w:r>
              <w:rPr>
                <w:rFonts w:ascii="Arial" w:cs="Arial" w:eastAsia="Arial" w:hAnsi="Arial"/>
                <w:sz w:val="11"/>
                <w:szCs w:val="11"/>
                <w:b w:val="1"/>
                <w:bCs w:val="1"/>
                <w:color w:val="auto"/>
              </w:rPr>
              <w:t>March 30, 2025</w:t>
            </w:r>
          </w:p>
        </w:tc>
        <w:tc>
          <w:tcPr>
            <w:tcW w:w="0" w:type="dxa"/>
            <w:vAlign w:val="bottom"/>
          </w:tcPr>
          <w:p>
            <w:pPr>
              <w:spacing w:after="0"/>
              <w:rPr>
                <w:sz w:val="1"/>
                <w:szCs w:val="1"/>
                <w:color w:val="auto"/>
              </w:rPr>
            </w:pPr>
          </w:p>
        </w:tc>
      </w:tr>
      <w:tr>
        <w:trPr>
          <w:trHeight w:val="140"/>
        </w:trPr>
        <w:tc>
          <w:tcPr>
            <w:tcW w:w="7740" w:type="dxa"/>
            <w:vAlign w:val="bottom"/>
            <w:tcBorders>
              <w:bottom w:val="single" w:sz="8" w:color="DBDBDB"/>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DBDBDB"/>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740" w:type="dxa"/>
            <w:vAlign w:val="bottom"/>
            <w:shd w:val="clear" w:color="auto" w:fill="DBDBDB"/>
          </w:tcPr>
          <w:p>
            <w:pPr>
              <w:spacing w:after="0"/>
              <w:rPr>
                <w:sz w:val="20"/>
                <w:szCs w:val="20"/>
                <w:color w:val="auto"/>
              </w:rPr>
            </w:pPr>
            <w:r>
              <w:rPr>
                <w:rFonts w:ascii="Arial" w:cs="Arial" w:eastAsia="Arial" w:hAnsi="Arial"/>
                <w:sz w:val="11"/>
                <w:szCs w:val="11"/>
                <w:color w:val="auto"/>
              </w:rPr>
              <w:t>Total Restaurants (a)</w:t>
            </w:r>
          </w:p>
        </w:tc>
        <w:tc>
          <w:tcPr>
            <w:tcW w:w="1240" w:type="dxa"/>
            <w:vAlign w:val="bottom"/>
            <w:shd w:val="clear" w:color="auto" w:fill="DBDBDB"/>
          </w:tcPr>
          <w:p>
            <w:pPr>
              <w:spacing w:after="0"/>
              <w:rPr>
                <w:sz w:val="11"/>
                <w:szCs w:val="11"/>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106</w:t>
            </w:r>
          </w:p>
        </w:tc>
        <w:tc>
          <w:tcPr>
            <w:tcW w:w="60" w:type="dxa"/>
            <w:vAlign w:val="bottom"/>
            <w:shd w:val="clear" w:color="auto" w:fill="DBDBDB"/>
          </w:tcPr>
          <w:p>
            <w:pPr>
              <w:spacing w:after="0"/>
              <w:rPr>
                <w:sz w:val="11"/>
                <w:szCs w:val="11"/>
                <w:color w:val="auto"/>
              </w:rPr>
            </w:pPr>
          </w:p>
        </w:tc>
        <w:tc>
          <w:tcPr>
            <w:tcW w:w="440" w:type="dxa"/>
            <w:vAlign w:val="bottom"/>
            <w:shd w:val="clear" w:color="auto" w:fill="DBDBDB"/>
          </w:tcPr>
          <w:p>
            <w:pPr>
              <w:spacing w:after="0"/>
              <w:rPr>
                <w:sz w:val="11"/>
                <w:szCs w:val="11"/>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143"/>
        </w:trPr>
        <w:tc>
          <w:tcPr>
            <w:tcW w:w="7740" w:type="dxa"/>
            <w:vAlign w:val="bottom"/>
          </w:tcPr>
          <w:p>
            <w:pPr>
              <w:spacing w:after="0"/>
              <w:rPr>
                <w:sz w:val="20"/>
                <w:szCs w:val="20"/>
                <w:color w:val="auto"/>
              </w:rPr>
            </w:pPr>
            <w:r>
              <w:rPr>
                <w:rFonts w:ascii="Arial" w:cs="Arial" w:eastAsia="Arial" w:hAnsi="Arial"/>
                <w:sz w:val="11"/>
                <w:szCs w:val="11"/>
                <w:color w:val="auto"/>
              </w:rPr>
              <w:t>AUV (in millions) (a)</w:t>
            </w:r>
          </w:p>
        </w:tc>
        <w:tc>
          <w:tcPr>
            <w:tcW w:w="1240" w:type="dxa"/>
            <w:vAlign w:val="bottom"/>
          </w:tcPr>
          <w:p>
            <w:pPr>
              <w:jc w:val="right"/>
              <w:ind w:right="110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rPr>
              <w:t>8.3</w:t>
            </w:r>
          </w:p>
        </w:tc>
        <w:tc>
          <w:tcPr>
            <w:tcW w:w="60" w:type="dxa"/>
            <w:vAlign w:val="bottom"/>
          </w:tcPr>
          <w:p>
            <w:pPr>
              <w:spacing w:after="0"/>
              <w:rPr>
                <w:sz w:val="12"/>
                <w:szCs w:val="12"/>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86"/>
              <w:spacing w:after="0"/>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145"/>
        </w:trPr>
        <w:tc>
          <w:tcPr>
            <w:tcW w:w="7740" w:type="dxa"/>
            <w:vAlign w:val="bottom"/>
            <w:shd w:val="clear" w:color="auto" w:fill="DBDBDB"/>
          </w:tcPr>
          <w:p>
            <w:pPr>
              <w:spacing w:after="0"/>
              <w:rPr>
                <w:sz w:val="20"/>
                <w:szCs w:val="20"/>
                <w:color w:val="auto"/>
              </w:rPr>
            </w:pPr>
            <w:r>
              <w:rPr>
                <w:rFonts w:ascii="Arial" w:cs="Arial" w:eastAsia="Arial" w:hAnsi="Arial"/>
                <w:sz w:val="11"/>
                <w:szCs w:val="11"/>
                <w:color w:val="auto"/>
              </w:rPr>
              <w:t>Change in same-restaurant sales (b)</w:t>
            </w:r>
          </w:p>
        </w:tc>
        <w:tc>
          <w:tcPr>
            <w:tcW w:w="124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(0.1)%</w:t>
            </w:r>
          </w:p>
        </w:tc>
        <w:tc>
          <w:tcPr>
            <w:tcW w:w="6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1.8 %</w:t>
            </w:r>
          </w:p>
        </w:tc>
        <w:tc>
          <w:tcPr>
            <w:tcW w:w="0" w:type="dxa"/>
            <w:vAlign w:val="bottom"/>
          </w:tcPr>
          <w:p>
            <w:pPr>
              <w:spacing w:after="0"/>
              <w:rPr>
                <w:sz w:val="1"/>
                <w:szCs w:val="1"/>
                <w:color w:val="auto"/>
              </w:rPr>
            </w:pPr>
          </w:p>
        </w:tc>
      </w:tr>
      <w:tr>
        <w:trPr>
          <w:trHeight w:val="143"/>
        </w:trPr>
        <w:tc>
          <w:tcPr>
            <w:tcW w:w="7740" w:type="dxa"/>
            <w:vAlign w:val="bottom"/>
          </w:tcPr>
          <w:p>
            <w:pPr>
              <w:spacing w:after="0"/>
              <w:rPr>
                <w:sz w:val="20"/>
                <w:szCs w:val="20"/>
                <w:color w:val="auto"/>
              </w:rPr>
            </w:pPr>
            <w:r>
              <w:rPr>
                <w:rFonts w:ascii="Arial" w:cs="Arial" w:eastAsia="Arial" w:hAnsi="Arial"/>
                <w:sz w:val="11"/>
                <w:szCs w:val="11"/>
                <w:color w:val="auto"/>
              </w:rPr>
              <w:t>Adjusted EBITDA (in thousands) (b)</w:t>
            </w:r>
          </w:p>
        </w:tc>
        <w:tc>
          <w:tcPr>
            <w:tcW w:w="1240" w:type="dxa"/>
            <w:vAlign w:val="bottom"/>
          </w:tcPr>
          <w:p>
            <w:pPr>
              <w:jc w:val="right"/>
              <w:ind w:right="110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w w:val="94"/>
              </w:rPr>
              <w:t>18,453</w:t>
            </w:r>
          </w:p>
        </w:tc>
        <w:tc>
          <w:tcPr>
            <w:tcW w:w="60" w:type="dxa"/>
            <w:vAlign w:val="bottom"/>
          </w:tcPr>
          <w:p>
            <w:pPr>
              <w:spacing w:after="0"/>
              <w:rPr>
                <w:sz w:val="12"/>
                <w:szCs w:val="12"/>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86"/>
              <w:spacing w:after="0"/>
              <w:rPr>
                <w:sz w:val="20"/>
                <w:szCs w:val="20"/>
                <w:color w:val="auto"/>
              </w:rPr>
            </w:pPr>
            <w:r>
              <w:rPr>
                <w:rFonts w:ascii="Arial" w:cs="Arial" w:eastAsia="Arial" w:hAnsi="Arial"/>
                <w:sz w:val="11"/>
                <w:szCs w:val="11"/>
                <w:color w:val="auto"/>
              </w:rPr>
              <w:t>21,209</w:t>
            </w:r>
          </w:p>
        </w:tc>
        <w:tc>
          <w:tcPr>
            <w:tcW w:w="0" w:type="dxa"/>
            <w:vAlign w:val="bottom"/>
          </w:tcPr>
          <w:p>
            <w:pPr>
              <w:spacing w:after="0"/>
              <w:rPr>
                <w:sz w:val="1"/>
                <w:szCs w:val="1"/>
                <w:color w:val="auto"/>
              </w:rPr>
            </w:pPr>
          </w:p>
        </w:tc>
      </w:tr>
      <w:tr>
        <w:trPr>
          <w:trHeight w:val="145"/>
        </w:trPr>
        <w:tc>
          <w:tcPr>
            <w:tcW w:w="7740" w:type="dxa"/>
            <w:vAlign w:val="bottom"/>
            <w:shd w:val="clear" w:color="auto" w:fill="DBDBDB"/>
          </w:tcPr>
          <w:p>
            <w:pPr>
              <w:spacing w:after="0"/>
              <w:rPr>
                <w:sz w:val="20"/>
                <w:szCs w:val="20"/>
                <w:color w:val="auto"/>
              </w:rPr>
            </w:pPr>
            <w:r>
              <w:rPr>
                <w:rFonts w:ascii="Arial" w:cs="Arial" w:eastAsia="Arial" w:hAnsi="Arial"/>
                <w:sz w:val="11"/>
                <w:szCs w:val="11"/>
                <w:color w:val="auto"/>
              </w:rPr>
              <w:t>Adjusted EBITDA Margin (b)</w:t>
            </w:r>
          </w:p>
        </w:tc>
        <w:tc>
          <w:tcPr>
            <w:tcW w:w="124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10.1 %</w:t>
            </w:r>
          </w:p>
        </w:tc>
        <w:tc>
          <w:tcPr>
            <w:tcW w:w="6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12.0 %</w:t>
            </w:r>
          </w:p>
        </w:tc>
        <w:tc>
          <w:tcPr>
            <w:tcW w:w="0" w:type="dxa"/>
            <w:vAlign w:val="bottom"/>
          </w:tcPr>
          <w:p>
            <w:pPr>
              <w:spacing w:after="0"/>
              <w:rPr>
                <w:sz w:val="1"/>
                <w:szCs w:val="1"/>
                <w:color w:val="auto"/>
              </w:rPr>
            </w:pPr>
          </w:p>
        </w:tc>
      </w:tr>
      <w:tr>
        <w:trPr>
          <w:trHeight w:val="143"/>
        </w:trPr>
        <w:tc>
          <w:tcPr>
            <w:tcW w:w="7740" w:type="dxa"/>
            <w:vAlign w:val="bottom"/>
          </w:tcPr>
          <w:p>
            <w:pPr>
              <w:spacing w:after="0"/>
              <w:rPr>
                <w:sz w:val="20"/>
                <w:szCs w:val="20"/>
                <w:color w:val="auto"/>
              </w:rPr>
            </w:pPr>
            <w:r>
              <w:rPr>
                <w:rFonts w:ascii="Arial" w:cs="Arial" w:eastAsia="Arial" w:hAnsi="Arial"/>
                <w:sz w:val="11"/>
                <w:szCs w:val="11"/>
                <w:color w:val="auto"/>
              </w:rPr>
              <w:t>Restaurant-Level Adjusted EBITDA (in thousands) (b)</w:t>
            </w:r>
          </w:p>
        </w:tc>
        <w:tc>
          <w:tcPr>
            <w:tcW w:w="1240" w:type="dxa"/>
            <w:vAlign w:val="bottom"/>
          </w:tcPr>
          <w:p>
            <w:pPr>
              <w:jc w:val="right"/>
              <w:ind w:right="1106"/>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86"/>
              <w:spacing w:after="0"/>
              <w:rPr>
                <w:sz w:val="20"/>
                <w:szCs w:val="20"/>
                <w:color w:val="auto"/>
              </w:rPr>
            </w:pPr>
            <w:r>
              <w:rPr>
                <w:rFonts w:ascii="Arial" w:cs="Arial" w:eastAsia="Arial" w:hAnsi="Arial"/>
                <w:sz w:val="11"/>
                <w:szCs w:val="11"/>
                <w:color w:val="auto"/>
                <w:w w:val="94"/>
              </w:rPr>
              <w:t>34,844</w:t>
            </w:r>
          </w:p>
        </w:tc>
        <w:tc>
          <w:tcPr>
            <w:tcW w:w="60" w:type="dxa"/>
            <w:vAlign w:val="bottom"/>
          </w:tcPr>
          <w:p>
            <w:pPr>
              <w:spacing w:after="0"/>
              <w:rPr>
                <w:sz w:val="12"/>
                <w:szCs w:val="12"/>
                <w:color w:val="auto"/>
              </w:rPr>
            </w:pPr>
          </w:p>
        </w:tc>
        <w:tc>
          <w:tcPr>
            <w:tcW w:w="440" w:type="dxa"/>
            <w:vAlign w:val="bottom"/>
          </w:tcPr>
          <w:p>
            <w:pPr>
              <w:jc w:val="right"/>
              <w:ind w:right="306"/>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86"/>
              <w:spacing w:after="0"/>
              <w:rPr>
                <w:sz w:val="20"/>
                <w:szCs w:val="20"/>
                <w:color w:val="auto"/>
              </w:rPr>
            </w:pPr>
            <w:r>
              <w:rPr>
                <w:rFonts w:ascii="Arial" w:cs="Arial" w:eastAsia="Arial" w:hAnsi="Arial"/>
                <w:sz w:val="11"/>
                <w:szCs w:val="11"/>
                <w:color w:val="auto"/>
              </w:rPr>
              <w:t>36,656</w:t>
            </w:r>
          </w:p>
        </w:tc>
        <w:tc>
          <w:tcPr>
            <w:tcW w:w="0" w:type="dxa"/>
            <w:vAlign w:val="bottom"/>
          </w:tcPr>
          <w:p>
            <w:pPr>
              <w:spacing w:after="0"/>
              <w:rPr>
                <w:sz w:val="1"/>
                <w:szCs w:val="1"/>
                <w:color w:val="auto"/>
              </w:rPr>
            </w:pPr>
          </w:p>
        </w:tc>
      </w:tr>
      <w:tr>
        <w:trPr>
          <w:trHeight w:val="145"/>
        </w:trPr>
        <w:tc>
          <w:tcPr>
            <w:tcW w:w="7740" w:type="dxa"/>
            <w:vAlign w:val="bottom"/>
            <w:shd w:val="clear" w:color="auto" w:fill="DBDBDB"/>
          </w:tcPr>
          <w:p>
            <w:pPr>
              <w:spacing w:after="0"/>
              <w:rPr>
                <w:sz w:val="20"/>
                <w:szCs w:val="20"/>
                <w:color w:val="auto"/>
              </w:rPr>
            </w:pPr>
            <w:r>
              <w:rPr>
                <w:rFonts w:ascii="Arial" w:cs="Arial" w:eastAsia="Arial" w:hAnsi="Arial"/>
                <w:sz w:val="11"/>
                <w:szCs w:val="11"/>
                <w:color w:val="auto"/>
              </w:rPr>
              <w:t>Restaurant-Level Adjusted EBITDA Margin (b)</w:t>
            </w:r>
          </w:p>
        </w:tc>
        <w:tc>
          <w:tcPr>
            <w:tcW w:w="1240" w:type="dxa"/>
            <w:vAlign w:val="bottom"/>
            <w:shd w:val="clear" w:color="auto" w:fill="DBDBDB"/>
          </w:tcPr>
          <w:p>
            <w:pPr>
              <w:spacing w:after="0"/>
              <w:rPr>
                <w:sz w:val="12"/>
                <w:szCs w:val="12"/>
                <w:color w:val="auto"/>
              </w:rPr>
            </w:pPr>
          </w:p>
        </w:tc>
        <w:tc>
          <w:tcPr>
            <w:tcW w:w="4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19.1 %</w:t>
            </w:r>
          </w:p>
        </w:tc>
        <w:tc>
          <w:tcPr>
            <w:tcW w:w="6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20.8 %</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8" w:right="180" w:hanging="8"/>
        <w:spacing w:after="0" w:line="248" w:lineRule="auto"/>
        <w:tabs>
          <w:tab w:leader="none" w:pos="170" w:val="left"/>
        </w:tabs>
        <w:numPr>
          <w:ilvl w:val="0"/>
          <w:numId w:val="4"/>
        </w:numPr>
        <w:rPr>
          <w:rFonts w:ascii="Arial" w:cs="Arial" w:eastAsia="Arial" w:hAnsi="Arial"/>
          <w:sz w:val="11"/>
          <w:szCs w:val="11"/>
          <w:color w:val="auto"/>
        </w:rPr>
      </w:pPr>
      <w:r>
        <w:rPr>
          <w:rFonts w:ascii="Arial" w:cs="Arial" w:eastAsia="Arial" w:hAnsi="Arial"/>
          <w:sz w:val="11"/>
          <w:szCs w:val="11"/>
          <w:color w:val="auto"/>
        </w:rPr>
        <w:t>Includes a restaurant that is owned by C&amp;O of which Portillo’s owns 50% of the equity. AUVs for the quarters ended March 29, 2026 and March 30, 2025 represent AUVs for the twelve months ended March 29, 2026 and March 30, 2025, respectively. Total restaurants indicated are as of March 29, 2026.</w:t>
      </w:r>
    </w:p>
    <w:p>
      <w:pPr>
        <w:ind w:left="168" w:hanging="168"/>
        <w:spacing w:after="0"/>
        <w:tabs>
          <w:tab w:leader="none" w:pos="168" w:val="left"/>
        </w:tabs>
        <w:numPr>
          <w:ilvl w:val="0"/>
          <w:numId w:val="4"/>
        </w:numPr>
        <w:rPr>
          <w:rFonts w:ascii="Arial" w:cs="Arial" w:eastAsia="Arial" w:hAnsi="Arial"/>
          <w:sz w:val="11"/>
          <w:szCs w:val="11"/>
          <w:color w:val="auto"/>
        </w:rPr>
      </w:pPr>
      <w:r>
        <w:rPr>
          <w:rFonts w:ascii="Arial" w:cs="Arial" w:eastAsia="Arial" w:hAnsi="Arial"/>
          <w:sz w:val="11"/>
          <w:szCs w:val="11"/>
          <w:color w:val="auto"/>
        </w:rPr>
        <w:t>Excludes C&amp;O.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8"/>
          </w:cols>
          <w:pgMar w:left="292" w:top="124"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PORTILLO’S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NON-GAAP FINANCIAL MEASURES</w:t>
      </w:r>
    </w:p>
    <w:p>
      <w:pPr>
        <w:spacing w:after="0" w:line="317"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To supplement the consolidated financial statements, which are prepared and presented in accordance with GAAP, we use the following non-GAAP financial measures: Adjusted EBITDA and Adjusted EBITDA Margin, and Restaurant-Level Adjusted EBITDA and Restaurant-Level Adjusted EBITDA Margin. Accordingly, Restaurant-Level Adjusted EBITDA and Restaurant-Level Adjusted EBITDA Margin are not required by, nor presented in accordance with GAAP, but rather are supplemental measures of operating performance of our restaurants. You should be aware that these measures are not indicative of overall results for the Company and that Restaurant-Level Adjusted EBITDA and Restaurant-Level Adjusted EBITDA Margin do not accrue directly to the benefit of stockholders because of corporate-level expenses excluded from such measures. These measures are supplemental measures of operating performance and our calculations thereof may not be comparable to similar measures reported by other companies. These measures are important measures to evaluate the performance and profitability of our restaurants, individually and in the aggregate, but also have important limitations as analytical tools and should not be considered in isolation as substitutes for analysis of our results as reported under GAAP.</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D22630"/>
        </w:rPr>
        <w:t>Adjusted EBITDA and Adjusted EBITDA Margin</w:t>
      </w:r>
    </w:p>
    <w:p>
      <w:pPr>
        <w:spacing w:after="0" w:line="176" w:lineRule="exact"/>
        <w:rPr>
          <w:sz w:val="20"/>
          <w:szCs w:val="20"/>
          <w:color w:val="auto"/>
        </w:rPr>
      </w:pPr>
    </w:p>
    <w:p>
      <w:pPr>
        <w:jc w:val="both"/>
        <w:ind w:right="40"/>
        <w:spacing w:after="0" w:line="268" w:lineRule="auto"/>
        <w:rPr>
          <w:sz w:val="20"/>
          <w:szCs w:val="20"/>
          <w:color w:val="auto"/>
        </w:rPr>
      </w:pPr>
      <w:r>
        <w:rPr>
          <w:rFonts w:ascii="Arial" w:cs="Arial" w:eastAsia="Arial" w:hAnsi="Arial"/>
          <w:sz w:val="12"/>
          <w:szCs w:val="12"/>
          <w:color w:val="auto"/>
        </w:rPr>
        <w:t>Adjusted EBITDA represents net income (loss) before depreciation and amortization, interest expense, interest income, and income taxes, adjusted for the impact of certain non-cash and other items that we do not consider in our evaluation of ongoing core operating performance as identified in the reconciliation of net income (loss), the most directly comparable GAAP measure to Adjusted EBITDA. Adjusted EBITDA Margin represents Adjusted EBITDA as a percentage of total revenues.</w:t>
      </w:r>
    </w:p>
    <w:p>
      <w:pPr>
        <w:spacing w:after="0" w:line="132" w:lineRule="exact"/>
        <w:rPr>
          <w:sz w:val="20"/>
          <w:szCs w:val="20"/>
          <w:color w:val="auto"/>
        </w:rPr>
      </w:pPr>
    </w:p>
    <w:p>
      <w:pPr>
        <w:ind w:right="80"/>
        <w:spacing w:after="0" w:line="286" w:lineRule="auto"/>
        <w:rPr>
          <w:sz w:val="20"/>
          <w:szCs w:val="20"/>
          <w:color w:val="auto"/>
        </w:rPr>
      </w:pPr>
      <w:r>
        <w:rPr>
          <w:rFonts w:ascii="Arial" w:cs="Arial" w:eastAsia="Arial" w:hAnsi="Arial"/>
          <w:sz w:val="12"/>
          <w:szCs w:val="12"/>
          <w:color w:val="auto"/>
        </w:rPr>
        <w:t>We use Adjusted EBITDA and Adjusted EBITDA Margin (i) to evaluate our operating results and the effectiveness of our business strategies, (ii) internally as benchmarks to compare our performance to that of our competitors and (iii) as factors in evaluating management’s performance when determining incentive compensation.</w:t>
      </w:r>
    </w:p>
    <w:p>
      <w:pPr>
        <w:spacing w:after="0" w:line="121" w:lineRule="exact"/>
        <w:rPr>
          <w:sz w:val="20"/>
          <w:szCs w:val="20"/>
          <w:color w:val="auto"/>
        </w:rPr>
      </w:pPr>
    </w:p>
    <w:p>
      <w:pPr>
        <w:ind w:right="640"/>
        <w:spacing w:after="0" w:line="286" w:lineRule="auto"/>
        <w:rPr>
          <w:sz w:val="20"/>
          <w:szCs w:val="20"/>
          <w:color w:val="auto"/>
        </w:rPr>
      </w:pPr>
      <w:r>
        <w:rPr>
          <w:rFonts w:ascii="Arial" w:cs="Arial" w:eastAsia="Arial" w:hAnsi="Arial"/>
          <w:sz w:val="12"/>
          <w:szCs w:val="12"/>
          <w:color w:val="auto"/>
        </w:rPr>
        <w:t>We believe that Adjusted EBITDA and Adjusted EBITDA Margin are important measures of operating performance because they eliminate the impact of expenses that do not relate to our core operating performance.</w:t>
      </w:r>
    </w:p>
    <w:p>
      <w:pPr>
        <w:spacing w:after="0" w:line="121"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We are unable to reconcile the long-term outlook for Adjusted EBITDA to net income (loss), the corresponding U.S. GAAP measure, due to variability and difficulty in making accurate forecasts and projections and because not all information necessary to prepare the reconciliation is available to us without unreasonable efforts. For the same reasons, we are unable to address the probable significance of the unavailable information because we cannot accurately predict all of the components of the adjusted calculations and the non-GAAP measure may be materially different than the GAAP measure.</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D22630"/>
        </w:rPr>
        <w:t>Restaurant-Level Adjusted EBITDA and Restaurant-Level Adjusted EBITDA Margin</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2"/>
          <w:szCs w:val="12"/>
          <w:color w:val="auto"/>
        </w:rPr>
        <w:t>Restaurant-Level Adjusted EBITDA is defined as revenue, less restaurant operating expenses, which include cost of goods sold (excluding depreciation and amortization),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w:t>
      </w:r>
    </w:p>
    <w:p>
      <w:pPr>
        <w:spacing w:after="0" w:line="132" w:lineRule="exact"/>
        <w:rPr>
          <w:sz w:val="20"/>
          <w:szCs w:val="20"/>
          <w:color w:val="auto"/>
        </w:rPr>
      </w:pPr>
    </w:p>
    <w:p>
      <w:pPr>
        <w:ind w:right="160"/>
        <w:spacing w:after="0" w:line="286" w:lineRule="auto"/>
        <w:rPr>
          <w:sz w:val="20"/>
          <w:szCs w:val="20"/>
          <w:color w:val="auto"/>
        </w:rPr>
      </w:pPr>
      <w:r>
        <w:rPr>
          <w:rFonts w:ascii="Arial" w:cs="Arial" w:eastAsia="Arial" w:hAnsi="Arial"/>
          <w:sz w:val="12"/>
          <w:szCs w:val="12"/>
          <w:color w:val="auto"/>
        </w:rPr>
        <w:t>We believe that Restaurant-Level Adjusted EBITDA and Restaurant-Level Adjusted EBITDA Margin are important measures to evaluate the performance and profitability of our restaurants, individually and in the aggregate.</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719" w:right="299" w:bottom="1440" w:gutter="0" w:footer="0" w:header="0"/>
        </w:sectPr>
      </w:pPr>
    </w:p>
    <w:bookmarkStart w:id="12" w:name="page13"/>
    <w:bookmarkEnd w:id="12"/>
    <w:p>
      <w:pPr>
        <w:ind w:left="8"/>
        <w:spacing w:after="0"/>
        <w:rPr>
          <w:sz w:val="20"/>
          <w:szCs w:val="20"/>
          <w:color w:val="auto"/>
        </w:rPr>
      </w:pPr>
      <w:r>
        <w:rPr>
          <w:rFonts w:ascii="Arial" w:cs="Arial" w:eastAsia="Arial" w:hAnsi="Arial"/>
          <w:sz w:val="12"/>
          <w:szCs w:val="12"/>
          <w:color w:val="auto"/>
        </w:rPr>
        <w:t>See below for a reconciliation of net income, the most directly comparable GAAP measure, to Adjusted EBITDA and Adjusted EBITDA Margin (in thousands):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758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March 29, 2026</w:t>
            </w:r>
          </w:p>
        </w:tc>
        <w:tc>
          <w:tcPr>
            <w:tcW w:w="1020" w:type="dxa"/>
            <w:vAlign w:val="bottom"/>
            <w:gridSpan w:val="3"/>
          </w:tcPr>
          <w:p>
            <w:pPr>
              <w:jc w:val="right"/>
              <w:ind w:right="46"/>
              <w:spacing w:after="0"/>
              <w:rPr>
                <w:sz w:val="20"/>
                <w:szCs w:val="20"/>
                <w:color w:val="auto"/>
              </w:rPr>
            </w:pPr>
            <w:r>
              <w:rPr>
                <w:rFonts w:ascii="Arial" w:cs="Arial" w:eastAsia="Arial" w:hAnsi="Arial"/>
                <w:sz w:val="11"/>
                <w:szCs w:val="11"/>
                <w:b w:val="1"/>
                <w:bCs w:val="1"/>
                <w:color w:val="auto"/>
              </w:rPr>
              <w:t>Quarter Ended</w:t>
            </w:r>
          </w:p>
        </w:tc>
        <w:tc>
          <w:tcPr>
            <w:tcW w:w="1380" w:type="dxa"/>
            <w:vAlign w:val="bottom"/>
            <w:vMerge w:val="restart"/>
          </w:tcPr>
          <w:p>
            <w:pPr>
              <w:jc w:val="right"/>
              <w:ind w:right="466"/>
              <w:spacing w:after="0"/>
              <w:rPr>
                <w:sz w:val="20"/>
                <w:szCs w:val="20"/>
                <w:color w:val="auto"/>
              </w:rPr>
            </w:pPr>
            <w:r>
              <w:rPr>
                <w:rFonts w:ascii="Arial" w:cs="Arial" w:eastAsia="Arial" w:hAnsi="Arial"/>
                <w:sz w:val="11"/>
                <w:szCs w:val="11"/>
                <w:b w:val="1"/>
                <w:bCs w:val="1"/>
                <w:color w:val="auto"/>
              </w:rPr>
              <w:t>March 30, 2025</w:t>
            </w:r>
          </w:p>
        </w:tc>
        <w:tc>
          <w:tcPr>
            <w:tcW w:w="0" w:type="dxa"/>
            <w:vAlign w:val="bottom"/>
          </w:tcPr>
          <w:p>
            <w:pPr>
              <w:spacing w:after="0"/>
              <w:rPr>
                <w:sz w:val="1"/>
                <w:szCs w:val="1"/>
                <w:color w:val="auto"/>
              </w:rPr>
            </w:pPr>
          </w:p>
        </w:tc>
      </w:tr>
      <w:tr>
        <w:trPr>
          <w:trHeight w:val="140"/>
        </w:trPr>
        <w:tc>
          <w:tcPr>
            <w:tcW w:w="7580" w:type="dxa"/>
            <w:vAlign w:val="bottom"/>
            <w:tcBorders>
              <w:bottom w:val="single" w:sz="8" w:color="DBDBDB"/>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Borders>
              <w:bottom w:val="single" w:sz="8" w:color="DBDBDB"/>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580" w:type="dxa"/>
            <w:vAlign w:val="bottom"/>
            <w:shd w:val="clear" w:color="auto" w:fill="DBDBDB"/>
          </w:tcPr>
          <w:p>
            <w:pPr>
              <w:spacing w:after="0"/>
              <w:rPr>
                <w:sz w:val="20"/>
                <w:szCs w:val="20"/>
                <w:color w:val="auto"/>
              </w:rPr>
            </w:pPr>
            <w:r>
              <w:rPr>
                <w:rFonts w:ascii="Arial" w:cs="Arial" w:eastAsia="Arial" w:hAnsi="Arial"/>
                <w:sz w:val="11"/>
                <w:szCs w:val="11"/>
                <w:color w:val="auto"/>
              </w:rPr>
              <w:t>Net (loss) income</w:t>
            </w:r>
          </w:p>
        </w:tc>
        <w:tc>
          <w:tcPr>
            <w:tcW w:w="1320" w:type="dxa"/>
            <w:vAlign w:val="bottom"/>
            <w:shd w:val="clear" w:color="auto" w:fill="DBDBDB"/>
          </w:tcPr>
          <w:p>
            <w:pPr>
              <w:jc w:val="right"/>
              <w:ind w:right="1186"/>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(509)</w:t>
            </w:r>
          </w:p>
        </w:tc>
        <w:tc>
          <w:tcPr>
            <w:tcW w:w="80" w:type="dxa"/>
            <w:vAlign w:val="bottom"/>
            <w:shd w:val="clear" w:color="auto" w:fill="DBDBDB"/>
          </w:tcPr>
          <w:p>
            <w:pPr>
              <w:spacing w:after="0"/>
              <w:rPr>
                <w:sz w:val="11"/>
                <w:szCs w:val="11"/>
                <w:color w:val="auto"/>
              </w:rPr>
            </w:pPr>
          </w:p>
        </w:tc>
        <w:tc>
          <w:tcPr>
            <w:tcW w:w="440" w:type="dxa"/>
            <w:vAlign w:val="bottom"/>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3,990</w:t>
            </w:r>
          </w:p>
        </w:tc>
        <w:tc>
          <w:tcPr>
            <w:tcW w:w="0" w:type="dxa"/>
            <w:vAlign w:val="bottom"/>
          </w:tcPr>
          <w:p>
            <w:pPr>
              <w:spacing w:after="0"/>
              <w:rPr>
                <w:sz w:val="1"/>
                <w:szCs w:val="1"/>
                <w:color w:val="auto"/>
              </w:rPr>
            </w:pPr>
          </w:p>
        </w:tc>
      </w:tr>
      <w:tr>
        <w:trPr>
          <w:trHeight w:val="143"/>
        </w:trPr>
        <w:tc>
          <w:tcPr>
            <w:tcW w:w="7580" w:type="dxa"/>
            <w:vAlign w:val="bottom"/>
          </w:tcPr>
          <w:p>
            <w:pPr>
              <w:spacing w:after="0"/>
              <w:rPr>
                <w:sz w:val="20"/>
                <w:szCs w:val="20"/>
                <w:color w:val="auto"/>
              </w:rPr>
            </w:pPr>
            <w:r>
              <w:rPr>
                <w:rFonts w:ascii="Arial" w:cs="Arial" w:eastAsia="Arial" w:hAnsi="Arial"/>
                <w:sz w:val="11"/>
                <w:szCs w:val="11"/>
                <w:i w:val="1"/>
                <w:iCs w:val="1"/>
                <w:color w:val="auto"/>
              </w:rPr>
              <w:t>Net (loss) income margin</w:t>
            </w:r>
          </w:p>
        </w:tc>
        <w:tc>
          <w:tcPr>
            <w:tcW w:w="13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1"/>
                <w:szCs w:val="11"/>
                <w:i w:val="1"/>
                <w:iCs w:val="1"/>
                <w:color w:val="auto"/>
              </w:rPr>
              <w:t>(0.3)%</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i w:val="1"/>
                <w:iCs w:val="1"/>
                <w:color w:val="auto"/>
              </w:rPr>
              <w:t>2.3 %</w:t>
            </w:r>
          </w:p>
        </w:tc>
        <w:tc>
          <w:tcPr>
            <w:tcW w:w="0" w:type="dxa"/>
            <w:vAlign w:val="bottom"/>
          </w:tcPr>
          <w:p>
            <w:pPr>
              <w:spacing w:after="0"/>
              <w:rPr>
                <w:sz w:val="1"/>
                <w:szCs w:val="1"/>
                <w:color w:val="auto"/>
              </w:rPr>
            </w:pPr>
          </w:p>
        </w:tc>
      </w:tr>
      <w:tr>
        <w:trPr>
          <w:trHeight w:val="145"/>
        </w:trPr>
        <w:tc>
          <w:tcPr>
            <w:tcW w:w="7580" w:type="dxa"/>
            <w:vAlign w:val="bottom"/>
            <w:shd w:val="clear" w:color="auto" w:fill="DBDBDB"/>
          </w:tcPr>
          <w:p>
            <w:pPr>
              <w:spacing w:after="0"/>
              <w:rPr>
                <w:sz w:val="20"/>
                <w:szCs w:val="20"/>
                <w:color w:val="auto"/>
              </w:rPr>
            </w:pPr>
            <w:r>
              <w:rPr>
                <w:rFonts w:ascii="Arial" w:cs="Arial" w:eastAsia="Arial" w:hAnsi="Arial"/>
                <w:sz w:val="11"/>
                <w:szCs w:val="11"/>
                <w:color w:val="auto"/>
              </w:rPr>
              <w:t>Depreciation and amortization</w:t>
            </w:r>
          </w:p>
        </w:tc>
        <w:tc>
          <w:tcPr>
            <w:tcW w:w="132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7,936</w:t>
            </w:r>
          </w:p>
        </w:tc>
        <w:tc>
          <w:tcPr>
            <w:tcW w:w="8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38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7,040</w:t>
            </w:r>
          </w:p>
        </w:tc>
        <w:tc>
          <w:tcPr>
            <w:tcW w:w="0" w:type="dxa"/>
            <w:vAlign w:val="bottom"/>
          </w:tcPr>
          <w:p>
            <w:pPr>
              <w:spacing w:after="0"/>
              <w:rPr>
                <w:sz w:val="1"/>
                <w:szCs w:val="1"/>
                <w:color w:val="auto"/>
              </w:rPr>
            </w:pPr>
          </w:p>
        </w:tc>
      </w:tr>
      <w:tr>
        <w:trPr>
          <w:trHeight w:val="143"/>
        </w:trPr>
        <w:tc>
          <w:tcPr>
            <w:tcW w:w="7580" w:type="dxa"/>
            <w:vAlign w:val="bottom"/>
          </w:tcPr>
          <w:p>
            <w:pPr>
              <w:spacing w:after="0"/>
              <w:rPr>
                <w:sz w:val="20"/>
                <w:szCs w:val="20"/>
                <w:color w:val="auto"/>
              </w:rPr>
            </w:pPr>
            <w:r>
              <w:rPr>
                <w:rFonts w:ascii="Arial" w:cs="Arial" w:eastAsia="Arial" w:hAnsi="Arial"/>
                <w:sz w:val="11"/>
                <w:szCs w:val="11"/>
                <w:color w:val="auto"/>
              </w:rPr>
              <w:t>Interest expense</w:t>
            </w:r>
          </w:p>
        </w:tc>
        <w:tc>
          <w:tcPr>
            <w:tcW w:w="13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5,627</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jc w:val="right"/>
              <w:ind w:right="86"/>
              <w:spacing w:after="0"/>
              <w:rPr>
                <w:sz w:val="20"/>
                <w:szCs w:val="20"/>
                <w:color w:val="auto"/>
              </w:rPr>
            </w:pPr>
            <w:r>
              <w:rPr>
                <w:rFonts w:ascii="Arial" w:cs="Arial" w:eastAsia="Arial" w:hAnsi="Arial"/>
                <w:sz w:val="11"/>
                <w:szCs w:val="11"/>
                <w:color w:val="auto"/>
              </w:rPr>
              <w:t>5,749</w:t>
            </w:r>
          </w:p>
        </w:tc>
        <w:tc>
          <w:tcPr>
            <w:tcW w:w="0" w:type="dxa"/>
            <w:vAlign w:val="bottom"/>
          </w:tcPr>
          <w:p>
            <w:pPr>
              <w:spacing w:after="0"/>
              <w:rPr>
                <w:sz w:val="1"/>
                <w:szCs w:val="1"/>
                <w:color w:val="auto"/>
              </w:rPr>
            </w:pPr>
          </w:p>
        </w:tc>
      </w:tr>
      <w:tr>
        <w:trPr>
          <w:trHeight w:val="145"/>
        </w:trPr>
        <w:tc>
          <w:tcPr>
            <w:tcW w:w="7580" w:type="dxa"/>
            <w:vAlign w:val="bottom"/>
            <w:shd w:val="clear" w:color="auto" w:fill="DBDBDB"/>
          </w:tcPr>
          <w:p>
            <w:pPr>
              <w:spacing w:after="0"/>
              <w:rPr>
                <w:sz w:val="20"/>
                <w:szCs w:val="20"/>
                <w:color w:val="auto"/>
              </w:rPr>
            </w:pPr>
            <w:r>
              <w:rPr>
                <w:rFonts w:ascii="Arial" w:cs="Arial" w:eastAsia="Arial" w:hAnsi="Arial"/>
                <w:sz w:val="11"/>
                <w:szCs w:val="11"/>
                <w:color w:val="auto"/>
              </w:rPr>
              <w:t>Interest income</w:t>
            </w:r>
          </w:p>
        </w:tc>
        <w:tc>
          <w:tcPr>
            <w:tcW w:w="132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(50)</w:t>
            </w:r>
          </w:p>
        </w:tc>
        <w:tc>
          <w:tcPr>
            <w:tcW w:w="8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380" w:type="dxa"/>
            <w:vAlign w:val="bottom"/>
            <w:shd w:val="clear" w:color="auto" w:fill="DBDBDB"/>
          </w:tcPr>
          <w:p>
            <w:pPr>
              <w:jc w:val="right"/>
              <w:ind w:right="66"/>
              <w:spacing w:after="0"/>
              <w:rPr>
                <w:sz w:val="20"/>
                <w:szCs w:val="20"/>
                <w:color w:val="auto"/>
              </w:rPr>
            </w:pPr>
            <w:r>
              <w:rPr>
                <w:rFonts w:ascii="Arial" w:cs="Arial" w:eastAsia="Arial" w:hAnsi="Arial"/>
                <w:sz w:val="11"/>
                <w:szCs w:val="11"/>
                <w:color w:val="auto"/>
              </w:rPr>
              <w:t>(71)</w:t>
            </w:r>
          </w:p>
        </w:tc>
        <w:tc>
          <w:tcPr>
            <w:tcW w:w="0" w:type="dxa"/>
            <w:vAlign w:val="bottom"/>
          </w:tcPr>
          <w:p>
            <w:pPr>
              <w:spacing w:after="0"/>
              <w:rPr>
                <w:sz w:val="1"/>
                <w:szCs w:val="1"/>
                <w:color w:val="auto"/>
              </w:rPr>
            </w:pPr>
          </w:p>
        </w:tc>
      </w:tr>
      <w:tr>
        <w:trPr>
          <w:trHeight w:val="143"/>
        </w:trPr>
        <w:tc>
          <w:tcPr>
            <w:tcW w:w="758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Income tax (benefit) expense</w:t>
            </w:r>
          </w:p>
        </w:tc>
        <w:tc>
          <w:tcPr>
            <w:tcW w:w="1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(164)</w:t>
            </w:r>
          </w:p>
        </w:tc>
        <w:tc>
          <w:tcPr>
            <w:tcW w:w="80" w:type="dxa"/>
            <w:vAlign w:val="bottom"/>
            <w:tcBorders>
              <w:bottom w:val="single" w:sz="8" w:color="DBDBDB"/>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1,360</w:t>
            </w:r>
          </w:p>
        </w:tc>
        <w:tc>
          <w:tcPr>
            <w:tcW w:w="0" w:type="dxa"/>
            <w:vAlign w:val="bottom"/>
          </w:tcPr>
          <w:p>
            <w:pPr>
              <w:spacing w:after="0"/>
              <w:rPr>
                <w:sz w:val="1"/>
                <w:szCs w:val="1"/>
                <w:color w:val="auto"/>
              </w:rPr>
            </w:pPr>
          </w:p>
        </w:tc>
      </w:tr>
      <w:tr>
        <w:trPr>
          <w:trHeight w:val="134"/>
        </w:trPr>
        <w:tc>
          <w:tcPr>
            <w:tcW w:w="7580" w:type="dxa"/>
            <w:vAlign w:val="bottom"/>
            <w:shd w:val="clear" w:color="auto" w:fill="DBDBDB"/>
          </w:tcPr>
          <w:p>
            <w:pPr>
              <w:spacing w:after="0"/>
              <w:rPr>
                <w:sz w:val="20"/>
                <w:szCs w:val="20"/>
                <w:color w:val="auto"/>
              </w:rPr>
            </w:pPr>
            <w:r>
              <w:rPr>
                <w:rFonts w:ascii="Arial" w:cs="Arial" w:eastAsia="Arial" w:hAnsi="Arial"/>
                <w:sz w:val="11"/>
                <w:szCs w:val="11"/>
                <w:color w:val="auto"/>
              </w:rPr>
              <w:t>EBITDA</w:t>
            </w:r>
          </w:p>
        </w:tc>
        <w:tc>
          <w:tcPr>
            <w:tcW w:w="1320" w:type="dxa"/>
            <w:vAlign w:val="bottom"/>
            <w:shd w:val="clear" w:color="auto" w:fill="DBDBDB"/>
          </w:tcPr>
          <w:p>
            <w:pPr>
              <w:spacing w:after="0"/>
              <w:rPr>
                <w:sz w:val="11"/>
                <w:szCs w:val="11"/>
                <w:color w:val="auto"/>
              </w:rPr>
            </w:pPr>
          </w:p>
        </w:tc>
        <w:tc>
          <w:tcPr>
            <w:tcW w:w="50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12,840</w:t>
            </w:r>
          </w:p>
        </w:tc>
        <w:tc>
          <w:tcPr>
            <w:tcW w:w="80" w:type="dxa"/>
            <w:vAlign w:val="bottom"/>
            <w:shd w:val="clear" w:color="auto" w:fill="DBDBDB"/>
          </w:tcPr>
          <w:p>
            <w:pPr>
              <w:spacing w:after="0"/>
              <w:rPr>
                <w:sz w:val="11"/>
                <w:szCs w:val="11"/>
                <w:color w:val="auto"/>
              </w:rPr>
            </w:pPr>
          </w:p>
        </w:tc>
        <w:tc>
          <w:tcPr>
            <w:tcW w:w="440" w:type="dxa"/>
            <w:vAlign w:val="bottom"/>
            <w:shd w:val="clear" w:color="auto" w:fill="DBDBDB"/>
          </w:tcPr>
          <w:p>
            <w:pPr>
              <w:spacing w:after="0"/>
              <w:rPr>
                <w:sz w:val="11"/>
                <w:szCs w:val="11"/>
                <w:color w:val="auto"/>
              </w:rPr>
            </w:pPr>
          </w:p>
        </w:tc>
        <w:tc>
          <w:tcPr>
            <w:tcW w:w="138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18,068</w:t>
            </w:r>
          </w:p>
        </w:tc>
        <w:tc>
          <w:tcPr>
            <w:tcW w:w="0" w:type="dxa"/>
            <w:vAlign w:val="bottom"/>
          </w:tcPr>
          <w:p>
            <w:pPr>
              <w:spacing w:after="0"/>
              <w:rPr>
                <w:sz w:val="1"/>
                <w:szCs w:val="1"/>
                <w:color w:val="auto"/>
              </w:rPr>
            </w:pPr>
          </w:p>
        </w:tc>
      </w:tr>
      <w:tr>
        <w:trPr>
          <w:trHeight w:val="143"/>
        </w:trPr>
        <w:tc>
          <w:tcPr>
            <w:tcW w:w="7580" w:type="dxa"/>
            <w:vAlign w:val="bottom"/>
          </w:tcPr>
          <w:p>
            <w:pPr>
              <w:spacing w:after="0"/>
              <w:rPr>
                <w:sz w:val="20"/>
                <w:szCs w:val="20"/>
                <w:color w:val="auto"/>
              </w:rPr>
            </w:pPr>
            <w:r>
              <w:rPr>
                <w:rFonts w:ascii="Arial" w:cs="Arial" w:eastAsia="Arial" w:hAnsi="Arial"/>
                <w:sz w:val="11"/>
                <w:szCs w:val="11"/>
                <w:color w:val="auto"/>
              </w:rPr>
              <w:t>Deferred rent (1)</w:t>
            </w:r>
          </w:p>
        </w:tc>
        <w:tc>
          <w:tcPr>
            <w:tcW w:w="13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1,734</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jc w:val="right"/>
              <w:ind w:right="86"/>
              <w:spacing w:after="0"/>
              <w:rPr>
                <w:sz w:val="20"/>
                <w:szCs w:val="20"/>
                <w:color w:val="auto"/>
              </w:rPr>
            </w:pPr>
            <w:r>
              <w:rPr>
                <w:rFonts w:ascii="Arial" w:cs="Arial" w:eastAsia="Arial" w:hAnsi="Arial"/>
                <w:sz w:val="11"/>
                <w:szCs w:val="11"/>
                <w:color w:val="auto"/>
              </w:rPr>
              <w:t>1,376</w:t>
            </w:r>
          </w:p>
        </w:tc>
        <w:tc>
          <w:tcPr>
            <w:tcW w:w="0" w:type="dxa"/>
            <w:vAlign w:val="bottom"/>
          </w:tcPr>
          <w:p>
            <w:pPr>
              <w:spacing w:after="0"/>
              <w:rPr>
                <w:sz w:val="1"/>
                <w:szCs w:val="1"/>
                <w:color w:val="auto"/>
              </w:rPr>
            </w:pPr>
          </w:p>
        </w:tc>
      </w:tr>
      <w:tr>
        <w:trPr>
          <w:trHeight w:val="145"/>
        </w:trPr>
        <w:tc>
          <w:tcPr>
            <w:tcW w:w="7580" w:type="dxa"/>
            <w:vAlign w:val="bottom"/>
            <w:shd w:val="clear" w:color="auto" w:fill="DBDBDB"/>
          </w:tcPr>
          <w:p>
            <w:pPr>
              <w:spacing w:after="0"/>
              <w:rPr>
                <w:sz w:val="20"/>
                <w:szCs w:val="20"/>
                <w:color w:val="auto"/>
              </w:rPr>
            </w:pPr>
            <w:r>
              <w:rPr>
                <w:rFonts w:ascii="Arial" w:cs="Arial" w:eastAsia="Arial" w:hAnsi="Arial"/>
                <w:sz w:val="11"/>
                <w:szCs w:val="11"/>
                <w:color w:val="auto"/>
              </w:rPr>
              <w:t>Equity-based compensation</w:t>
            </w:r>
          </w:p>
        </w:tc>
        <w:tc>
          <w:tcPr>
            <w:tcW w:w="132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3,230</w:t>
            </w:r>
          </w:p>
        </w:tc>
        <w:tc>
          <w:tcPr>
            <w:tcW w:w="8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38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1,950</w:t>
            </w:r>
          </w:p>
        </w:tc>
        <w:tc>
          <w:tcPr>
            <w:tcW w:w="0" w:type="dxa"/>
            <w:vAlign w:val="bottom"/>
          </w:tcPr>
          <w:p>
            <w:pPr>
              <w:spacing w:after="0"/>
              <w:rPr>
                <w:sz w:val="1"/>
                <w:szCs w:val="1"/>
                <w:color w:val="auto"/>
              </w:rPr>
            </w:pPr>
          </w:p>
        </w:tc>
      </w:tr>
      <w:tr>
        <w:trPr>
          <w:trHeight w:val="143"/>
        </w:trPr>
        <w:tc>
          <w:tcPr>
            <w:tcW w:w="7580" w:type="dxa"/>
            <w:vAlign w:val="bottom"/>
          </w:tcPr>
          <w:p>
            <w:pPr>
              <w:spacing w:after="0"/>
              <w:rPr>
                <w:sz w:val="20"/>
                <w:szCs w:val="20"/>
                <w:color w:val="auto"/>
              </w:rPr>
            </w:pPr>
            <w:r>
              <w:rPr>
                <w:rFonts w:ascii="Arial" w:cs="Arial" w:eastAsia="Arial" w:hAnsi="Arial"/>
                <w:sz w:val="11"/>
                <w:szCs w:val="11"/>
                <w:color w:val="auto"/>
              </w:rPr>
              <w:t>Cloud-based software implementation costs (2)</w:t>
            </w:r>
          </w:p>
        </w:tc>
        <w:tc>
          <w:tcPr>
            <w:tcW w:w="13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2"/>
                <w:szCs w:val="12"/>
                <w:color w:val="auto"/>
              </w:rPr>
            </w:pPr>
          </w:p>
        </w:tc>
        <w:tc>
          <w:tcPr>
            <w:tcW w:w="1380" w:type="dxa"/>
            <w:vAlign w:val="bottom"/>
          </w:tcPr>
          <w:p>
            <w:pPr>
              <w:jc w:val="right"/>
              <w:ind w:right="86"/>
              <w:spacing w:after="0"/>
              <w:rPr>
                <w:sz w:val="20"/>
                <w:szCs w:val="20"/>
                <w:color w:val="auto"/>
              </w:rPr>
            </w:pPr>
            <w:r>
              <w:rPr>
                <w:rFonts w:ascii="Arial" w:cs="Arial" w:eastAsia="Arial" w:hAnsi="Arial"/>
                <w:sz w:val="11"/>
                <w:szCs w:val="11"/>
                <w:color w:val="auto"/>
              </w:rPr>
              <w:t>183</w:t>
            </w:r>
          </w:p>
        </w:tc>
        <w:tc>
          <w:tcPr>
            <w:tcW w:w="0" w:type="dxa"/>
            <w:vAlign w:val="bottom"/>
          </w:tcPr>
          <w:p>
            <w:pPr>
              <w:spacing w:after="0"/>
              <w:rPr>
                <w:sz w:val="1"/>
                <w:szCs w:val="1"/>
                <w:color w:val="auto"/>
              </w:rPr>
            </w:pPr>
          </w:p>
        </w:tc>
      </w:tr>
      <w:tr>
        <w:trPr>
          <w:trHeight w:val="145"/>
        </w:trPr>
        <w:tc>
          <w:tcPr>
            <w:tcW w:w="7580" w:type="dxa"/>
            <w:vAlign w:val="bottom"/>
            <w:shd w:val="clear" w:color="auto" w:fill="DBDBDB"/>
          </w:tcPr>
          <w:p>
            <w:pPr>
              <w:spacing w:after="0"/>
              <w:rPr>
                <w:sz w:val="20"/>
                <w:szCs w:val="20"/>
                <w:color w:val="auto"/>
              </w:rPr>
            </w:pPr>
            <w:r>
              <w:rPr>
                <w:rFonts w:ascii="Arial" w:cs="Arial" w:eastAsia="Arial" w:hAnsi="Arial"/>
                <w:sz w:val="11"/>
                <w:szCs w:val="11"/>
                <w:color w:val="auto"/>
              </w:rPr>
              <w:t>Amortization of cloud-based software implementation costs (3)</w:t>
            </w:r>
          </w:p>
        </w:tc>
        <w:tc>
          <w:tcPr>
            <w:tcW w:w="132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280</w:t>
            </w:r>
          </w:p>
        </w:tc>
        <w:tc>
          <w:tcPr>
            <w:tcW w:w="8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38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218</w:t>
            </w:r>
          </w:p>
        </w:tc>
        <w:tc>
          <w:tcPr>
            <w:tcW w:w="0" w:type="dxa"/>
            <w:vAlign w:val="bottom"/>
          </w:tcPr>
          <w:p>
            <w:pPr>
              <w:spacing w:after="0"/>
              <w:rPr>
                <w:sz w:val="1"/>
                <w:szCs w:val="1"/>
                <w:color w:val="auto"/>
              </w:rPr>
            </w:pPr>
          </w:p>
        </w:tc>
      </w:tr>
      <w:tr>
        <w:trPr>
          <w:trHeight w:val="143"/>
        </w:trPr>
        <w:tc>
          <w:tcPr>
            <w:tcW w:w="7580" w:type="dxa"/>
            <w:vAlign w:val="bottom"/>
          </w:tcPr>
          <w:p>
            <w:pPr>
              <w:spacing w:after="0"/>
              <w:rPr>
                <w:sz w:val="20"/>
                <w:szCs w:val="20"/>
                <w:color w:val="auto"/>
              </w:rPr>
            </w:pPr>
            <w:r>
              <w:rPr>
                <w:rFonts w:ascii="Arial" w:cs="Arial" w:eastAsia="Arial" w:hAnsi="Arial"/>
                <w:sz w:val="11"/>
                <w:szCs w:val="11"/>
                <w:color w:val="auto"/>
              </w:rPr>
              <w:t>Other loss (4)</w:t>
            </w:r>
          </w:p>
        </w:tc>
        <w:tc>
          <w:tcPr>
            <w:tcW w:w="1320" w:type="dxa"/>
            <w:vAlign w:val="bottom"/>
          </w:tcPr>
          <w:p>
            <w:pPr>
              <w:spacing w:after="0"/>
              <w:rPr>
                <w:sz w:val="12"/>
                <w:szCs w:val="12"/>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72</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jc w:val="right"/>
              <w:ind w:right="86"/>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45"/>
        </w:trPr>
        <w:tc>
          <w:tcPr>
            <w:tcW w:w="7580" w:type="dxa"/>
            <w:vAlign w:val="bottom"/>
            <w:shd w:val="clear" w:color="auto" w:fill="DBDBDB"/>
          </w:tcPr>
          <w:p>
            <w:pPr>
              <w:spacing w:after="0"/>
              <w:rPr>
                <w:sz w:val="20"/>
                <w:szCs w:val="20"/>
                <w:color w:val="auto"/>
              </w:rPr>
            </w:pPr>
            <w:r>
              <w:rPr>
                <w:rFonts w:ascii="Arial" w:cs="Arial" w:eastAsia="Arial" w:hAnsi="Arial"/>
                <w:sz w:val="11"/>
                <w:szCs w:val="11"/>
                <w:color w:val="auto"/>
              </w:rPr>
              <w:t>Strategic realignment costs (5)</w:t>
            </w:r>
          </w:p>
        </w:tc>
        <w:tc>
          <w:tcPr>
            <w:tcW w:w="132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709</w:t>
            </w:r>
          </w:p>
        </w:tc>
        <w:tc>
          <w:tcPr>
            <w:tcW w:w="8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380" w:type="dxa"/>
            <w:vAlign w:val="bottom"/>
            <w:shd w:val="clear" w:color="auto" w:fill="DBDBDB"/>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7580" w:type="dxa"/>
            <w:vAlign w:val="bottom"/>
            <w:tcBorders>
              <w:bottom w:val="single" w:sz="8" w:color="DBDBDB"/>
            </w:tcBorders>
          </w:tcPr>
          <w:p>
            <w:pPr>
              <w:spacing w:after="0"/>
              <w:rPr>
                <w:sz w:val="20"/>
                <w:szCs w:val="20"/>
                <w:color w:val="auto"/>
              </w:rPr>
            </w:pPr>
            <w:r>
              <w:rPr>
                <w:rFonts w:ascii="Arial" w:cs="Arial" w:eastAsia="Arial" w:hAnsi="Arial"/>
                <w:sz w:val="11"/>
                <w:szCs w:val="11"/>
                <w:color w:val="auto"/>
              </w:rPr>
              <w:t>Tax Receivable Agreement liability adjustment (6)</w:t>
            </w:r>
          </w:p>
        </w:tc>
        <w:tc>
          <w:tcPr>
            <w:tcW w:w="1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(412)</w:t>
            </w:r>
          </w:p>
        </w:tc>
        <w:tc>
          <w:tcPr>
            <w:tcW w:w="80" w:type="dxa"/>
            <w:vAlign w:val="bottom"/>
            <w:tcBorders>
              <w:bottom w:val="single" w:sz="8" w:color="DBDBDB"/>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(647)</w:t>
            </w:r>
          </w:p>
        </w:tc>
        <w:tc>
          <w:tcPr>
            <w:tcW w:w="0" w:type="dxa"/>
            <w:vAlign w:val="bottom"/>
          </w:tcPr>
          <w:p>
            <w:pPr>
              <w:spacing w:after="0"/>
              <w:rPr>
                <w:sz w:val="1"/>
                <w:szCs w:val="1"/>
                <w:color w:val="auto"/>
              </w:rPr>
            </w:pPr>
          </w:p>
        </w:tc>
      </w:tr>
      <w:tr>
        <w:trPr>
          <w:trHeight w:val="133"/>
        </w:trPr>
        <w:tc>
          <w:tcPr>
            <w:tcW w:w="7580" w:type="dxa"/>
            <w:vAlign w:val="bottom"/>
            <w:shd w:val="clear" w:color="auto" w:fill="DBDBDB"/>
          </w:tcPr>
          <w:p>
            <w:pPr>
              <w:spacing w:after="0"/>
              <w:rPr>
                <w:sz w:val="20"/>
                <w:szCs w:val="20"/>
                <w:color w:val="auto"/>
              </w:rPr>
            </w:pPr>
            <w:r>
              <w:rPr>
                <w:rFonts w:ascii="Arial" w:cs="Arial" w:eastAsia="Arial" w:hAnsi="Arial"/>
                <w:sz w:val="11"/>
                <w:szCs w:val="11"/>
                <w:color w:val="auto"/>
              </w:rPr>
              <w:t>Adjusted EBITDA</w:t>
            </w:r>
          </w:p>
        </w:tc>
        <w:tc>
          <w:tcPr>
            <w:tcW w:w="1320" w:type="dxa"/>
            <w:vAlign w:val="bottom"/>
            <w:tcBorders>
              <w:bottom w:val="single" w:sz="8" w:color="auto"/>
            </w:tcBorders>
            <w:shd w:val="clear" w:color="auto" w:fill="DBDBDB"/>
          </w:tcPr>
          <w:p>
            <w:pPr>
              <w:jc w:val="right"/>
              <w:ind w:right="118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color w:val="auto"/>
              </w:rPr>
              <w:t>18,453</w:t>
            </w:r>
          </w:p>
        </w:tc>
        <w:tc>
          <w:tcPr>
            <w:tcW w:w="80" w:type="dxa"/>
            <w:vAlign w:val="bottom"/>
            <w:shd w:val="clear" w:color="auto" w:fill="DBDBDB"/>
          </w:tcPr>
          <w:p>
            <w:pPr>
              <w:spacing w:after="0"/>
              <w:rPr>
                <w:sz w:val="11"/>
                <w:szCs w:val="11"/>
                <w:color w:val="auto"/>
              </w:rPr>
            </w:pPr>
          </w:p>
        </w:tc>
        <w:tc>
          <w:tcPr>
            <w:tcW w:w="440" w:type="dxa"/>
            <w:vAlign w:val="bottom"/>
            <w:tcBorders>
              <w:bottom w:val="single" w:sz="8" w:color="auto"/>
            </w:tcBorders>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1380" w:type="dxa"/>
            <w:vAlign w:val="bottom"/>
            <w:tcBorders>
              <w:bottom w:val="single" w:sz="8" w:color="auto"/>
            </w:tcBorders>
            <w:shd w:val="clear" w:color="auto" w:fill="DBDBDB"/>
          </w:tcPr>
          <w:p>
            <w:pPr>
              <w:jc w:val="right"/>
              <w:ind w:right="86"/>
              <w:spacing w:after="0"/>
              <w:rPr>
                <w:sz w:val="20"/>
                <w:szCs w:val="20"/>
                <w:color w:val="auto"/>
              </w:rPr>
            </w:pPr>
            <w:r>
              <w:rPr>
                <w:rFonts w:ascii="Arial" w:cs="Arial" w:eastAsia="Arial" w:hAnsi="Arial"/>
                <w:sz w:val="11"/>
                <w:szCs w:val="11"/>
                <w:color w:val="auto"/>
              </w:rPr>
              <w:t>21,209</w:t>
            </w:r>
          </w:p>
        </w:tc>
        <w:tc>
          <w:tcPr>
            <w:tcW w:w="0" w:type="dxa"/>
            <w:vAlign w:val="bottom"/>
          </w:tcPr>
          <w:p>
            <w:pPr>
              <w:spacing w:after="0"/>
              <w:rPr>
                <w:sz w:val="1"/>
                <w:szCs w:val="1"/>
                <w:color w:val="auto"/>
              </w:rPr>
            </w:pPr>
          </w:p>
        </w:tc>
      </w:tr>
      <w:tr>
        <w:trPr>
          <w:trHeight w:val="134"/>
        </w:trPr>
        <w:tc>
          <w:tcPr>
            <w:tcW w:w="7580" w:type="dxa"/>
            <w:vAlign w:val="bottom"/>
          </w:tcPr>
          <w:p>
            <w:pPr>
              <w:spacing w:after="0"/>
              <w:rPr>
                <w:sz w:val="20"/>
                <w:szCs w:val="20"/>
                <w:color w:val="auto"/>
              </w:rPr>
            </w:pPr>
            <w:r>
              <w:rPr>
                <w:rFonts w:ascii="Arial" w:cs="Arial" w:eastAsia="Arial" w:hAnsi="Arial"/>
                <w:sz w:val="11"/>
                <w:szCs w:val="11"/>
                <w:i w:val="1"/>
                <w:iCs w:val="1"/>
                <w:color w:val="auto"/>
              </w:rPr>
              <w:t>Adjusted EBITDA Margin (7)</w:t>
            </w:r>
          </w:p>
        </w:tc>
        <w:tc>
          <w:tcPr>
            <w:tcW w:w="1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i w:val="1"/>
                <w:iCs w:val="1"/>
                <w:color w:val="auto"/>
              </w:rPr>
              <w:t>10.1 %</w:t>
            </w:r>
          </w:p>
        </w:tc>
        <w:tc>
          <w:tcPr>
            <w:tcW w:w="8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i w:val="1"/>
                <w:iCs w:val="1"/>
                <w:color w:val="auto"/>
              </w:rPr>
              <w:t>12.0 %</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168" w:hanging="168"/>
        <w:spacing w:after="0"/>
        <w:tabs>
          <w:tab w:leader="none" w:pos="168" w:val="left"/>
        </w:tabs>
        <w:numPr>
          <w:ilvl w:val="0"/>
          <w:numId w:val="5"/>
        </w:numPr>
        <w:rPr>
          <w:rFonts w:ascii="Arial" w:cs="Arial" w:eastAsia="Arial" w:hAnsi="Arial"/>
          <w:sz w:val="11"/>
          <w:szCs w:val="11"/>
          <w:color w:val="auto"/>
        </w:rPr>
      </w:pPr>
      <w:r>
        <w:rPr>
          <w:rFonts w:ascii="Arial" w:cs="Arial" w:eastAsia="Arial" w:hAnsi="Arial"/>
          <w:sz w:val="11"/>
          <w:szCs w:val="11"/>
          <w:color w:val="auto"/>
        </w:rPr>
        <w:t>Represents the difference between cash rent payments and the recognition of straight-line rent expense recognized over the lease term.</w:t>
      </w:r>
    </w:p>
    <w:p>
      <w:pPr>
        <w:spacing w:after="0" w:line="9" w:lineRule="exact"/>
        <w:rPr>
          <w:rFonts w:ascii="Arial" w:cs="Arial" w:eastAsia="Arial" w:hAnsi="Arial"/>
          <w:sz w:val="11"/>
          <w:szCs w:val="11"/>
          <w:color w:val="auto"/>
        </w:rPr>
      </w:pPr>
    </w:p>
    <w:p>
      <w:pPr>
        <w:ind w:left="168" w:hanging="168"/>
        <w:spacing w:after="0"/>
        <w:tabs>
          <w:tab w:leader="none" w:pos="168" w:val="left"/>
        </w:tabs>
        <w:numPr>
          <w:ilvl w:val="0"/>
          <w:numId w:val="5"/>
        </w:numPr>
        <w:rPr>
          <w:rFonts w:ascii="Arial" w:cs="Arial" w:eastAsia="Arial" w:hAnsi="Arial"/>
          <w:sz w:val="11"/>
          <w:szCs w:val="11"/>
          <w:color w:val="auto"/>
        </w:rPr>
      </w:pPr>
      <w:r>
        <w:rPr>
          <w:rFonts w:ascii="Arial" w:cs="Arial" w:eastAsia="Arial" w:hAnsi="Arial"/>
          <w:sz w:val="11"/>
          <w:szCs w:val="11"/>
          <w:color w:val="auto"/>
        </w:rPr>
        <w:t>Represents non-capitalized third party consulting and software licensing costs incurred in connection with the implementation of a new HCM system which are included within general and administrative expenses.</w:t>
      </w:r>
    </w:p>
    <w:p>
      <w:pPr>
        <w:ind w:left="168" w:hanging="168"/>
        <w:spacing w:after="0"/>
        <w:tabs>
          <w:tab w:leader="none" w:pos="168" w:val="left"/>
        </w:tabs>
        <w:numPr>
          <w:ilvl w:val="0"/>
          <w:numId w:val="5"/>
        </w:numPr>
        <w:rPr>
          <w:rFonts w:ascii="Arial" w:cs="Arial" w:eastAsia="Arial" w:hAnsi="Arial"/>
          <w:sz w:val="11"/>
          <w:szCs w:val="11"/>
          <w:color w:val="auto"/>
        </w:rPr>
      </w:pPr>
      <w:r>
        <w:rPr>
          <w:rFonts w:ascii="Arial" w:cs="Arial" w:eastAsia="Arial" w:hAnsi="Arial"/>
          <w:sz w:val="11"/>
          <w:szCs w:val="11"/>
          <w:color w:val="auto"/>
        </w:rPr>
        <w:t>Represents amortization of capitalized cloud-based ERP and HCM system implementation costs that are included within general and administrative expenses.</w:t>
      </w:r>
    </w:p>
    <w:p>
      <w:pPr>
        <w:spacing w:after="0" w:line="5" w:lineRule="exact"/>
        <w:rPr>
          <w:rFonts w:ascii="Arial" w:cs="Arial" w:eastAsia="Arial" w:hAnsi="Arial"/>
          <w:sz w:val="11"/>
          <w:szCs w:val="11"/>
          <w:color w:val="auto"/>
        </w:rPr>
      </w:pPr>
    </w:p>
    <w:p>
      <w:pPr>
        <w:ind w:left="168" w:hanging="168"/>
        <w:spacing w:after="0" w:line="228" w:lineRule="auto"/>
        <w:tabs>
          <w:tab w:leader="none" w:pos="168" w:val="left"/>
        </w:tabs>
        <w:numPr>
          <w:ilvl w:val="0"/>
          <w:numId w:val="5"/>
        </w:numPr>
        <w:rPr>
          <w:rFonts w:ascii="Arial" w:cs="Arial" w:eastAsia="Arial" w:hAnsi="Arial"/>
          <w:sz w:val="11"/>
          <w:szCs w:val="11"/>
          <w:color w:val="auto"/>
        </w:rPr>
      </w:pPr>
      <w:r>
        <w:rPr>
          <w:rFonts w:ascii="Arial" w:cs="Arial" w:eastAsia="Arial" w:hAnsi="Arial"/>
          <w:sz w:val="11"/>
          <w:szCs w:val="11"/>
          <w:color w:val="auto"/>
        </w:rPr>
        <w:t>Represents loss on disposal of property and equipment included within other income, net.</w:t>
      </w:r>
    </w:p>
    <w:p>
      <w:pPr>
        <w:ind w:left="168" w:hanging="168"/>
        <w:spacing w:after="0"/>
        <w:tabs>
          <w:tab w:leader="none" w:pos="168" w:val="left"/>
        </w:tabs>
        <w:numPr>
          <w:ilvl w:val="0"/>
          <w:numId w:val="5"/>
        </w:numPr>
        <w:rPr>
          <w:rFonts w:ascii="Arial" w:cs="Arial" w:eastAsia="Arial" w:hAnsi="Arial"/>
          <w:sz w:val="11"/>
          <w:szCs w:val="11"/>
          <w:color w:val="auto"/>
        </w:rPr>
      </w:pPr>
      <w:r>
        <w:rPr>
          <w:rFonts w:ascii="Arial" w:cs="Arial" w:eastAsia="Arial" w:hAnsi="Arial"/>
          <w:sz w:val="11"/>
          <w:szCs w:val="11"/>
          <w:color w:val="auto"/>
        </w:rPr>
        <w:t>Represents $0.5 million of costs related to the Company's strategic reset of its development and growth plans and $0.2 million related to CEO transition and replacement costs. These costs are included within general and</w:t>
      </w:r>
    </w:p>
    <w:p>
      <w:pPr>
        <w:ind w:left="8"/>
        <w:spacing w:after="0" w:line="222" w:lineRule="auto"/>
        <w:rPr>
          <w:sz w:val="20"/>
          <w:szCs w:val="20"/>
          <w:color w:val="auto"/>
        </w:rPr>
      </w:pPr>
      <w:r>
        <w:rPr>
          <w:rFonts w:ascii="Arial" w:cs="Arial" w:eastAsia="Arial" w:hAnsi="Arial"/>
          <w:sz w:val="11"/>
          <w:szCs w:val="11"/>
          <w:color w:val="auto"/>
        </w:rPr>
        <w:t>administrative expenses.</w:t>
      </w:r>
    </w:p>
    <w:p>
      <w:pPr>
        <w:ind w:left="168" w:hanging="168"/>
        <w:spacing w:after="0"/>
        <w:tabs>
          <w:tab w:leader="none" w:pos="168" w:val="left"/>
        </w:tabs>
        <w:numPr>
          <w:ilvl w:val="0"/>
          <w:numId w:val="6"/>
        </w:numPr>
        <w:rPr>
          <w:rFonts w:ascii="Arial" w:cs="Arial" w:eastAsia="Arial" w:hAnsi="Arial"/>
          <w:sz w:val="11"/>
          <w:szCs w:val="11"/>
          <w:color w:val="auto"/>
        </w:rPr>
      </w:pPr>
      <w:r>
        <w:rPr>
          <w:rFonts w:ascii="Arial" w:cs="Arial" w:eastAsia="Arial" w:hAnsi="Arial"/>
          <w:sz w:val="11"/>
          <w:szCs w:val="11"/>
          <w:color w:val="auto"/>
        </w:rPr>
        <w:t>Represents remeasurement of the Tax Receivable Agreement liability.</w:t>
      </w:r>
    </w:p>
    <w:p>
      <w:pPr>
        <w:ind w:left="168" w:hanging="168"/>
        <w:spacing w:after="0"/>
        <w:tabs>
          <w:tab w:leader="none" w:pos="168" w:val="left"/>
        </w:tabs>
        <w:numPr>
          <w:ilvl w:val="0"/>
          <w:numId w:val="6"/>
        </w:numPr>
        <w:rPr>
          <w:rFonts w:ascii="Arial" w:cs="Arial" w:eastAsia="Arial" w:hAnsi="Arial"/>
          <w:sz w:val="11"/>
          <w:szCs w:val="11"/>
          <w:color w:val="auto"/>
        </w:rPr>
      </w:pPr>
      <w:r>
        <w:rPr>
          <w:rFonts w:ascii="Arial" w:cs="Arial" w:eastAsia="Arial" w:hAnsi="Arial"/>
          <w:sz w:val="11"/>
          <w:szCs w:val="11"/>
          <w:color w:val="auto"/>
        </w:rPr>
        <w:t>Adjusted EBITDA Margin is defined as Adjusted EBITDA divided by Revenues, net.</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color w:val="auto"/>
        </w:rPr>
        <w:t>See below for a reconciliation of operating income, the most directly comparable GAAP measure, to Restaurant-Level Adjusted EBITDA and Restaurant-Level Adjusted EBITDA Margin (in thousands):</w:t>
      </w:r>
    </w:p>
    <w:p>
      <w:pPr>
        <w:spacing w:after="0" w:line="37"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760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March 29, 2026</w:t>
            </w:r>
          </w:p>
        </w:tc>
        <w:tc>
          <w:tcPr>
            <w:tcW w:w="1000" w:type="dxa"/>
            <w:vAlign w:val="bottom"/>
            <w:gridSpan w:val="3"/>
          </w:tcPr>
          <w:p>
            <w:pPr>
              <w:jc w:val="right"/>
              <w:ind w:right="46"/>
              <w:spacing w:after="0"/>
              <w:rPr>
                <w:sz w:val="20"/>
                <w:szCs w:val="20"/>
                <w:color w:val="auto"/>
              </w:rPr>
            </w:pPr>
            <w:r>
              <w:rPr>
                <w:rFonts w:ascii="Arial" w:cs="Arial" w:eastAsia="Arial" w:hAnsi="Arial"/>
                <w:sz w:val="11"/>
                <w:szCs w:val="11"/>
                <w:b w:val="1"/>
                <w:bCs w:val="1"/>
                <w:color w:val="auto"/>
              </w:rPr>
              <w:t>Quarter Ended</w:t>
            </w:r>
          </w:p>
        </w:tc>
        <w:tc>
          <w:tcPr>
            <w:tcW w:w="1380" w:type="dxa"/>
            <w:vAlign w:val="bottom"/>
            <w:vMerge w:val="restart"/>
          </w:tcPr>
          <w:p>
            <w:pPr>
              <w:jc w:val="right"/>
              <w:ind w:right="467"/>
              <w:spacing w:after="0"/>
              <w:rPr>
                <w:sz w:val="20"/>
                <w:szCs w:val="20"/>
                <w:color w:val="auto"/>
              </w:rPr>
            </w:pPr>
            <w:r>
              <w:rPr>
                <w:rFonts w:ascii="Arial" w:cs="Arial" w:eastAsia="Arial" w:hAnsi="Arial"/>
                <w:sz w:val="11"/>
                <w:szCs w:val="11"/>
                <w:b w:val="1"/>
                <w:bCs w:val="1"/>
                <w:color w:val="auto"/>
              </w:rPr>
              <w:t>March 30, 2025</w:t>
            </w:r>
          </w:p>
        </w:tc>
        <w:tc>
          <w:tcPr>
            <w:tcW w:w="0" w:type="dxa"/>
            <w:vAlign w:val="bottom"/>
          </w:tcPr>
          <w:p>
            <w:pPr>
              <w:spacing w:after="0"/>
              <w:rPr>
                <w:sz w:val="1"/>
                <w:szCs w:val="1"/>
                <w:color w:val="auto"/>
              </w:rPr>
            </w:pPr>
          </w:p>
        </w:tc>
      </w:tr>
      <w:tr>
        <w:trPr>
          <w:trHeight w:val="140"/>
        </w:trPr>
        <w:tc>
          <w:tcPr>
            <w:tcW w:w="7600" w:type="dxa"/>
            <w:vAlign w:val="bottom"/>
            <w:tcBorders>
              <w:bottom w:val="single" w:sz="8" w:color="DBDBDB"/>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DBDBDB"/>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600" w:type="dxa"/>
            <w:vAlign w:val="bottom"/>
            <w:shd w:val="clear" w:color="auto" w:fill="DBDBDB"/>
          </w:tcPr>
          <w:p>
            <w:pPr>
              <w:spacing w:after="0"/>
              <w:rPr>
                <w:sz w:val="20"/>
                <w:szCs w:val="20"/>
                <w:color w:val="auto"/>
              </w:rPr>
            </w:pPr>
            <w:r>
              <w:rPr>
                <w:rFonts w:ascii="Arial" w:cs="Arial" w:eastAsia="Arial" w:hAnsi="Arial"/>
                <w:sz w:val="11"/>
                <w:szCs w:val="11"/>
                <w:color w:val="auto"/>
              </w:rPr>
              <w:t>Operating income</w:t>
            </w:r>
          </w:p>
        </w:tc>
        <w:tc>
          <w:tcPr>
            <w:tcW w:w="1320" w:type="dxa"/>
            <w:vAlign w:val="bottom"/>
            <w:shd w:val="clear" w:color="auto" w:fill="DBDBDB"/>
          </w:tcPr>
          <w:p>
            <w:pPr>
              <w:jc w:val="right"/>
              <w:ind w:right="1186"/>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DBDBDB"/>
          </w:tcPr>
          <w:p>
            <w:pPr>
              <w:jc w:val="right"/>
              <w:ind w:right="87"/>
              <w:spacing w:after="0"/>
              <w:rPr>
                <w:sz w:val="20"/>
                <w:szCs w:val="20"/>
                <w:color w:val="auto"/>
              </w:rPr>
            </w:pPr>
            <w:r>
              <w:rPr>
                <w:rFonts w:ascii="Arial" w:cs="Arial" w:eastAsia="Arial" w:hAnsi="Arial"/>
                <w:sz w:val="11"/>
                <w:szCs w:val="11"/>
                <w:color w:val="auto"/>
              </w:rPr>
              <w:t>4,492</w:t>
            </w:r>
          </w:p>
        </w:tc>
        <w:tc>
          <w:tcPr>
            <w:tcW w:w="60" w:type="dxa"/>
            <w:vAlign w:val="bottom"/>
            <w:shd w:val="clear" w:color="auto" w:fill="DBDBDB"/>
          </w:tcPr>
          <w:p>
            <w:pPr>
              <w:spacing w:after="0"/>
              <w:rPr>
                <w:sz w:val="11"/>
                <w:szCs w:val="11"/>
                <w:color w:val="auto"/>
              </w:rPr>
            </w:pPr>
          </w:p>
        </w:tc>
        <w:tc>
          <w:tcPr>
            <w:tcW w:w="440" w:type="dxa"/>
            <w:vAlign w:val="bottom"/>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DBDBDB"/>
          </w:tcPr>
          <w:p>
            <w:pPr>
              <w:jc w:val="right"/>
              <w:ind w:right="87"/>
              <w:spacing w:after="0"/>
              <w:rPr>
                <w:sz w:val="20"/>
                <w:szCs w:val="20"/>
                <w:color w:val="auto"/>
              </w:rPr>
            </w:pPr>
            <w:r>
              <w:rPr>
                <w:rFonts w:ascii="Arial" w:cs="Arial" w:eastAsia="Arial" w:hAnsi="Arial"/>
                <w:sz w:val="11"/>
                <w:szCs w:val="11"/>
                <w:color w:val="auto"/>
              </w:rPr>
              <w:t>10,381</w:t>
            </w:r>
          </w:p>
        </w:tc>
        <w:tc>
          <w:tcPr>
            <w:tcW w:w="0" w:type="dxa"/>
            <w:vAlign w:val="bottom"/>
          </w:tcPr>
          <w:p>
            <w:pPr>
              <w:spacing w:after="0"/>
              <w:rPr>
                <w:sz w:val="1"/>
                <w:szCs w:val="1"/>
                <w:color w:val="auto"/>
              </w:rPr>
            </w:pPr>
          </w:p>
        </w:tc>
      </w:tr>
      <w:tr>
        <w:trPr>
          <w:trHeight w:val="143"/>
        </w:trPr>
        <w:tc>
          <w:tcPr>
            <w:tcW w:w="7600" w:type="dxa"/>
            <w:vAlign w:val="bottom"/>
          </w:tcPr>
          <w:p>
            <w:pPr>
              <w:spacing w:after="0"/>
              <w:rPr>
                <w:sz w:val="20"/>
                <w:szCs w:val="20"/>
                <w:color w:val="auto"/>
              </w:rPr>
            </w:pPr>
            <w:r>
              <w:rPr>
                <w:rFonts w:ascii="Arial" w:cs="Arial" w:eastAsia="Arial" w:hAnsi="Arial"/>
                <w:sz w:val="11"/>
                <w:szCs w:val="11"/>
                <w:i w:val="1"/>
                <w:iCs w:val="1"/>
                <w:color w:val="auto"/>
              </w:rPr>
              <w:t>Operating income margin</w:t>
            </w:r>
          </w:p>
        </w:tc>
        <w:tc>
          <w:tcPr>
            <w:tcW w:w="13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0"/>
                <w:szCs w:val="10"/>
                <w:i w:val="1"/>
                <w:iCs w:val="1"/>
                <w:color w:val="auto"/>
              </w:rPr>
              <w:t>2.5 %</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0"/>
                <w:szCs w:val="10"/>
                <w:i w:val="1"/>
                <w:iCs w:val="1"/>
                <w:color w:val="auto"/>
              </w:rPr>
              <w:t>5.9 %</w:t>
            </w:r>
          </w:p>
        </w:tc>
        <w:tc>
          <w:tcPr>
            <w:tcW w:w="0" w:type="dxa"/>
            <w:vAlign w:val="bottom"/>
          </w:tcPr>
          <w:p>
            <w:pPr>
              <w:spacing w:after="0"/>
              <w:rPr>
                <w:sz w:val="1"/>
                <w:szCs w:val="1"/>
                <w:color w:val="auto"/>
              </w:rPr>
            </w:pPr>
          </w:p>
        </w:tc>
      </w:tr>
      <w:tr>
        <w:trPr>
          <w:trHeight w:val="145"/>
        </w:trPr>
        <w:tc>
          <w:tcPr>
            <w:tcW w:w="7600" w:type="dxa"/>
            <w:vAlign w:val="bottom"/>
            <w:shd w:val="clear" w:color="auto" w:fill="DBDBDB"/>
          </w:tcPr>
          <w:p>
            <w:pPr>
              <w:spacing w:after="0"/>
              <w:rPr>
                <w:sz w:val="20"/>
                <w:szCs w:val="20"/>
                <w:color w:val="auto"/>
              </w:rPr>
            </w:pPr>
            <w:r>
              <w:rPr>
                <w:rFonts w:ascii="Arial" w:cs="Arial" w:eastAsia="Arial" w:hAnsi="Arial"/>
                <w:sz w:val="11"/>
                <w:szCs w:val="11"/>
                <w:color w:val="auto"/>
              </w:rPr>
              <w:t>Plus:</w:t>
            </w:r>
          </w:p>
        </w:tc>
        <w:tc>
          <w:tcPr>
            <w:tcW w:w="1320" w:type="dxa"/>
            <w:vAlign w:val="bottom"/>
            <w:shd w:val="clear" w:color="auto" w:fill="DBDBDB"/>
          </w:tcPr>
          <w:p>
            <w:pPr>
              <w:spacing w:after="0"/>
              <w:rPr>
                <w:sz w:val="12"/>
                <w:szCs w:val="12"/>
                <w:color w:val="auto"/>
              </w:rPr>
            </w:pPr>
          </w:p>
        </w:tc>
        <w:tc>
          <w:tcPr>
            <w:tcW w:w="500" w:type="dxa"/>
            <w:vAlign w:val="bottom"/>
            <w:shd w:val="clear" w:color="auto" w:fill="DBDBDB"/>
          </w:tcPr>
          <w:p>
            <w:pPr>
              <w:spacing w:after="0"/>
              <w:rPr>
                <w:sz w:val="12"/>
                <w:szCs w:val="12"/>
                <w:color w:val="auto"/>
              </w:rPr>
            </w:pPr>
          </w:p>
        </w:tc>
        <w:tc>
          <w:tcPr>
            <w:tcW w:w="6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38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600" w:type="dxa"/>
            <w:vAlign w:val="bottom"/>
          </w:tcPr>
          <w:p>
            <w:pPr>
              <w:ind w:left="80"/>
              <w:spacing w:after="0"/>
              <w:rPr>
                <w:sz w:val="20"/>
                <w:szCs w:val="20"/>
                <w:color w:val="auto"/>
              </w:rPr>
            </w:pPr>
            <w:r>
              <w:rPr>
                <w:rFonts w:ascii="Arial" w:cs="Arial" w:eastAsia="Arial" w:hAnsi="Arial"/>
                <w:sz w:val="11"/>
                <w:szCs w:val="11"/>
                <w:color w:val="auto"/>
              </w:rPr>
              <w:t>General and administrative expenses</w:t>
            </w:r>
          </w:p>
        </w:tc>
        <w:tc>
          <w:tcPr>
            <w:tcW w:w="132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20,359</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jc w:val="right"/>
              <w:ind w:right="87"/>
              <w:spacing w:after="0"/>
              <w:rPr>
                <w:sz w:val="20"/>
                <w:szCs w:val="20"/>
                <w:color w:val="auto"/>
              </w:rPr>
            </w:pPr>
            <w:r>
              <w:rPr>
                <w:rFonts w:ascii="Arial" w:cs="Arial" w:eastAsia="Arial" w:hAnsi="Arial"/>
                <w:sz w:val="11"/>
                <w:szCs w:val="11"/>
                <w:color w:val="auto"/>
              </w:rPr>
              <w:t>18,903</w:t>
            </w:r>
          </w:p>
        </w:tc>
        <w:tc>
          <w:tcPr>
            <w:tcW w:w="0" w:type="dxa"/>
            <w:vAlign w:val="bottom"/>
          </w:tcPr>
          <w:p>
            <w:pPr>
              <w:spacing w:after="0"/>
              <w:rPr>
                <w:sz w:val="1"/>
                <w:szCs w:val="1"/>
                <w:color w:val="auto"/>
              </w:rPr>
            </w:pPr>
          </w:p>
        </w:tc>
      </w:tr>
      <w:tr>
        <w:trPr>
          <w:trHeight w:val="145"/>
        </w:trPr>
        <w:tc>
          <w:tcPr>
            <w:tcW w:w="7600" w:type="dxa"/>
            <w:vAlign w:val="bottom"/>
            <w:shd w:val="clear" w:color="auto" w:fill="DBDBDB"/>
          </w:tcPr>
          <w:p>
            <w:pPr>
              <w:ind w:left="80"/>
              <w:spacing w:after="0"/>
              <w:rPr>
                <w:sz w:val="20"/>
                <w:szCs w:val="20"/>
                <w:color w:val="auto"/>
              </w:rPr>
            </w:pPr>
            <w:r>
              <w:rPr>
                <w:rFonts w:ascii="Arial" w:cs="Arial" w:eastAsia="Arial" w:hAnsi="Arial"/>
                <w:sz w:val="11"/>
                <w:szCs w:val="11"/>
                <w:color w:val="auto"/>
              </w:rPr>
              <w:t>Pre-opening expenses</w:t>
            </w:r>
          </w:p>
        </w:tc>
        <w:tc>
          <w:tcPr>
            <w:tcW w:w="132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87"/>
              <w:spacing w:after="0"/>
              <w:rPr>
                <w:sz w:val="20"/>
                <w:szCs w:val="20"/>
                <w:color w:val="auto"/>
              </w:rPr>
            </w:pPr>
            <w:r>
              <w:rPr>
                <w:rFonts w:ascii="Arial" w:cs="Arial" w:eastAsia="Arial" w:hAnsi="Arial"/>
                <w:sz w:val="11"/>
                <w:szCs w:val="11"/>
                <w:color w:val="auto"/>
              </w:rPr>
              <w:t>2,550</w:t>
            </w:r>
          </w:p>
        </w:tc>
        <w:tc>
          <w:tcPr>
            <w:tcW w:w="6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380" w:type="dxa"/>
            <w:vAlign w:val="bottom"/>
            <w:shd w:val="clear" w:color="auto" w:fill="DBDBDB"/>
          </w:tcPr>
          <w:p>
            <w:pPr>
              <w:jc w:val="right"/>
              <w:ind w:right="87"/>
              <w:spacing w:after="0"/>
              <w:rPr>
                <w:sz w:val="20"/>
                <w:szCs w:val="20"/>
                <w:color w:val="auto"/>
              </w:rPr>
            </w:pPr>
            <w:r>
              <w:rPr>
                <w:rFonts w:ascii="Arial" w:cs="Arial" w:eastAsia="Arial" w:hAnsi="Arial"/>
                <w:sz w:val="11"/>
                <w:szCs w:val="11"/>
                <w:color w:val="auto"/>
              </w:rPr>
              <w:t>508</w:t>
            </w:r>
          </w:p>
        </w:tc>
        <w:tc>
          <w:tcPr>
            <w:tcW w:w="0" w:type="dxa"/>
            <w:vAlign w:val="bottom"/>
          </w:tcPr>
          <w:p>
            <w:pPr>
              <w:spacing w:after="0"/>
              <w:rPr>
                <w:sz w:val="1"/>
                <w:szCs w:val="1"/>
                <w:color w:val="auto"/>
              </w:rPr>
            </w:pPr>
          </w:p>
        </w:tc>
      </w:tr>
      <w:tr>
        <w:trPr>
          <w:trHeight w:val="143"/>
        </w:trPr>
        <w:tc>
          <w:tcPr>
            <w:tcW w:w="7600" w:type="dxa"/>
            <w:vAlign w:val="bottom"/>
          </w:tcPr>
          <w:p>
            <w:pPr>
              <w:ind w:left="80"/>
              <w:spacing w:after="0"/>
              <w:rPr>
                <w:sz w:val="20"/>
                <w:szCs w:val="20"/>
                <w:color w:val="auto"/>
              </w:rPr>
            </w:pPr>
            <w:r>
              <w:rPr>
                <w:rFonts w:ascii="Arial" w:cs="Arial" w:eastAsia="Arial" w:hAnsi="Arial"/>
                <w:sz w:val="11"/>
                <w:szCs w:val="11"/>
                <w:color w:val="auto"/>
              </w:rPr>
              <w:t>Depreciation and amortization</w:t>
            </w:r>
          </w:p>
        </w:tc>
        <w:tc>
          <w:tcPr>
            <w:tcW w:w="1320" w:type="dxa"/>
            <w:vAlign w:val="bottom"/>
          </w:tcPr>
          <w:p>
            <w:pPr>
              <w:spacing w:after="0"/>
              <w:rPr>
                <w:sz w:val="12"/>
                <w:szCs w:val="12"/>
                <w:color w:val="auto"/>
              </w:rPr>
            </w:pPr>
          </w:p>
        </w:tc>
        <w:tc>
          <w:tcPr>
            <w:tcW w:w="500" w:type="dxa"/>
            <w:vAlign w:val="bottom"/>
          </w:tcPr>
          <w:p>
            <w:pPr>
              <w:jc w:val="right"/>
              <w:ind w:right="87"/>
              <w:spacing w:after="0"/>
              <w:rPr>
                <w:sz w:val="20"/>
                <w:szCs w:val="20"/>
                <w:color w:val="auto"/>
              </w:rPr>
            </w:pPr>
            <w:r>
              <w:rPr>
                <w:rFonts w:ascii="Arial" w:cs="Arial" w:eastAsia="Arial" w:hAnsi="Arial"/>
                <w:sz w:val="11"/>
                <w:szCs w:val="11"/>
                <w:color w:val="auto"/>
              </w:rPr>
              <w:t>7,936</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tcPr>
          <w:p>
            <w:pPr>
              <w:jc w:val="right"/>
              <w:ind w:right="87"/>
              <w:spacing w:after="0"/>
              <w:rPr>
                <w:sz w:val="20"/>
                <w:szCs w:val="20"/>
                <w:color w:val="auto"/>
              </w:rPr>
            </w:pPr>
            <w:r>
              <w:rPr>
                <w:rFonts w:ascii="Arial" w:cs="Arial" w:eastAsia="Arial" w:hAnsi="Arial"/>
                <w:sz w:val="11"/>
                <w:szCs w:val="11"/>
                <w:color w:val="auto"/>
              </w:rPr>
              <w:t>7,040</w:t>
            </w:r>
          </w:p>
        </w:tc>
        <w:tc>
          <w:tcPr>
            <w:tcW w:w="0" w:type="dxa"/>
            <w:vAlign w:val="bottom"/>
          </w:tcPr>
          <w:p>
            <w:pPr>
              <w:spacing w:after="0"/>
              <w:rPr>
                <w:sz w:val="1"/>
                <w:szCs w:val="1"/>
                <w:color w:val="auto"/>
              </w:rPr>
            </w:pPr>
          </w:p>
        </w:tc>
      </w:tr>
      <w:tr>
        <w:trPr>
          <w:trHeight w:val="145"/>
        </w:trPr>
        <w:tc>
          <w:tcPr>
            <w:tcW w:w="7600" w:type="dxa"/>
            <w:vAlign w:val="bottom"/>
            <w:shd w:val="clear" w:color="auto" w:fill="DBDBDB"/>
          </w:tcPr>
          <w:p>
            <w:pPr>
              <w:ind w:left="80"/>
              <w:spacing w:after="0"/>
              <w:rPr>
                <w:sz w:val="20"/>
                <w:szCs w:val="20"/>
                <w:color w:val="auto"/>
              </w:rPr>
            </w:pPr>
            <w:r>
              <w:rPr>
                <w:rFonts w:ascii="Arial" w:cs="Arial" w:eastAsia="Arial" w:hAnsi="Arial"/>
                <w:sz w:val="11"/>
                <w:szCs w:val="11"/>
                <w:color w:val="auto"/>
              </w:rPr>
              <w:t>Net income attributable to equity method investment</w:t>
            </w:r>
          </w:p>
        </w:tc>
        <w:tc>
          <w:tcPr>
            <w:tcW w:w="1320" w:type="dxa"/>
            <w:vAlign w:val="bottom"/>
            <w:shd w:val="clear" w:color="auto" w:fill="DBDBDB"/>
          </w:tcPr>
          <w:p>
            <w:pPr>
              <w:spacing w:after="0"/>
              <w:rPr>
                <w:sz w:val="12"/>
                <w:szCs w:val="12"/>
                <w:color w:val="auto"/>
              </w:rPr>
            </w:pPr>
          </w:p>
        </w:tc>
        <w:tc>
          <w:tcPr>
            <w:tcW w:w="500" w:type="dxa"/>
            <w:vAlign w:val="bottom"/>
            <w:shd w:val="clear" w:color="auto" w:fill="DBDBDB"/>
          </w:tcPr>
          <w:p>
            <w:pPr>
              <w:jc w:val="right"/>
              <w:ind w:right="67"/>
              <w:spacing w:after="0"/>
              <w:rPr>
                <w:sz w:val="20"/>
                <w:szCs w:val="20"/>
                <w:color w:val="auto"/>
              </w:rPr>
            </w:pPr>
            <w:r>
              <w:rPr>
                <w:rFonts w:ascii="Arial" w:cs="Arial" w:eastAsia="Arial" w:hAnsi="Arial"/>
                <w:sz w:val="11"/>
                <w:szCs w:val="11"/>
                <w:color w:val="auto"/>
              </w:rPr>
              <w:t>(206)</w:t>
            </w:r>
          </w:p>
        </w:tc>
        <w:tc>
          <w:tcPr>
            <w:tcW w:w="60" w:type="dxa"/>
            <w:vAlign w:val="bottom"/>
            <w:shd w:val="clear" w:color="auto" w:fill="DBDBDB"/>
          </w:tcPr>
          <w:p>
            <w:pPr>
              <w:spacing w:after="0"/>
              <w:rPr>
                <w:sz w:val="12"/>
                <w:szCs w:val="12"/>
                <w:color w:val="auto"/>
              </w:rPr>
            </w:pPr>
          </w:p>
        </w:tc>
        <w:tc>
          <w:tcPr>
            <w:tcW w:w="440" w:type="dxa"/>
            <w:vAlign w:val="bottom"/>
            <w:shd w:val="clear" w:color="auto" w:fill="DBDBDB"/>
          </w:tcPr>
          <w:p>
            <w:pPr>
              <w:spacing w:after="0"/>
              <w:rPr>
                <w:sz w:val="12"/>
                <w:szCs w:val="12"/>
                <w:color w:val="auto"/>
              </w:rPr>
            </w:pPr>
          </w:p>
        </w:tc>
        <w:tc>
          <w:tcPr>
            <w:tcW w:w="1380" w:type="dxa"/>
            <w:vAlign w:val="bottom"/>
            <w:shd w:val="clear" w:color="auto" w:fill="DBDBDB"/>
          </w:tcPr>
          <w:p>
            <w:pPr>
              <w:jc w:val="right"/>
              <w:ind w:right="67"/>
              <w:spacing w:after="0"/>
              <w:rPr>
                <w:sz w:val="20"/>
                <w:szCs w:val="20"/>
                <w:color w:val="auto"/>
              </w:rPr>
            </w:pPr>
            <w:r>
              <w:rPr>
                <w:rFonts w:ascii="Arial" w:cs="Arial" w:eastAsia="Arial" w:hAnsi="Arial"/>
                <w:sz w:val="11"/>
                <w:szCs w:val="11"/>
                <w:color w:val="auto"/>
              </w:rPr>
              <w:t>(164)</w:t>
            </w:r>
          </w:p>
        </w:tc>
        <w:tc>
          <w:tcPr>
            <w:tcW w:w="0" w:type="dxa"/>
            <w:vAlign w:val="bottom"/>
          </w:tcPr>
          <w:p>
            <w:pPr>
              <w:spacing w:after="0"/>
              <w:rPr>
                <w:sz w:val="1"/>
                <w:szCs w:val="1"/>
                <w:color w:val="auto"/>
              </w:rPr>
            </w:pPr>
          </w:p>
        </w:tc>
      </w:tr>
      <w:tr>
        <w:trPr>
          <w:trHeight w:val="143"/>
        </w:trPr>
        <w:tc>
          <w:tcPr>
            <w:tcW w:w="7600" w:type="dxa"/>
            <w:vAlign w:val="bottom"/>
            <w:tcBorders>
              <w:bottom w:val="single" w:sz="8" w:color="DBDBDB"/>
            </w:tcBorders>
          </w:tcPr>
          <w:p>
            <w:pPr>
              <w:ind w:left="80"/>
              <w:spacing w:after="0"/>
              <w:rPr>
                <w:sz w:val="20"/>
                <w:szCs w:val="20"/>
                <w:color w:val="auto"/>
              </w:rPr>
            </w:pPr>
            <w:r>
              <w:rPr>
                <w:rFonts w:ascii="Arial" w:cs="Arial" w:eastAsia="Arial" w:hAnsi="Arial"/>
                <w:sz w:val="11"/>
                <w:szCs w:val="11"/>
                <w:color w:val="auto"/>
              </w:rPr>
              <w:t>Other income, net</w:t>
            </w:r>
          </w:p>
        </w:tc>
        <w:tc>
          <w:tcPr>
            <w:tcW w:w="13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(287)</w:t>
            </w:r>
          </w:p>
        </w:tc>
        <w:tc>
          <w:tcPr>
            <w:tcW w:w="60" w:type="dxa"/>
            <w:vAlign w:val="bottom"/>
            <w:tcBorders>
              <w:bottom w:val="single" w:sz="8" w:color="DBDBDB"/>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33"/>
        </w:trPr>
        <w:tc>
          <w:tcPr>
            <w:tcW w:w="7600" w:type="dxa"/>
            <w:vAlign w:val="bottom"/>
            <w:shd w:val="clear" w:color="auto" w:fill="DBDBDB"/>
          </w:tcPr>
          <w:p>
            <w:pPr>
              <w:spacing w:after="0"/>
              <w:rPr>
                <w:sz w:val="20"/>
                <w:szCs w:val="20"/>
                <w:color w:val="auto"/>
              </w:rPr>
            </w:pPr>
            <w:r>
              <w:rPr>
                <w:rFonts w:ascii="Arial" w:cs="Arial" w:eastAsia="Arial" w:hAnsi="Arial"/>
                <w:sz w:val="11"/>
                <w:szCs w:val="11"/>
                <w:color w:val="auto"/>
              </w:rPr>
              <w:t>Restaurant-Level Adjusted EBITDA</w:t>
            </w:r>
          </w:p>
        </w:tc>
        <w:tc>
          <w:tcPr>
            <w:tcW w:w="1320" w:type="dxa"/>
            <w:vAlign w:val="bottom"/>
            <w:tcBorders>
              <w:bottom w:val="single" w:sz="8" w:color="auto"/>
            </w:tcBorders>
            <w:shd w:val="clear" w:color="auto" w:fill="DBDBDB"/>
          </w:tcPr>
          <w:p>
            <w:pPr>
              <w:jc w:val="right"/>
              <w:ind w:right="118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DBDBDB"/>
          </w:tcPr>
          <w:p>
            <w:pPr>
              <w:jc w:val="right"/>
              <w:ind w:right="87"/>
              <w:spacing w:after="0"/>
              <w:rPr>
                <w:sz w:val="20"/>
                <w:szCs w:val="20"/>
                <w:color w:val="auto"/>
              </w:rPr>
            </w:pPr>
            <w:r>
              <w:rPr>
                <w:rFonts w:ascii="Arial" w:cs="Arial" w:eastAsia="Arial" w:hAnsi="Arial"/>
                <w:sz w:val="11"/>
                <w:szCs w:val="11"/>
                <w:color w:val="auto"/>
              </w:rPr>
              <w:t>34,844</w:t>
            </w:r>
          </w:p>
        </w:tc>
        <w:tc>
          <w:tcPr>
            <w:tcW w:w="60" w:type="dxa"/>
            <w:vAlign w:val="bottom"/>
            <w:shd w:val="clear" w:color="auto" w:fill="DBDBDB"/>
          </w:tcPr>
          <w:p>
            <w:pPr>
              <w:spacing w:after="0"/>
              <w:rPr>
                <w:sz w:val="11"/>
                <w:szCs w:val="11"/>
                <w:color w:val="auto"/>
              </w:rPr>
            </w:pPr>
          </w:p>
        </w:tc>
        <w:tc>
          <w:tcPr>
            <w:tcW w:w="440" w:type="dxa"/>
            <w:vAlign w:val="bottom"/>
            <w:tcBorders>
              <w:bottom w:val="single" w:sz="8" w:color="auto"/>
            </w:tcBorders>
            <w:shd w:val="clear" w:color="auto" w:fill="DBDBDB"/>
          </w:tcPr>
          <w:p>
            <w:pPr>
              <w:jc w:val="right"/>
              <w:ind w:right="306"/>
              <w:spacing w:after="0"/>
              <w:rPr>
                <w:sz w:val="20"/>
                <w:szCs w:val="20"/>
                <w:color w:val="auto"/>
              </w:rPr>
            </w:pPr>
            <w:r>
              <w:rPr>
                <w:rFonts w:ascii="Arial" w:cs="Arial" w:eastAsia="Arial" w:hAnsi="Arial"/>
                <w:sz w:val="11"/>
                <w:szCs w:val="11"/>
                <w:color w:val="auto"/>
                <w:w w:val="97"/>
              </w:rPr>
              <w:t>$</w:t>
            </w:r>
          </w:p>
        </w:tc>
        <w:tc>
          <w:tcPr>
            <w:tcW w:w="1380" w:type="dxa"/>
            <w:vAlign w:val="bottom"/>
            <w:tcBorders>
              <w:bottom w:val="single" w:sz="8" w:color="auto"/>
            </w:tcBorders>
            <w:shd w:val="clear" w:color="auto" w:fill="DBDBDB"/>
          </w:tcPr>
          <w:p>
            <w:pPr>
              <w:jc w:val="right"/>
              <w:ind w:right="87"/>
              <w:spacing w:after="0"/>
              <w:rPr>
                <w:sz w:val="20"/>
                <w:szCs w:val="20"/>
                <w:color w:val="auto"/>
              </w:rPr>
            </w:pPr>
            <w:r>
              <w:rPr>
                <w:rFonts w:ascii="Arial" w:cs="Arial" w:eastAsia="Arial" w:hAnsi="Arial"/>
                <w:sz w:val="11"/>
                <w:szCs w:val="11"/>
                <w:color w:val="auto"/>
              </w:rPr>
              <w:t>36,656</w:t>
            </w:r>
          </w:p>
        </w:tc>
        <w:tc>
          <w:tcPr>
            <w:tcW w:w="0" w:type="dxa"/>
            <w:vAlign w:val="bottom"/>
          </w:tcPr>
          <w:p>
            <w:pPr>
              <w:spacing w:after="0"/>
              <w:rPr>
                <w:sz w:val="1"/>
                <w:szCs w:val="1"/>
                <w:color w:val="auto"/>
              </w:rPr>
            </w:pPr>
          </w:p>
        </w:tc>
      </w:tr>
      <w:tr>
        <w:trPr>
          <w:trHeight w:val="134"/>
        </w:trPr>
        <w:tc>
          <w:tcPr>
            <w:tcW w:w="7600" w:type="dxa"/>
            <w:vAlign w:val="bottom"/>
          </w:tcPr>
          <w:p>
            <w:pPr>
              <w:spacing w:after="0"/>
              <w:rPr>
                <w:sz w:val="20"/>
                <w:szCs w:val="20"/>
                <w:color w:val="auto"/>
              </w:rPr>
            </w:pPr>
            <w:r>
              <w:rPr>
                <w:rFonts w:ascii="Arial" w:cs="Arial" w:eastAsia="Arial" w:hAnsi="Arial"/>
                <w:sz w:val="11"/>
                <w:szCs w:val="11"/>
                <w:i w:val="1"/>
                <w:iCs w:val="1"/>
                <w:color w:val="auto"/>
              </w:rPr>
              <w:t>Restaurant-Level Adjusted EBITDA Margin (1)</w:t>
            </w:r>
          </w:p>
        </w:tc>
        <w:tc>
          <w:tcPr>
            <w:tcW w:w="13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i w:val="1"/>
                <w:iCs w:val="1"/>
                <w:color w:val="auto"/>
              </w:rPr>
              <w:t>19.1 %</w:t>
            </w: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i w:val="1"/>
                <w:iCs w:val="1"/>
                <w:color w:val="auto"/>
              </w:rPr>
              <w:t>20.8 %</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1"/>
          <w:szCs w:val="11"/>
          <w:color w:val="auto"/>
        </w:rPr>
        <w:t>(1) Restaurant-Level Adjusted EBITDA Margin is defined as Restaurant-Level Adjusted EBITDA divided by Revenues, net.</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8"/>
          </w:cols>
          <w:pgMar w:left="292" w:top="559" w:right="299" w:bottom="1440" w:gutter="0" w:footer="0" w:header="0"/>
        </w:sectPr>
      </w:pPr>
    </w:p>
    <w:bookmarkStart w:id="13" w:name="page14"/>
    <w:bookmarkEnd w:id="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2026-05-05T07:05:13Z</dcterms:created>
  <dcterms:modified xsi:type="dcterms:W3CDTF">2026-05-05T07:05:13Z</dcterms:modified>
</cp:coreProperties>
</file>