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60"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12065</wp:posOffset>
            </wp:positionV>
            <wp:extent cx="15684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6845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-278765</wp:posOffset>
            </wp:positionV>
            <wp:extent cx="15684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PURSUANT TO SECTION 13 OR 15(d) 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Date of Report (Date of earliest event reported): September 21,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176530</wp:posOffset>
            </wp:positionV>
            <wp:extent cx="2280285" cy="651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0285"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PORTILLO'S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40"/>
          </w:cols>
          <w:pgMar w:left="320" w:top="1205" w:right="339" w:bottom="1440" w:gutter="0" w:footer="0" w:header="0"/>
        </w:sectPr>
      </w:pPr>
    </w:p>
    <w:p>
      <w:pPr>
        <w:spacing w:after="0" w:line="28" w:lineRule="exact"/>
        <w:rPr>
          <w:sz w:val="24"/>
          <w:szCs w:val="24"/>
          <w:color w:val="auto"/>
        </w:rPr>
      </w:pPr>
    </w:p>
    <w:p>
      <w:pPr>
        <w:ind w:left="196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jc w:val="center"/>
        <w:ind w:right="1680"/>
        <w:spacing w:after="0"/>
        <w:rPr>
          <w:sz w:val="20"/>
          <w:szCs w:val="20"/>
          <w:color w:val="auto"/>
        </w:rPr>
      </w:pPr>
      <w:r>
        <w:rPr>
          <w:rFonts w:ascii="Arial" w:cs="Arial" w:eastAsia="Arial" w:hAnsi="Arial"/>
          <w:sz w:val="17"/>
          <w:szCs w:val="17"/>
          <w:b w:val="1"/>
          <w:bCs w:val="1"/>
          <w:color w:val="auto"/>
        </w:rPr>
        <w:t>001-40951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87-1104304</w:t>
      </w:r>
    </w:p>
    <w:p>
      <w:pPr>
        <w:spacing w:after="0" w:line="65" w:lineRule="exact"/>
        <w:rPr>
          <w:sz w:val="24"/>
          <w:szCs w:val="24"/>
          <w:color w:val="auto"/>
        </w:rPr>
      </w:pPr>
    </w:p>
    <w:p>
      <w:pPr>
        <w:sectPr>
          <w:pgSz w:w="11900" w:h="16838" w:orient="portrait"/>
          <w:cols w:equalWidth="0" w:num="3">
            <w:col w:w="4580" w:space="720"/>
            <w:col w:w="2540" w:space="720"/>
            <w:col w:w="2680"/>
          </w:cols>
          <w:pgMar w:left="320" w:top="1205" w:right="339" w:bottom="1440" w:gutter="0" w:footer="0" w:header="0"/>
          <w:type w:val="continuous"/>
        </w:sectPr>
      </w:pPr>
    </w:p>
    <w:p>
      <w:pPr>
        <w:ind w:left="48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115" w:lineRule="exact"/>
        <w:rPr>
          <w:sz w:val="24"/>
          <w:szCs w:val="24"/>
          <w:color w:val="auto"/>
        </w:rPr>
      </w:pPr>
    </w:p>
    <w:p>
      <w:pPr>
        <w:sectPr>
          <w:pgSz w:w="11900" w:h="16838" w:orient="portrait"/>
          <w:cols w:equalWidth="0" w:num="3">
            <w:col w:w="4200" w:space="660"/>
            <w:col w:w="2320" w:space="720"/>
            <w:col w:w="3340"/>
          </w:cols>
          <w:pgMar w:left="320" w:top="1205" w:right="339" w:bottom="144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2001 Spring Road, Suite 400, Oak Brook, Illinois 60523</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(630) 954-3773</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353" w:lineRule="exact"/>
        <w:rPr>
          <w:sz w:val="24"/>
          <w:szCs w:val="24"/>
          <w:color w:val="auto"/>
        </w:rPr>
      </w:pPr>
    </w:p>
    <w:p>
      <w:pPr>
        <w:ind w:right="300"/>
        <w:spacing w:after="0" w:line="304"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w:t>
      </w:r>
      <w:r>
        <w:rPr>
          <w:rFonts w:ascii="Arial" w:cs="Arial" w:eastAsia="Arial" w:hAnsi="Arial"/>
          <w:sz w:val="16"/>
          <w:szCs w:val="16"/>
          <w:u w:val="single" w:color="auto"/>
          <w:color w:val="auto"/>
        </w:rPr>
        <w:t>see</w:t>
      </w:r>
      <w:r>
        <w:rPr>
          <w:rFonts w:ascii="Arial" w:cs="Arial" w:eastAsia="Arial" w:hAnsi="Arial"/>
          <w:sz w:val="16"/>
          <w:szCs w:val="16"/>
          <w:color w:val="auto"/>
        </w:rPr>
        <w:t xml:space="preserve"> General Instruction A.2. below):</w:t>
      </w:r>
    </w:p>
    <w:p>
      <w:pPr>
        <w:spacing w:after="0" w:line="168"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48"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61"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48"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1205" w:right="339" w:bottom="1440" w:gutter="0" w:footer="0" w:header="0"/>
          <w:type w:val="continuous"/>
        </w:sectPr>
      </w:pPr>
    </w:p>
    <w:p>
      <w:pPr>
        <w:spacing w:after="0" w:line="59" w:lineRule="exact"/>
        <w:rPr>
          <w:sz w:val="24"/>
          <w:szCs w:val="24"/>
          <w:color w:val="auto"/>
        </w:rPr>
      </w:pPr>
    </w:p>
    <w:p>
      <w:pPr>
        <w:jc w:val="center"/>
        <w:ind w:left="600"/>
        <w:spacing w:after="0"/>
        <w:rPr>
          <w:sz w:val="20"/>
          <w:szCs w:val="20"/>
          <w:color w:val="auto"/>
        </w:rPr>
      </w:pPr>
      <w:r>
        <w:rPr>
          <w:rFonts w:ascii="Arial" w:cs="Arial" w:eastAsia="Arial" w:hAnsi="Arial"/>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Trading Symbol</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46" w:lineRule="exact"/>
        <w:rPr>
          <w:sz w:val="24"/>
          <w:szCs w:val="24"/>
          <w:color w:val="auto"/>
        </w:rPr>
      </w:pPr>
    </w:p>
    <w:p>
      <w:pPr>
        <w:sectPr>
          <w:pgSz w:w="11900" w:h="16838" w:orient="portrait"/>
          <w:cols w:equalWidth="0" w:num="3">
            <w:col w:w="4580" w:space="720"/>
            <w:col w:w="1200" w:space="720"/>
            <w:col w:w="4020"/>
          </w:cols>
          <w:pgMar w:left="320" w:top="1205" w:right="339" w:bottom="1440" w:gutter="0" w:footer="0" w:header="0"/>
          <w:type w:val="continuous"/>
        </w:sectPr>
      </w:pPr>
    </w:p>
    <w:p>
      <w:pPr>
        <w:ind w:left="760"/>
        <w:spacing w:after="0"/>
        <w:rPr>
          <w:sz w:val="20"/>
          <w:szCs w:val="20"/>
          <w:color w:val="auto"/>
        </w:rPr>
      </w:pPr>
      <w:r>
        <w:rPr>
          <w:rFonts w:ascii="Arial" w:cs="Arial" w:eastAsia="Arial" w:hAnsi="Arial"/>
          <w:sz w:val="16"/>
          <w:szCs w:val="16"/>
          <w:color w:val="auto"/>
        </w:rPr>
        <w:t>Class A Common Stock, $0.01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PTLO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Nasdaq Global Select Market</w:t>
      </w:r>
    </w:p>
    <w:p>
      <w:pPr>
        <w:spacing w:after="0" w:line="200" w:lineRule="exact"/>
        <w:rPr>
          <w:sz w:val="24"/>
          <w:szCs w:val="24"/>
          <w:color w:val="auto"/>
        </w:rPr>
      </w:pPr>
    </w:p>
    <w:p>
      <w:pPr>
        <w:sectPr>
          <w:pgSz w:w="11900" w:h="16838" w:orient="portrait"/>
          <w:cols w:equalWidth="0" w:num="3">
            <w:col w:w="4960" w:space="720"/>
            <w:col w:w="1480" w:space="720"/>
            <w:col w:w="3360"/>
          </w:cols>
          <w:pgMar w:left="320" w:top="1205" w:right="339" w:bottom="1440" w:gutter="0" w:footer="0" w:header="0"/>
          <w:type w:val="continuous"/>
        </w:sectPr>
      </w:pPr>
    </w:p>
    <w:p>
      <w:pPr>
        <w:spacing w:after="0" w:line="170" w:lineRule="exact"/>
        <w:rPr>
          <w:sz w:val="24"/>
          <w:szCs w:val="24"/>
          <w:color w:val="auto"/>
        </w:rPr>
      </w:pPr>
    </w:p>
    <w:p>
      <w:pPr>
        <w:spacing w:after="0" w:line="25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9" w:lineRule="exact"/>
        <w:rPr>
          <w:sz w:val="24"/>
          <w:szCs w:val="24"/>
          <w:color w:val="auto"/>
        </w:rPr>
      </w:pPr>
    </w:p>
    <w:p>
      <w:pPr>
        <w:ind w:right="14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1115060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type w:val="continuous"/>
        </w:sectPr>
      </w:pPr>
    </w:p>
    <w:bookmarkStart w:id="1" w:name="page2"/>
    <w:bookmarkEnd w:id="1"/>
    <w:p>
      <w:pPr>
        <w:ind w:right="220"/>
        <w:spacing w:after="0" w:line="272"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Departure of Michael Osanloo as President and Chief Executive Officer</w:t>
      </w:r>
    </w:p>
    <w:p>
      <w:pPr>
        <w:spacing w:after="0" w:line="23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On September 22, 2025, the Board of Directors (the “Board”) of Portillo’s Inc. (the “Company”) announced that Michael Osanloo will depart from his role as President and Chief Executive Officer of the Company, effective September 21, 2025. In connection with Mr. Osanloo’s</w:t>
      </w:r>
    </w:p>
    <w:p>
      <w:pPr>
        <w:jc w:val="both"/>
        <w:spacing w:after="0" w:line="237" w:lineRule="auto"/>
        <w:rPr>
          <w:sz w:val="20"/>
          <w:szCs w:val="20"/>
          <w:color w:val="auto"/>
        </w:rPr>
      </w:pPr>
      <w:r>
        <w:rPr>
          <w:rFonts w:ascii="Arial" w:cs="Arial" w:eastAsia="Arial" w:hAnsi="Arial"/>
          <w:sz w:val="18"/>
          <w:szCs w:val="18"/>
          <w:color w:val="auto"/>
        </w:rPr>
        <w:t>departure, and as required by his employment agreement, Mr. Osanloo was deemed to have resigned from the Board. The Board accepted Mr. Osanloo’s deemed resignation from the Board and decreased the number of directors to eliminate the resulting vacancy.</w:t>
      </w: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Board has initiated a process to identify the Company’s next Chief Executive Officer and will be hiring a leading global executive search firm to assist in the Chief Executive Officer search process.</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Mr. Osanloo’s separation without cause entitles him to certain severance benefits pursuant to the Company’s Senior Executive Severance Plan, conditioned upon his execution of a release agreement. The Company expects to enter into such a release agreement with Mr. Osanloo at a later date.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Appointment of Michael A. Miles, Jr. as Interim Chief Executive Officer</w:t>
      </w:r>
    </w:p>
    <w:p>
      <w:pPr>
        <w:spacing w:after="0" w:line="23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Michael A. Miles, Jr., age 63, was appointed by the Board as interim Chief Executive Officer of the Company, effective September 21, 2025. Mr. Miles serves as Chairman of the Board, where he has been a member since 2014. He served as interim CEO of the Company from 2014 to 2015.</w:t>
      </w:r>
    </w:p>
    <w:p>
      <w:pPr>
        <w:spacing w:after="0" w:line="19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Mr. Miles has been an Advisory Director with Berkshire Partners, a growth-oriented investor in private and public markets, since 2013. He is the former Chief Operating Officer and President of Staples, Inc., a $25 billion global office supplies retailer and distributor, and served as</w:t>
      </w:r>
    </w:p>
    <w:p>
      <w:pPr>
        <w:jc w:val="both"/>
        <w:ind w:right="20"/>
        <w:spacing w:after="0" w:line="237" w:lineRule="auto"/>
        <w:rPr>
          <w:sz w:val="20"/>
          <w:szCs w:val="20"/>
          <w:color w:val="auto"/>
        </w:rPr>
      </w:pPr>
      <w:r>
        <w:rPr>
          <w:rFonts w:ascii="Arial" w:cs="Arial" w:eastAsia="Arial" w:hAnsi="Arial"/>
          <w:sz w:val="18"/>
          <w:szCs w:val="18"/>
          <w:color w:val="auto"/>
        </w:rPr>
        <w:t>Chief Operating Officer of Pizza Hut for Yum! Brands. He began his career with Bain &amp; Co. and PepsiCo. He also serves on the board of Western Union (NYSE: WU) where he sits on the governance and ESG committee and chairs the compensation committee.</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are no arrangements or understandings between Mr. Miles and any other persons pursuant to which he was selected as an officer of the Company. There are also no family relationships between Mr. Miles and any director or executive officer of the Company, and Mr. Miles does not have any direct or indirect material interest in any transaction required to be disclosed pursuant to Item 404(a) of Regulation S-K.</w:t>
      </w:r>
    </w:p>
    <w:p>
      <w:pPr>
        <w:spacing w:after="0" w:line="19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At the time of this filing, the Company and Mr. Miles have not finalized the compensation arrangements in connection with his appointment as interim CEO. The Company expects to disclose the compensatory arrangements by an amendment to this Form 8-K.</w:t>
      </w:r>
    </w:p>
    <w:p>
      <w:pPr>
        <w:spacing w:after="0" w:line="18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In connection with his appointment, Mr. Miles ceased to be a member of the Board’s Compensation and Nominating and Corporate Governance Committees, effective September 21, 2025.</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September 22, 2025, the Company issued a press release in connection with the departure of Mr. Osanloo and appointment of Mr. Miles as reported under Item 5.02 above. A copy of this press release is furnished as Exhibit 99.1 to this current report on Form 8-K and incorporated by reference.</w:t>
      </w:r>
    </w:p>
    <w:p>
      <w:pPr>
        <w:spacing w:after="0" w:line="19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Exhibit 99.1 shall not be deemed “filed” for purposes of Section 18 of the Securities Exchange Act of 1934 (the “Exchange Act”) or otherwise subject to the liabilities under that Section and shall not be deemed to be incorporated by reference into any filing of the Registrant under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Securities Act of 1933 or the Exchange Act.</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460" w:type="dxa"/>
            <w:vAlign w:val="bottom"/>
            <w:gridSpan w:val="3"/>
          </w:tcPr>
          <w:p>
            <w:pPr>
              <w:spacing w:after="0"/>
              <w:rPr>
                <w:sz w:val="20"/>
                <w:szCs w:val="20"/>
                <w:color w:val="auto"/>
              </w:rPr>
            </w:pPr>
            <w:r>
              <w:rPr>
                <w:rFonts w:ascii="Arial" w:cs="Arial" w:eastAsia="Arial" w:hAnsi="Arial"/>
                <w:sz w:val="18"/>
                <w:szCs w:val="18"/>
                <w:color w:val="414042"/>
              </w:rPr>
              <w:t>(d) Exhibits.</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520" w:type="dxa"/>
            <w:vAlign w:val="bottom"/>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Exhibit Number</w:t>
            </w:r>
          </w:p>
        </w:tc>
        <w:tc>
          <w:tcPr>
            <w:tcW w:w="9780" w:type="dxa"/>
            <w:vAlign w:val="bottom"/>
            <w:gridSpan w:val="3"/>
          </w:tcPr>
          <w:p>
            <w:pPr>
              <w:ind w:left="100"/>
              <w:spacing w:after="0"/>
              <w:rPr>
                <w:sz w:val="20"/>
                <w:szCs w:val="20"/>
                <w:color w:val="auto"/>
              </w:rPr>
            </w:pPr>
            <w:r>
              <w:rPr>
                <w:rFonts w:ascii="Arial" w:cs="Arial" w:eastAsia="Arial" w:hAnsi="Arial"/>
                <w:sz w:val="18"/>
                <w:szCs w:val="18"/>
                <w:b w:val="1"/>
                <w:bCs w:val="1"/>
                <w:color w:val="auto"/>
              </w:rPr>
              <w:t>Description</w:t>
            </w:r>
          </w:p>
        </w:tc>
      </w:tr>
      <w:tr>
        <w:trPr>
          <w:trHeight w:val="194"/>
        </w:trPr>
        <w:tc>
          <w:tcPr>
            <w:tcW w:w="20" w:type="dxa"/>
            <w:vAlign w:val="bottom"/>
          </w:tcPr>
          <w:p>
            <w:pPr>
              <w:spacing w:after="0"/>
              <w:rPr>
                <w:sz w:val="16"/>
                <w:szCs w:val="16"/>
                <w:color w:val="auto"/>
              </w:rPr>
            </w:pPr>
          </w:p>
        </w:tc>
        <w:tc>
          <w:tcPr>
            <w:tcW w:w="360" w:type="dxa"/>
            <w:vAlign w:val="bottom"/>
          </w:tcPr>
          <w:p>
            <w:pPr>
              <w:spacing w:after="0" w:line="195" w:lineRule="exact"/>
              <w:rPr>
                <w:sz w:val="20"/>
                <w:szCs w:val="20"/>
                <w:color w:val="auto"/>
              </w:rPr>
            </w:pPr>
            <w:r>
              <w:rPr>
                <w:rFonts w:ascii="Arial" w:cs="Arial" w:eastAsia="Arial" w:hAnsi="Arial"/>
                <w:sz w:val="18"/>
                <w:szCs w:val="18"/>
                <w:color w:val="0000FF"/>
                <w:w w:val="96"/>
              </w:rPr>
              <w:t>99.</w:t>
            </w:r>
            <w:r>
              <w:rPr>
                <w:rFonts w:ascii="Arial" w:cs="Arial" w:eastAsia="Arial" w:hAnsi="Arial"/>
                <w:sz w:val="18"/>
                <w:szCs w:val="18"/>
                <w:u w:val="single" w:color="auto"/>
                <w:color w:val="0000FF"/>
                <w:w w:val="96"/>
              </w:rPr>
              <w:t>1</w:t>
            </w:r>
          </w:p>
        </w:tc>
        <w:tc>
          <w:tcPr>
            <w:tcW w:w="1080" w:type="dxa"/>
            <w:vAlign w:val="bottom"/>
          </w:tcPr>
          <w:p>
            <w:pPr>
              <w:spacing w:after="0"/>
              <w:rPr>
                <w:sz w:val="16"/>
                <w:szCs w:val="16"/>
                <w:color w:val="auto"/>
              </w:rPr>
            </w:pPr>
          </w:p>
        </w:tc>
        <w:tc>
          <w:tcPr>
            <w:tcW w:w="9780" w:type="dxa"/>
            <w:vAlign w:val="bottom"/>
            <w:gridSpan w:val="3"/>
          </w:tcPr>
          <w:p>
            <w:pPr>
              <w:ind w:left="100"/>
              <w:spacing w:after="0" w:line="195" w:lineRule="exact"/>
              <w:rPr>
                <w:sz w:val="20"/>
                <w:szCs w:val="20"/>
                <w:color w:val="auto"/>
              </w:rPr>
            </w:pPr>
            <w:r>
              <w:rPr>
                <w:rFonts w:ascii="Arial" w:cs="Arial" w:eastAsia="Arial" w:hAnsi="Arial"/>
                <w:sz w:val="18"/>
                <w:szCs w:val="18"/>
                <w:color w:val="0000FF"/>
              </w:rPr>
              <w:t>Press Release</w:t>
            </w: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r>
      <w:tr>
        <w:trPr>
          <w:trHeight w:val="254"/>
        </w:trPr>
        <w:tc>
          <w:tcPr>
            <w:tcW w:w="20" w:type="dxa"/>
            <w:vAlign w:val="bottom"/>
          </w:tcPr>
          <w:p>
            <w:pPr>
              <w:spacing w:after="0"/>
              <w:rPr>
                <w:sz w:val="22"/>
                <w:szCs w:val="22"/>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104</w:t>
            </w:r>
          </w:p>
        </w:tc>
        <w:tc>
          <w:tcPr>
            <w:tcW w:w="1080" w:type="dxa"/>
            <w:vAlign w:val="bottom"/>
          </w:tcPr>
          <w:p>
            <w:pPr>
              <w:spacing w:after="0"/>
              <w:rPr>
                <w:sz w:val="22"/>
                <w:szCs w:val="22"/>
                <w:color w:val="auto"/>
              </w:rPr>
            </w:pPr>
          </w:p>
        </w:tc>
        <w:tc>
          <w:tcPr>
            <w:tcW w:w="9780" w:type="dxa"/>
            <w:vAlign w:val="bottom"/>
            <w:gridSpan w:val="3"/>
          </w:tcPr>
          <w:p>
            <w:pPr>
              <w:ind w:left="10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421"/>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3"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414042"/>
        </w:rPr>
        <w:t>SIGNATURES</w:t>
      </w:r>
    </w:p>
    <w:p>
      <w:pPr>
        <w:spacing w:after="0" w:line="23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thereto duly authorized.</w:t>
      </w:r>
    </w:p>
    <w:p>
      <w:pPr>
        <w:spacing w:after="0" w:line="200" w:lineRule="exact"/>
        <w:rPr>
          <w:sz w:val="20"/>
          <w:szCs w:val="20"/>
          <w:color w:val="auto"/>
        </w:rPr>
      </w:pPr>
    </w:p>
    <w:p>
      <w:pPr>
        <w:spacing w:after="0" w:line="23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Portillo's Inc.</w:t>
      </w:r>
    </w:p>
    <w:p>
      <w:pPr>
        <w:spacing w:after="0" w:line="4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(Registrant)</w:t>
      </w:r>
    </w:p>
    <w:p>
      <w:pPr>
        <w:spacing w:after="0" w:line="275" w:lineRule="exact"/>
        <w:rPr>
          <w:sz w:val="20"/>
          <w:szCs w:val="20"/>
          <w:color w:val="auto"/>
        </w:rPr>
      </w:pPr>
    </w:p>
    <w:p>
      <w:pPr>
        <w:ind w:left="20"/>
        <w:spacing w:after="0"/>
        <w:tabs>
          <w:tab w:leader="none" w:pos="4640" w:val="left"/>
          <w:tab w:leader="none" w:pos="5220" w:val="left"/>
        </w:tabs>
        <w:rPr>
          <w:sz w:val="20"/>
          <w:szCs w:val="20"/>
          <w:color w:val="auto"/>
        </w:rPr>
      </w:pPr>
      <w:r>
        <w:rPr>
          <w:rFonts w:ascii="Arial" w:cs="Arial" w:eastAsia="Arial" w:hAnsi="Arial"/>
          <w:sz w:val="18"/>
          <w:szCs w:val="18"/>
          <w:color w:val="auto"/>
        </w:rPr>
        <w:t>Date: September 22,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Michelle 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17780</wp:posOffset>
            </wp:positionV>
            <wp:extent cx="38233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23335" cy="8890"/>
                    </a:xfrm>
                    <a:prstGeom prst="rect">
                      <a:avLst/>
                    </a:prstGeom>
                    <a:noFill/>
                  </pic:spPr>
                </pic:pic>
              </a:graphicData>
            </a:graphic>
          </wp:anchor>
        </w:drawing>
      </w:r>
    </w:p>
    <w:p>
      <w:pPr>
        <w:spacing w:after="0" w:line="1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Michelle Hook</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Chief Financial Officer and Treasurer</w:t>
      </w:r>
    </w:p>
    <w:p>
      <w:pPr>
        <w:ind w:left="524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120"/>
          </w:cols>
          <w:pgMar w:left="320" w:top="1079"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 IMMEDIATE RELEASE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Portillo’s Announces Leadership Transition</w:t>
      </w: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Board Chairman Michael A. Miles, Jr. Appointed as Interim CEO, Effective Immediately</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Eugene (Gene) I. Lee, Jr. Appointed as Lead Independent Director</w:t>
      </w:r>
    </w:p>
    <w:p>
      <w:pPr>
        <w:spacing w:after="0" w:line="250"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color w:val="auto"/>
        </w:rPr>
        <w:t xml:space="preserve">CHICAGO, September 22, 2025 </w:t>
      </w:r>
      <w:r>
        <w:rPr>
          <w:rFonts w:ascii="Arial" w:cs="Arial" w:eastAsia="Arial" w:hAnsi="Arial"/>
          <w:sz w:val="18"/>
          <w:szCs w:val="18"/>
          <w:color w:val="auto"/>
        </w:rPr>
        <w:t>-- Portillo’s Inc. (“Portillo’s” or the “Company”) (NASDAQ: PTLO), the fast-casual restaurant concept known</w:t>
      </w:r>
      <w:r>
        <w:rPr>
          <w:rFonts w:ascii="Arial" w:cs="Arial" w:eastAsia="Arial" w:hAnsi="Arial"/>
          <w:sz w:val="18"/>
          <w:szCs w:val="18"/>
          <w:b w:val="1"/>
          <w:bCs w:val="1"/>
          <w:color w:val="auto"/>
        </w:rPr>
        <w:t xml:space="preserve"> </w:t>
      </w:r>
      <w:r>
        <w:rPr>
          <w:rFonts w:ascii="Arial" w:cs="Arial" w:eastAsia="Arial" w:hAnsi="Arial"/>
          <w:sz w:val="18"/>
          <w:szCs w:val="18"/>
          <w:color w:val="auto"/>
        </w:rPr>
        <w:t>for its menu of Chicago-style favorites, today announced that its Board of Directors has appointed Chairman of the Board Michael A. Miles, Jr., as Interim Chief Executive Officer (CEO), effective immediately. Mr. Miles succeeds Michael Osanloo, who has departed the Company as President and CEO and as a member of the Board of Directors. Mr. Osanloo will support the transition as a Special Advisor to Mr. Miles and the Board over the next 90 days.</w:t>
      </w:r>
    </w:p>
    <w:p>
      <w:pPr>
        <w:spacing w:after="0" w:line="206"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The Board of Directors has established a Search Committee, comprised of Directors Paulette Dodson, G.J. Hart, Eugene (Gene) I. Lee, Jr., and Michael A. Miles, Jr., and will be assisted by a leading executive search firm in conducting a comprehensive search process to identify the Company’s next CEO.</w:t>
      </w:r>
    </w:p>
    <w:p>
      <w:pPr>
        <w:spacing w:after="0" w:line="19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Mr. Miles brings extensive leadership experience in the retail and restaurant industries. He previously served as President and Chief Operating Officer of Staples and Chief Operating Officer of Pizza Hut with Yum! Brands, after beginning his career at Bain &amp; Co. He has served as Chairman of the Board at Portillo’s since 2014 and was Interim Chief Executive Officer from 2014 to 2015.</w:t>
      </w:r>
    </w:p>
    <w:p>
      <w:pPr>
        <w:spacing w:after="0" w:line="19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behalf of the full Board, I want to thank Michael for his leadership over the last seven years and the role he played in guiding the company through its IPO and expansion to new markets,” said Mr. Miles. “The Portillo’s brand resonates deeply with our guests, but our recent performance has not measured up to expectations. After careful consideration, the Board believes, and Michael agrees, that now is the right time for a leadership transition. We are grateful to Michael for his many contributions to the business and wish him all the best in his future endeavors.”</w:t>
      </w:r>
    </w:p>
    <w:p>
      <w:pPr>
        <w:spacing w:after="0" w:line="206"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Mr. Miles continued, "I look forward to working with the leadership team and Board while we conduct our search to help grow shareholder value while continuing to deliver a one-of-a-kind experience for both new and loyal Portillo’s guests.”</w:t>
      </w:r>
    </w:p>
    <w:p>
      <w:pPr>
        <w:spacing w:after="0" w:line="18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Mr. Osanloo commented, "Leading Portillo's has been one of the great honors of my career. I am so thankful to my leadership team and all our team members whose hard work and heart make this brand iconic. Together, we achieved so much, and I will always carry immense pride in having been part of the Portillo's family."</w:t>
      </w:r>
    </w:p>
    <w:p>
      <w:pPr>
        <w:spacing w:after="0" w:line="198"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Mr. Lee has been appointed by the Board to serve as Lead Independent Director during this transition period. Mr. Lee served as CEO at Darden Restaurants from 2015 to 2022 and as Chairman of the Darden Board from 2021 to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Portillo’s</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Portillo’s (NASDAQ: PTLO) is a one-of-a-kind brand that has grown from a small hot dog trailer in Chicago to more than 90 restaurants across 10 states. Known for its unique menu of craveable Italian beef sandwiches, Chicago-style hot dogs, char-grilled burgers, fresh salads and iconic chocolate cake, Portillo’s is beloved in both its home of Chicagoland and across new and growing markets. Portillo’s operates a company-owned model of not just restaurants – but experience-focused destinations that blend dine-in, drive-thru, takeout and delivery to serve our guests with the food they crave. And now, after six decades of success and counting, Portillo’s is on a mission to bring its iconic food and unforgettable dining experience to guests across the country.</w:t>
      </w:r>
    </w:p>
    <w:p>
      <w:pPr>
        <w:sectPr>
          <w:pgSz w:w="11900" w:h="16838" w:orient="portrait"/>
          <w:cols w:equalWidth="0" w:num="1">
            <w:col w:w="11200"/>
          </w:cols>
          <w:pgMar w:left="320" w:top="1417"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Chris Brandon, Vice President of Investor Relations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312.931.5578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cbrandon@portillos.com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Sara Wirth, Director of PR &amp;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press@portillos.com</w:t>
      </w:r>
    </w:p>
    <w:sectPr>
      <w:pgSz w:w="11900" w:h="16838" w:orient="portrait"/>
      <w:cols w:equalWidth="0" w:num="1">
        <w:col w:w="10139"/>
      </w:cols>
      <w:pgMar w:left="320" w:top="14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2025-09-22T15:37:51Z</dcterms:created>
  <dcterms:modified xsi:type="dcterms:W3CDTF">2025-09-22T15:37:51Z</dcterms:modified>
</cp:coreProperties>
</file>